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7975D" w14:textId="77777777" w:rsidR="002738FE" w:rsidRPr="00546CCA" w:rsidRDefault="002738FE" w:rsidP="002738FE">
      <w:pPr>
        <w:pStyle w:val="Body"/>
        <w:rPr>
          <w:color w:val="000000" w:themeColor="text1"/>
        </w:rPr>
      </w:pPr>
      <w:r w:rsidRPr="00546CCA">
        <w:rPr>
          <w:rFonts w:eastAsia="Arial Unicode MS" w:cs="Arial Unicode MS"/>
          <w:b/>
          <w:bCs/>
          <w:color w:val="000000" w:themeColor="text1"/>
          <w:lang w:val="en-US"/>
        </w:rPr>
        <w:t xml:space="preserve">Supplementary table 4: Univariate and multivariate analysis showing predictors of health outcomes during emergency readmission to hospital within 30 days after discharge from hospital after vascular surgery spell for patients with depression; OR/ </w:t>
      </w:r>
      <w:r w:rsidRPr="00546CCA">
        <w:rPr>
          <w:rFonts w:eastAsia="Arial Unicode MS" w:cs="Arial Unicode MS"/>
          <w:b/>
          <w:bCs/>
          <w:color w:val="000000" w:themeColor="text1"/>
          <w:sz w:val="20"/>
          <w:szCs w:val="20"/>
          <w:lang w:val="en-US"/>
        </w:rPr>
        <w:t>IRR (95% CI), P value</w:t>
      </w:r>
    </w:p>
    <w:p w14:paraId="460685AE" w14:textId="77777777" w:rsidR="002738FE" w:rsidRPr="00546CCA" w:rsidRDefault="002738FE" w:rsidP="002738FE">
      <w:pPr>
        <w:pStyle w:val="Body"/>
        <w:rPr>
          <w:color w:val="000000" w:themeColor="text1"/>
        </w:rPr>
      </w:pPr>
    </w:p>
    <w:p w14:paraId="03433536" w14:textId="77777777" w:rsidR="002738FE" w:rsidRPr="00546CCA" w:rsidRDefault="002738FE" w:rsidP="002738FE">
      <w:pPr>
        <w:pStyle w:val="Body"/>
        <w:rPr>
          <w:color w:val="000000" w:themeColor="text1"/>
        </w:rPr>
      </w:pPr>
    </w:p>
    <w:tbl>
      <w:tblPr>
        <w:tblW w:w="146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31"/>
        <w:gridCol w:w="1704"/>
        <w:gridCol w:w="1703"/>
        <w:gridCol w:w="1784"/>
        <w:gridCol w:w="1984"/>
        <w:gridCol w:w="1920"/>
        <w:gridCol w:w="1919"/>
        <w:gridCol w:w="1689"/>
      </w:tblGrid>
      <w:tr w:rsidR="002738FE" w:rsidRPr="00546CCA" w14:paraId="4DA06511" w14:textId="77777777" w:rsidTr="00F10156">
        <w:trPr>
          <w:trHeight w:val="667"/>
        </w:trPr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5D19A8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E0EFC" w14:textId="77777777" w:rsidR="002738FE" w:rsidRPr="00546CCA" w:rsidRDefault="002738FE" w:rsidP="00F10156">
            <w:pPr>
              <w:pStyle w:val="Body"/>
              <w:jc w:val="center"/>
              <w:rPr>
                <w:color w:val="000000" w:themeColor="text1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Outcome: odds of emergency hospital admission within 30 days after index discharge</w:t>
            </w:r>
            <w:r w:rsidRPr="00546CCA">
              <w:rPr>
                <w:rFonts w:eastAsia="Arial Unicode MS" w:cs="Arial Unicode MS"/>
                <w:b/>
                <w:bCs/>
                <w:color w:val="000000" w:themeColor="text1"/>
                <w:vertAlign w:val="superscript"/>
                <w:lang w:val="en-US"/>
              </w:rPr>
              <w:t>$</w:t>
            </w: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1B8EF" w14:textId="77777777" w:rsidR="002738FE" w:rsidRPr="00546CCA" w:rsidRDefault="002738FE" w:rsidP="00F10156">
            <w:pPr>
              <w:pStyle w:val="Body"/>
              <w:jc w:val="center"/>
              <w:rPr>
                <w:color w:val="000000" w:themeColor="text1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Outcome: Length of stay for emergency hospital admission within 30 days after index discharge </w:t>
            </w:r>
            <w:r w:rsidRPr="00546CCA">
              <w:rPr>
                <w:rFonts w:eastAsia="Arial Unicode MS" w:cs="Arial Unicode MS"/>
                <w:b/>
                <w:bCs/>
                <w:color w:val="000000" w:themeColor="text1"/>
                <w:vertAlign w:val="superscript"/>
                <w:lang w:val="en-US"/>
              </w:rPr>
              <w:t>&amp;</w:t>
            </w:r>
          </w:p>
        </w:tc>
      </w:tr>
      <w:tr w:rsidR="002738FE" w:rsidRPr="00546CCA" w14:paraId="325364B6" w14:textId="77777777" w:rsidTr="00F10156">
        <w:trPr>
          <w:trHeight w:val="662"/>
        </w:trPr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1884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Predictors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834389" w14:textId="77777777" w:rsidR="002738FE" w:rsidRPr="00546CCA" w:rsidRDefault="002738FE" w:rsidP="00F10156">
            <w:pPr>
              <w:pStyle w:val="Body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Univariate </w:t>
            </w:r>
          </w:p>
          <w:p w14:paraId="53C2D8D4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(n= 446)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0512CE" w14:textId="77777777" w:rsidR="002738FE" w:rsidRPr="00546CCA" w:rsidRDefault="002738FE" w:rsidP="00F10156">
            <w:pPr>
              <w:pStyle w:val="Body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Model 1* </w:t>
            </w:r>
          </w:p>
          <w:p w14:paraId="5EAF6836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(n= 441)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3DD7BB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Model 2* (n= 443)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89DAEF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Univariate (n= 446)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A0A691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Model 1* (n= 255)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22D4CE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Model 2* (n= 333)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AB6CB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Model 3* (n= 338)</w:t>
            </w:r>
          </w:p>
        </w:tc>
      </w:tr>
      <w:tr w:rsidR="002738FE" w:rsidRPr="00546CCA" w14:paraId="3F165054" w14:textId="77777777" w:rsidTr="00F10156">
        <w:trPr>
          <w:trHeight w:val="887"/>
        </w:trPr>
        <w:tc>
          <w:tcPr>
            <w:tcW w:w="19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B6139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Index admission- admitted to hospital via Emergency route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DDB003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2.12 (1.26, 3.58)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B61092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1.87 (1.07, 3.27)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A694B1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1.99 (1.15, 3.43)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A33A78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1.92 (1.58, 2.32)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06E449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1.11 (0.7, 1.76)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70A46D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60D69F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69A72A96" w14:textId="77777777" w:rsidTr="00F10156">
        <w:trPr>
          <w:trHeight w:val="232"/>
        </w:trPr>
        <w:tc>
          <w:tcPr>
            <w:tcW w:w="14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473B1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Sociodemographic characteristics</w:t>
            </w:r>
          </w:p>
        </w:tc>
      </w:tr>
      <w:tr w:rsidR="002738FE" w:rsidRPr="00546CCA" w14:paraId="030A4EF1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99BCD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proofErr w:type="gramStart"/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10 year</w:t>
            </w:r>
            <w:proofErr w:type="gramEnd"/>
            <w:r w:rsidRPr="00546CCA">
              <w:rPr>
                <w:color w:val="000000" w:themeColor="text1"/>
                <w:sz w:val="20"/>
                <w:szCs w:val="20"/>
                <w:lang w:val="en-US"/>
              </w:rPr>
              <w:t xml:space="preserve"> increase in age at hospital admission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7AE31C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1.09 (0.91, 1.28)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6788A2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F17210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B1A708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1.02 (0.89, 1.16)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61A1DD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8B91D2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660CEA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4649BA4D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3368A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Male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D00E72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1.51 (0.87, 2.51)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C712BD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26C915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FCFE19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0.77 (0.67, 0.89)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ACEC42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1.95 (1.39, 2.72)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F07E64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1.70 (1.38, 2.09)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2D70B6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1.7 (1.4, 2.08)</w:t>
            </w:r>
          </w:p>
        </w:tc>
      </w:tr>
      <w:tr w:rsidR="002738FE" w:rsidRPr="00546CCA" w14:paraId="03742EB6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D010E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Non-white ethnicity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9E2AD5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0.64 (0.34, 1.19)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DE28CA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CF8727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80BEBA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0.62 (0.51, 0.75)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21E46D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1.28 (0.92, 1.79)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44F101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DE912C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6E74FE7D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0BAE9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10-unit increase in IMD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F385D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1.03 (0.83, 1.29)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A218B6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AB830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98DA82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1.00 (0.84, 1.16)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039B98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750569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5D7C44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2D87D204" w14:textId="77777777" w:rsidTr="00F10156">
        <w:trPr>
          <w:trHeight w:val="45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3EDAF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proofErr w:type="spellStart"/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HoNoS</w:t>
            </w:r>
            <w:proofErr w:type="spellEnd"/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problems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D2182F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F69318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75FFA0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DC52FF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68F17B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04C471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F0E4D6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108A9520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0A8FC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Agitation problems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AFBAF8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0.91 (0.36, 2.29)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A47364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EB9F1D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4408EE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0.64 (0.43, 0.93)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1773CA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2.75 (1.31, 5.79)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C20AB6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1.62 (1.01, 2.59)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21CB8C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1.61 (1.01, 2.57)</w:t>
            </w:r>
          </w:p>
        </w:tc>
      </w:tr>
      <w:tr w:rsidR="002738FE" w:rsidRPr="00546CCA" w14:paraId="1F9E2E65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7A93E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Self-injury problems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748758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1.27 (0.59, 2.73)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78E9F3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B3E4D8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5F33F2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0.60 (0.46, 0.79)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589FF5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0.18 (0.11, 0.30)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FD5A10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0.40 (0.31, 0.58)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74EC69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0.41 (0.30, 0.58)</w:t>
            </w:r>
          </w:p>
        </w:tc>
      </w:tr>
      <w:tr w:rsidR="002738FE" w:rsidRPr="00546CCA" w14:paraId="351C76C6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69FA7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Substance abuse problems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077DAC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1.54 (0.66, 3.62)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6CE535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A20529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ACC6BE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0.75 (0.56, 1.00)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51407C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1.48 (0.61, 3.58)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23D09A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069204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65328CEF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5632C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Cognitive problems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BA4F47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0.65 (0.29, 1.45)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80046D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3694D4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F84A95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1.76 (1.44, 2.14)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51E723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1.45 (1.02, 2.06)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1CD540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1.02 (0.82, 1.27)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2DC02F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369232CE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5A010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Physical health problems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EA6D96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1.09 (0.59, 2.02)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7B0349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39E1A8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92D794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1.64 (1.35, 2.00)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6511AB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0.92 (0.63, 1.35)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63C335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44AC49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652DD783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3CADA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Hallucinations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79C1A6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0.45 (0.10, 1.98)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06B67A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93307F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B87199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0.81 (0.46, 1.45)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EABEEB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AB0A05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AC5B0C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4B761105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1BC0B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Depressed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87CAB5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0.73 (0.42, 1.27)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78845B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7A619E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FF939C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1.84 (1.55, 2.17)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CE9DC3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2.19 (1.59, 3.03)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8736BA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1.66 (1.34, 2.06)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4B6532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1.67 (1.35, 2.06)</w:t>
            </w:r>
          </w:p>
        </w:tc>
      </w:tr>
      <w:tr w:rsidR="002738FE" w:rsidRPr="00546CCA" w14:paraId="75C2C908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7CF33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Relationship problems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549DF7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1.09 (0.59, 2.04)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3CB650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2B13FF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AAFDEC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1.01 (0.84, 1.21)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DC09DE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738044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C526B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0C2BA93E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72E5E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Daily living problems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AAACBB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0.92 (0.52, 1.61)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B160F1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E0E3AE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8B53CA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1.74 (1.48, 2.05)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1A5476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0.95 (0.68, 1.34)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26F1CF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175BDB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5A0B3BE3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86A59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Living conditions problems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E47C00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0.85 (0.39, 1.85)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75D12A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E5F579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070C29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0.63 (0.48, 0.83)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6A3545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1.19 (0.70, 2.02)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8A70A2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0FC527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609CF612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561AE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Occupational problems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8157D4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1.00 (0.55, 1.85)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135786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11A518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F7557A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2.06 (1.75, 2.43)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96CEEF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2.41 (1.42, 4.08)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8D87B5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2.3 (1.81, 2.95)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9BFF46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2.30 (1.82, 2.95)</w:t>
            </w:r>
          </w:p>
        </w:tc>
      </w:tr>
      <w:tr w:rsidR="002738FE" w:rsidRPr="00546CCA" w14:paraId="297418D4" w14:textId="77777777" w:rsidTr="00F10156">
        <w:trPr>
          <w:trHeight w:val="45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901FC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Psychiatric diagnosis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EDD42D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F17B99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1F52DF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BAEC45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06FE8D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604389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BB038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065B5463" w14:textId="77777777" w:rsidTr="00F10156">
        <w:trPr>
          <w:trHeight w:val="133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9579A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Mental and </w:t>
            </w:r>
            <w:proofErr w:type="spellStart"/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behavioural</w:t>
            </w:r>
            <w:proofErr w:type="spellEnd"/>
            <w:r w:rsidRPr="00546CCA">
              <w:rPr>
                <w:color w:val="000000" w:themeColor="text1"/>
                <w:sz w:val="20"/>
                <w:szCs w:val="20"/>
                <w:lang w:val="en-US"/>
              </w:rPr>
              <w:t xml:space="preserve"> disorders due to psychoactive substance use (F10- F19)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D29FF0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2.75 (1.13, 6.68)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4E90BC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2.64 (0.99, 7.03)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1327E8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2.52 (1.01, 6.50)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EEBE2F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0.63 (0.47, 0.84)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02E5D2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0.31 (0.11, 0.88)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376D7A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0.34 (0.23, 0.5)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6FA009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0.34 (0.23, 0.51)</w:t>
            </w:r>
          </w:p>
        </w:tc>
      </w:tr>
      <w:tr w:rsidR="002738FE" w:rsidRPr="00546CCA" w14:paraId="7D049DBC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108A4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Dementia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758200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0.38 (0.05, 2.99)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090EBE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877993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4FBB1F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1.09 (0.73, 1.63)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A4903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5FCD23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4D7168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694E332A" w14:textId="77777777" w:rsidTr="00F10156">
        <w:trPr>
          <w:trHeight w:val="111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43859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Neurotic, stress-related and somatoform disorders (F40- F48)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927C55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1.07 (0.39, 2.90)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8A618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C898B3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96C46D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0.87 (0.63, 1.19)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A4251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CF0A86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D37C23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6A013EB7" w14:textId="77777777" w:rsidTr="00F10156">
        <w:trPr>
          <w:trHeight w:val="89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DB409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 xml:space="preserve">Disorders of adult personality and </w:t>
            </w:r>
            <w:proofErr w:type="spellStart"/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behaviour</w:t>
            </w:r>
            <w:proofErr w:type="spellEnd"/>
            <w:r w:rsidRPr="00546CCA">
              <w:rPr>
                <w:color w:val="000000" w:themeColor="text1"/>
                <w:sz w:val="20"/>
                <w:szCs w:val="20"/>
                <w:lang w:val="en-US"/>
              </w:rPr>
              <w:t xml:space="preserve"> (F60- F69)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C0BF0C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1.29 (0.42, 3.99)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6DF9EA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195595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F50B39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0.17 (0.07, 0.41)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BC583B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0.05 (0.02, 0.15)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91B70F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0.12 (0.04, 0.31)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289C4F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0.12 (0.04, 0.31)</w:t>
            </w:r>
          </w:p>
        </w:tc>
      </w:tr>
      <w:tr w:rsidR="002738FE" w:rsidRPr="00546CCA" w14:paraId="5DB576BD" w14:textId="77777777" w:rsidTr="00F10156">
        <w:trPr>
          <w:trHeight w:val="232"/>
        </w:trPr>
        <w:tc>
          <w:tcPr>
            <w:tcW w:w="14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FDF47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Psychiatric medication before vascular surgery</w:t>
            </w:r>
          </w:p>
        </w:tc>
      </w:tr>
      <w:tr w:rsidR="002738FE" w:rsidRPr="00546CCA" w14:paraId="493EE506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92999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Antipsychotics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DD8C81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1.50 (0.79, 2.82)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63F3FF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94743F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3C8355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0.57 (0.46, 0.72)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8723AE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1.30 (0.78, 2.19)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08ED9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24DCFE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5EC90B71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4EE79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Antidepressants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9D62E3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1.53 (0.92, 2.53)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E76A84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EE31CD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F97C3B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1.30 (1.13, 1.50)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1FDFD0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3.66 (2.51, 5.35)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DA1C7B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1.98 (1.62, 2.41)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83866E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1.98 (1.62, 2.41)</w:t>
            </w:r>
          </w:p>
        </w:tc>
      </w:tr>
      <w:tr w:rsidR="002738FE" w:rsidRPr="00546CCA" w14:paraId="5375E614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8D3F4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Anxiolytics and Hypnotics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7812AD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1.08 (0.58, 2.02)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716B49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2DB3DA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596DFD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0.87 (0.71, 1.05)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D5ACC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F146C9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355E78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7685072F" w14:textId="77777777" w:rsidTr="00F10156">
        <w:trPr>
          <w:trHeight w:val="232"/>
        </w:trPr>
        <w:tc>
          <w:tcPr>
            <w:tcW w:w="14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867DA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Physical health medication</w:t>
            </w:r>
          </w:p>
        </w:tc>
      </w:tr>
      <w:tr w:rsidR="002738FE" w:rsidRPr="00546CCA" w14:paraId="670D5CF8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192FA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Anticoagulants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20793A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1.27 (0.56, 2.87)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7A24D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7A43F5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8DDBA2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0.44 (0.31, 0.64)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2F9039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0.66 (0.35, 1.26)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CA149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8471C5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29E9E36A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47E19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Antidiabetics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563D0D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2.94 (1.26, 6.89)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710FDC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1.85 (0.7, 4.84)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7A5997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CBDA8E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0.99 (0.77, 1.27)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8C7E95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E103DA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5DA759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06672CD4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62A6F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Analgesics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569E65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1.74 (0.96, 3.18)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0759C3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0B7C35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A8EC86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1.12 (0.94, 1.33)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86A068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C47372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8DC910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3A53DA69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F7577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Antihypertensives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BA35C4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1.29 (0.71, 2.36)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AD6A61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D704B3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DC0B70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0.97 (0.81, 1.16)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AF9B50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E5F474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DFB5F1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0BA06A0D" w14:textId="77777777" w:rsidTr="00F10156">
        <w:trPr>
          <w:trHeight w:val="632"/>
        </w:trPr>
        <w:tc>
          <w:tcPr>
            <w:tcW w:w="14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EC24A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Previous physical disability related admissions</w:t>
            </w:r>
          </w:p>
        </w:tc>
      </w:tr>
      <w:tr w:rsidR="002738FE" w:rsidRPr="00546CCA" w14:paraId="2D1568EF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12E0B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Syncope and Collapse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20341D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1.99 (1.20, 3.31)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7C0763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1.66 (0.95, 2.89)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344C69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1.74 (1.02, 2.98)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64441D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0.69 (0.60, 0.80)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960300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0.32 (0.24, 0.42)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FDD125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0.62 (0.52, 0.74)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4D507C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0.62 (0.52, 0.74)</w:t>
            </w:r>
          </w:p>
        </w:tc>
      </w:tr>
      <w:tr w:rsidR="002738FE" w:rsidRPr="00546CCA" w14:paraId="626B247E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76208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Osteoporosis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289223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1.58 (0.69, 3.63)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7B429F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B7BBFC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B36D83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1.43 (1.17, 1.76)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7D38EB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1.06 (0.69, 1.63)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FD72A8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243DFF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60745E61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3F334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UTIs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75EE46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2.14 (1.22, 3.75)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42F236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1.46 (0.78, 2.73)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52C1FB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E89527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3.49 (3.03, 4.02)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AEB0EA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2.77 (1.74, 4.43)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C5E03E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2.03 (1.66, 2.48)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387F32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2.03 (1.67, 2.48)</w:t>
            </w:r>
          </w:p>
        </w:tc>
      </w:tr>
      <w:tr w:rsidR="002738FE" w:rsidRPr="00546CCA" w14:paraId="4DC5DB6D" w14:textId="77777777" w:rsidTr="00F10156">
        <w:trPr>
          <w:trHeight w:val="232"/>
        </w:trPr>
        <w:tc>
          <w:tcPr>
            <w:tcW w:w="14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5986F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Previous CVD hospital admissions</w:t>
            </w:r>
          </w:p>
        </w:tc>
      </w:tr>
      <w:tr w:rsidR="002738FE" w:rsidRPr="00546CCA" w14:paraId="4031AC19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FBD3D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Arrhythmia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8BA26E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0.93 (0.50, 1.73)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E3248F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FE708B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30623B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0.95 (0.81, 1.11)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355431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EB9EB7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348DD4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3EDD4CF8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409C2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proofErr w:type="spellStart"/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Ischaemia</w:t>
            </w:r>
            <w:proofErr w:type="spellEnd"/>
            <w:r w:rsidRPr="00546CCA">
              <w:rPr>
                <w:color w:val="000000" w:themeColor="text1"/>
                <w:sz w:val="20"/>
                <w:szCs w:val="20"/>
                <w:lang w:val="en-US"/>
              </w:rPr>
              <w:t xml:space="preserve"> and Coronary Heart Disease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1726AD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2.13 (1.27, 3.57)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339477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1.53 (0.81, 2.9)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D355FF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96FD65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1.74 (1.51, 2.00)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83B26E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0.99 (0.64, 1.53)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60FC47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B1339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025B8512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EA913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0915B8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1.76 (0.97, 3.04)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930931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1.02 (0.51, 2.05)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D44C01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74ACD6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1.21 (1.04, 1.41)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176BDB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0.84 (0.53, 1.32)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91696F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8675A2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2A96C0CE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CC661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Hypotension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232B9D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1.33 (0.67, 2.65)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4D1599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424488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4BE6DA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1.06 (0.89, 1.26)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E4240B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479496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1C0920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627D6383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F70CE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Diabetes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478419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1.77 (1.07, 2.94)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A39743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1.26 (0.68, 2.34)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EEB9A2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5462F3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1.48 (1.29, 1.70)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650215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0.86 (0.63, 1.19)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0DB87F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6BA3F2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</w:tr>
      <w:tr w:rsidR="002738FE" w:rsidRPr="00546CCA" w14:paraId="6BFC28E0" w14:textId="77777777" w:rsidTr="00F10156">
        <w:trPr>
          <w:trHeight w:val="67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F884E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Heart Failure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FD11DF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1.40 (0.72, 2.73)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36378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2BA2B3" w14:textId="77777777" w:rsidR="002738FE" w:rsidRPr="00546CCA" w:rsidRDefault="002738FE" w:rsidP="00F10156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0D7808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0.54 (0.42, 0.68)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C29DEE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0.40 (0.26, 0.64)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3170D4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0.68 (0.52, 0.89)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C245CA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0.68 (0.52, 0.89)</w:t>
            </w:r>
          </w:p>
        </w:tc>
      </w:tr>
      <w:tr w:rsidR="002738FE" w:rsidRPr="00546CCA" w14:paraId="58F831A8" w14:textId="77777777" w:rsidTr="00F10156">
        <w:trPr>
          <w:trHeight w:val="667"/>
        </w:trPr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9190E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Hypercholesterolemia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02F558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2.17 (1.30, 3.62)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8B00D8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1.75 (1.03, 3.31)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AC2A13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2.39 (1.39, 4.10)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D6D8F2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3.24 (2.78, 3.78)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D7EAC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1.14 (0.74, 1.74)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01869F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96383B" w14:textId="77777777" w:rsidR="002738FE" w:rsidRPr="00546CCA" w:rsidRDefault="002738FE" w:rsidP="00F1015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</w:tr>
    </w:tbl>
    <w:p w14:paraId="4495EE8B" w14:textId="77777777" w:rsidR="002738FE" w:rsidRPr="004438C1" w:rsidRDefault="002738FE" w:rsidP="002738FE">
      <w:pPr>
        <w:pStyle w:val="Body"/>
        <w:rPr>
          <w:rFonts w:eastAsia="Arial Unicode MS" w:cs="Arial Unicode MS"/>
          <w:color w:val="000000" w:themeColor="text1"/>
          <w:sz w:val="20"/>
          <w:szCs w:val="20"/>
          <w:lang w:val="it-IT"/>
        </w:rPr>
      </w:pPr>
      <w:r w:rsidRPr="004438C1">
        <w:rPr>
          <w:rFonts w:eastAsia="Arial Unicode MS" w:cs="Arial Unicode MS"/>
          <w:color w:val="000000" w:themeColor="text1"/>
          <w:sz w:val="20"/>
          <w:szCs w:val="20"/>
          <w:vertAlign w:val="superscript"/>
          <w:lang w:val="it-IT"/>
        </w:rPr>
        <w:t xml:space="preserve">$  </w:t>
      </w:r>
      <w:r w:rsidRPr="004438C1">
        <w:rPr>
          <w:rFonts w:eastAsia="Arial Unicode MS" w:cs="Arial Unicode MS"/>
          <w:color w:val="000000" w:themeColor="text1"/>
          <w:sz w:val="20"/>
          <w:szCs w:val="20"/>
          <w:lang w:val="it-IT"/>
        </w:rPr>
        <w:t xml:space="preserve">Model 1: AIC=370.9; BIC=411.8;  </w:t>
      </w:r>
      <w:r w:rsidRPr="004438C1">
        <w:rPr>
          <w:rFonts w:eastAsia="Arial Unicode MS" w:cs="Arial Unicode MS"/>
          <w:color w:val="000000" w:themeColor="text1"/>
          <w:sz w:val="20"/>
          <w:szCs w:val="20"/>
          <w:vertAlign w:val="superscript"/>
          <w:lang w:val="it-IT"/>
        </w:rPr>
        <w:t xml:space="preserve">      </w:t>
      </w:r>
      <w:r w:rsidRPr="004438C1">
        <w:rPr>
          <w:rFonts w:eastAsia="Arial Unicode MS" w:cs="Arial Unicode MS"/>
          <w:color w:val="000000" w:themeColor="text1"/>
          <w:sz w:val="20"/>
          <w:szCs w:val="20"/>
          <w:lang w:val="it-IT"/>
        </w:rPr>
        <w:t xml:space="preserve">Model 2: AIC= 368.8; BIC=412.3;     </w:t>
      </w:r>
    </w:p>
    <w:p w14:paraId="46ED35A5" w14:textId="77777777" w:rsidR="002738FE" w:rsidRPr="004438C1" w:rsidRDefault="002738FE" w:rsidP="002738FE">
      <w:pPr>
        <w:pStyle w:val="Body"/>
        <w:rPr>
          <w:rFonts w:eastAsia="Arial Unicode MS" w:cs="Arial Unicode MS"/>
          <w:color w:val="000000" w:themeColor="text1"/>
          <w:sz w:val="20"/>
          <w:szCs w:val="20"/>
          <w:lang w:val="it-IT"/>
        </w:rPr>
      </w:pPr>
      <w:r w:rsidRPr="004438C1">
        <w:rPr>
          <w:rFonts w:eastAsia="Arial Unicode MS" w:cs="Arial Unicode MS"/>
          <w:color w:val="000000" w:themeColor="text1"/>
          <w:sz w:val="20"/>
          <w:szCs w:val="20"/>
          <w:vertAlign w:val="superscript"/>
          <w:lang w:val="it-IT"/>
        </w:rPr>
        <w:t>&amp;</w:t>
      </w:r>
      <w:r w:rsidRPr="004438C1">
        <w:rPr>
          <w:rFonts w:eastAsia="Arial Unicode MS" w:cs="Arial Unicode MS"/>
          <w:color w:val="000000" w:themeColor="text1"/>
          <w:sz w:val="20"/>
          <w:szCs w:val="20"/>
          <w:lang w:val="it-IT"/>
        </w:rPr>
        <w:t xml:space="preserve"> Model 1: AIC= 1303.8; BIC= 948.0;  </w:t>
      </w:r>
      <w:r w:rsidRPr="004438C1">
        <w:rPr>
          <w:rFonts w:eastAsia="Arial Unicode MS" w:cs="Arial Unicode MS"/>
          <w:color w:val="000000" w:themeColor="text1"/>
          <w:sz w:val="20"/>
          <w:szCs w:val="20"/>
          <w:vertAlign w:val="superscript"/>
          <w:lang w:val="it-IT"/>
        </w:rPr>
        <w:t xml:space="preserve">      </w:t>
      </w:r>
      <w:r w:rsidRPr="004438C1">
        <w:rPr>
          <w:rFonts w:eastAsia="Arial Unicode MS" w:cs="Arial Unicode MS"/>
          <w:color w:val="000000" w:themeColor="text1"/>
          <w:sz w:val="20"/>
          <w:szCs w:val="20"/>
          <w:lang w:val="it-IT"/>
        </w:rPr>
        <w:t xml:space="preserve">Model 2: AIC= 1305.9; BIC=1404.4; Model 3: AIC= 1305.1; BC=1404.0;  </w:t>
      </w:r>
      <w:r w:rsidRPr="004438C1">
        <w:rPr>
          <w:rFonts w:eastAsia="Arial Unicode MS" w:cs="Arial Unicode MS"/>
          <w:color w:val="000000" w:themeColor="text1"/>
          <w:sz w:val="20"/>
          <w:szCs w:val="20"/>
          <w:vertAlign w:val="superscript"/>
          <w:lang w:val="it-IT"/>
        </w:rPr>
        <w:t xml:space="preserve">                              </w:t>
      </w:r>
      <w:r w:rsidRPr="004438C1">
        <w:rPr>
          <w:rFonts w:eastAsia="Arial Unicode MS" w:cs="Arial Unicode MS"/>
          <w:color w:val="000000" w:themeColor="text1"/>
          <w:sz w:val="20"/>
          <w:szCs w:val="20"/>
          <w:lang w:val="it-IT"/>
        </w:rPr>
        <w:t xml:space="preserve">  </w:t>
      </w:r>
      <w:r w:rsidRPr="004438C1">
        <w:rPr>
          <w:rFonts w:eastAsia="Arial Unicode MS" w:cs="Arial Unicode MS"/>
          <w:color w:val="000000" w:themeColor="text1"/>
          <w:sz w:val="20"/>
          <w:szCs w:val="20"/>
          <w:vertAlign w:val="superscript"/>
          <w:lang w:val="it-IT"/>
        </w:rPr>
        <w:t xml:space="preserve">                              </w:t>
      </w:r>
    </w:p>
    <w:p w14:paraId="152FCB0B" w14:textId="77777777" w:rsidR="002738FE" w:rsidRPr="00546CCA" w:rsidRDefault="002738FE" w:rsidP="002738FE">
      <w:pPr>
        <w:rPr>
          <w:lang w:val="it-IT" w:eastAsia="en-GB"/>
        </w:rPr>
      </w:pPr>
    </w:p>
    <w:p w14:paraId="658D1F23" w14:textId="77777777" w:rsidR="002738FE" w:rsidRPr="00546CCA" w:rsidRDefault="002738FE" w:rsidP="002738FE">
      <w:pPr>
        <w:rPr>
          <w:lang w:val="it-IT" w:eastAsia="en-GB"/>
        </w:rPr>
      </w:pPr>
    </w:p>
    <w:p w14:paraId="71F0801E" w14:textId="77777777" w:rsidR="002738FE" w:rsidRPr="00546CCA" w:rsidRDefault="002738FE" w:rsidP="002738FE">
      <w:pPr>
        <w:rPr>
          <w:lang w:val="it-IT" w:eastAsia="en-GB"/>
        </w:rPr>
      </w:pPr>
    </w:p>
    <w:p w14:paraId="2D8C9560" w14:textId="77777777" w:rsidR="00303BB4" w:rsidRPr="002738FE" w:rsidRDefault="00303BB4">
      <w:pPr>
        <w:rPr>
          <w:lang w:val="it-IT"/>
        </w:rPr>
      </w:pPr>
    </w:p>
    <w:sectPr w:rsidR="00303BB4" w:rsidRPr="002738FE" w:rsidSect="00CE068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CF2E2" w14:textId="77777777" w:rsidR="00921984" w:rsidRDefault="00921984">
      <w:r>
        <w:separator/>
      </w:r>
    </w:p>
  </w:endnote>
  <w:endnote w:type="continuationSeparator" w:id="0">
    <w:p w14:paraId="4F23F504" w14:textId="77777777" w:rsidR="00921984" w:rsidRDefault="0092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89B2D" w14:textId="77777777" w:rsidR="00921984" w:rsidRDefault="00921984">
      <w:r>
        <w:separator/>
      </w:r>
    </w:p>
  </w:footnote>
  <w:footnote w:type="continuationSeparator" w:id="0">
    <w:p w14:paraId="4A48FFAB" w14:textId="77777777" w:rsidR="00921984" w:rsidRDefault="00921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92A37" w14:textId="77777777" w:rsidR="001B777B" w:rsidRDefault="0021681B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747C"/>
    <w:multiLevelType w:val="multilevel"/>
    <w:tmpl w:val="FE8625E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BB5B0D"/>
    <w:multiLevelType w:val="hybridMultilevel"/>
    <w:tmpl w:val="92729ED2"/>
    <w:numStyleLink w:val="ImportedStyle2"/>
  </w:abstractNum>
  <w:abstractNum w:abstractNumId="2" w15:restartNumberingAfterBreak="0">
    <w:nsid w:val="13BF3C9C"/>
    <w:multiLevelType w:val="hybridMultilevel"/>
    <w:tmpl w:val="F45859C8"/>
    <w:numStyleLink w:val="ImportedStyle1"/>
  </w:abstractNum>
  <w:abstractNum w:abstractNumId="3" w15:restartNumberingAfterBreak="0">
    <w:nsid w:val="1C756AEE"/>
    <w:multiLevelType w:val="hybridMultilevel"/>
    <w:tmpl w:val="7C4AA8D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27310"/>
    <w:multiLevelType w:val="hybridMultilevel"/>
    <w:tmpl w:val="F45859C8"/>
    <w:styleLink w:val="ImportedStyle1"/>
    <w:lvl w:ilvl="0" w:tplc="C516517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FC82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5EED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9639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0449B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381A1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9AC2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5287C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8675A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4004AA7"/>
    <w:multiLevelType w:val="multilevel"/>
    <w:tmpl w:val="F7CE4DC4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BED4E88"/>
    <w:multiLevelType w:val="hybridMultilevel"/>
    <w:tmpl w:val="75FEF576"/>
    <w:lvl w:ilvl="0" w:tplc="7D161D5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02FCB"/>
    <w:multiLevelType w:val="multilevel"/>
    <w:tmpl w:val="A6FCB524"/>
    <w:lvl w:ilvl="0">
      <w:start w:val="1"/>
      <w:numFmt w:val="decimal"/>
      <w:lvlText w:val="%1."/>
      <w:lvlJc w:val="left"/>
      <w:pPr>
        <w:ind w:left="38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7B2394"/>
    <w:multiLevelType w:val="multilevel"/>
    <w:tmpl w:val="4F5870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136DA5"/>
    <w:multiLevelType w:val="hybridMultilevel"/>
    <w:tmpl w:val="723A7B76"/>
    <w:numStyleLink w:val="ImportedStyle3"/>
  </w:abstractNum>
  <w:abstractNum w:abstractNumId="10" w15:restartNumberingAfterBreak="0">
    <w:nsid w:val="7CF10E5D"/>
    <w:multiLevelType w:val="hybridMultilevel"/>
    <w:tmpl w:val="723A7B76"/>
    <w:styleLink w:val="ImportedStyle3"/>
    <w:lvl w:ilvl="0" w:tplc="E86615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0A95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0419C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F6A5C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66B5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80D14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E64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4C28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2CEC9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D32360D"/>
    <w:multiLevelType w:val="hybridMultilevel"/>
    <w:tmpl w:val="92729ED2"/>
    <w:styleLink w:val="ImportedStyle2"/>
    <w:lvl w:ilvl="0" w:tplc="6F4E6D7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66B028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A868F0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9B636EA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72D2F2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B0278C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7E6B92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1C0BA90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41A78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FE"/>
    <w:rsid w:val="0021681B"/>
    <w:rsid w:val="002738FE"/>
    <w:rsid w:val="0029179E"/>
    <w:rsid w:val="00303BB4"/>
    <w:rsid w:val="003C5ECF"/>
    <w:rsid w:val="00921984"/>
    <w:rsid w:val="00CE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BA6C"/>
  <w15:chartTrackingRefBased/>
  <w15:docId w15:val="{DAA9C606-D56C-40D7-852F-9EC452C6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8FE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38FE"/>
    <w:rPr>
      <w:u w:val="single"/>
    </w:rPr>
  </w:style>
  <w:style w:type="paragraph" w:customStyle="1" w:styleId="HeaderFooter">
    <w:name w:val="Header &amp; Footer"/>
    <w:rsid w:val="002738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rsid w:val="002738F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2738FE"/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ref-vol">
    <w:name w:val="ref-vol"/>
    <w:rsid w:val="002738FE"/>
    <w:rPr>
      <w:lang w:val="en-US"/>
    </w:rPr>
  </w:style>
  <w:style w:type="paragraph" w:customStyle="1" w:styleId="Body">
    <w:name w:val="Body"/>
    <w:rsid w:val="002738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2738F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rsid w:val="002738F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numbering" w:customStyle="1" w:styleId="ImportedStyle1">
    <w:name w:val="Imported Style 1"/>
    <w:rsid w:val="002738FE"/>
    <w:pPr>
      <w:numPr>
        <w:numId w:val="1"/>
      </w:numPr>
    </w:pPr>
  </w:style>
  <w:style w:type="numbering" w:customStyle="1" w:styleId="ImportedStyle2">
    <w:name w:val="Imported Style 2"/>
    <w:rsid w:val="002738FE"/>
    <w:pPr>
      <w:numPr>
        <w:numId w:val="3"/>
      </w:numPr>
    </w:pPr>
  </w:style>
  <w:style w:type="numbering" w:customStyle="1" w:styleId="ImportedStyle3">
    <w:name w:val="Imported Style 3"/>
    <w:rsid w:val="002738FE"/>
    <w:pPr>
      <w:numPr>
        <w:numId w:val="5"/>
      </w:numPr>
    </w:pPr>
  </w:style>
  <w:style w:type="character" w:customStyle="1" w:styleId="Link">
    <w:name w:val="Link"/>
    <w:rsid w:val="002738FE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2738FE"/>
    <w:rPr>
      <w:outline w:val="0"/>
      <w:color w:val="000000"/>
      <w:u w:val="single" w:color="000000"/>
      <w:shd w:val="clear" w:color="auto" w:fill="FFFFF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8FE"/>
    <w:pPr>
      <w:pBdr>
        <w:top w:val="nil"/>
        <w:left w:val="nil"/>
        <w:bottom w:val="nil"/>
        <w:right w:val="nil"/>
        <w:between w:val="nil"/>
        <w:bar w:val="nil"/>
      </w:pBdr>
    </w:pPr>
    <w:rPr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8FE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38F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8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egoe UI" w:hAnsi="Segoe UI" w:cs="Segoe UI"/>
      <w:sz w:val="18"/>
      <w:szCs w:val="18"/>
      <w:bdr w:val="n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FE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8FE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Revision">
    <w:name w:val="Revision"/>
    <w:hidden/>
    <w:uiPriority w:val="99"/>
    <w:semiHidden/>
    <w:rsid w:val="002738FE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UnresolvedMention">
    <w:name w:val="Unresolved Mention"/>
    <w:basedOn w:val="DefaultParagraphFont"/>
    <w:uiPriority w:val="99"/>
    <w:rsid w:val="00273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</Words>
  <Characters>3864</Characters>
  <Application>Microsoft Office Word</Application>
  <DocSecurity>4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 Perera</dc:creator>
  <cp:keywords/>
  <dc:description/>
  <cp:lastModifiedBy>Jodie Elgey</cp:lastModifiedBy>
  <cp:revision>2</cp:revision>
  <dcterms:created xsi:type="dcterms:W3CDTF">2021-01-12T09:36:00Z</dcterms:created>
  <dcterms:modified xsi:type="dcterms:W3CDTF">2021-01-12T09:36:00Z</dcterms:modified>
</cp:coreProperties>
</file>