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DC36" w14:textId="08B9CE88" w:rsidR="00886281" w:rsidRPr="00892E49" w:rsidRDefault="00717B81" w:rsidP="00717B81">
      <w:pPr>
        <w:jc w:val="center"/>
        <w:rPr>
          <w:rFonts w:ascii="Times New Roman" w:hAnsi="Times New Roman" w:cs="Times New Roman"/>
          <w:b/>
          <w:bCs/>
          <w:sz w:val="22"/>
          <w:szCs w:val="22"/>
          <w:lang w:val="en-US"/>
        </w:rPr>
      </w:pPr>
      <w:r w:rsidRPr="00892E49">
        <w:rPr>
          <w:rFonts w:ascii="Times New Roman" w:hAnsi="Times New Roman" w:cs="Times New Roman"/>
          <w:b/>
          <w:bCs/>
          <w:sz w:val="22"/>
          <w:szCs w:val="22"/>
          <w:lang w:val="en-US"/>
        </w:rPr>
        <w:t>Supplementary Material</w:t>
      </w:r>
    </w:p>
    <w:p w14:paraId="5B34E0FD" w14:textId="16A842D9" w:rsidR="00717B81" w:rsidRPr="00892E49" w:rsidRDefault="00717B81">
      <w:pPr>
        <w:rPr>
          <w:rFonts w:ascii="Times New Roman" w:hAnsi="Times New Roman" w:cs="Times New Roman"/>
          <w:sz w:val="22"/>
          <w:szCs w:val="22"/>
          <w:lang w:val="en-US"/>
        </w:rPr>
      </w:pPr>
    </w:p>
    <w:p w14:paraId="7FE27679" w14:textId="79B61F5E" w:rsidR="00717B81" w:rsidRDefault="00B61EA0" w:rsidP="00717B81">
      <w:pPr>
        <w:pStyle w:val="Lgende"/>
        <w:keepNext/>
        <w:spacing w:after="0" w:line="480" w:lineRule="auto"/>
        <w:rPr>
          <w:rFonts w:ascii="Times New Roman" w:hAnsi="Times New Roman" w:cs="Times New Roman"/>
          <w:b/>
          <w:i w:val="0"/>
          <w:color w:val="auto"/>
          <w:sz w:val="22"/>
          <w:szCs w:val="22"/>
        </w:rPr>
      </w:pPr>
      <w:r w:rsidRPr="00B61EA0">
        <w:rPr>
          <w:rFonts w:ascii="Times New Roman" w:hAnsi="Times New Roman" w:cs="Times New Roman"/>
          <w:b/>
          <w:i w:val="0"/>
          <w:color w:val="auto"/>
          <w:sz w:val="22"/>
          <w:szCs w:val="22"/>
        </w:rPr>
        <w:t>Methods</w:t>
      </w:r>
    </w:p>
    <w:p w14:paraId="5ADE4724" w14:textId="77777777" w:rsidR="00B61EA0" w:rsidRPr="00B61EA0" w:rsidRDefault="00B61EA0" w:rsidP="00B61EA0">
      <w:pPr>
        <w:rPr>
          <w:lang w:val="en-US"/>
        </w:rPr>
      </w:pPr>
    </w:p>
    <w:p w14:paraId="38DFB5E8" w14:textId="77777777" w:rsidR="00B61EA0" w:rsidRPr="00B61EA0" w:rsidRDefault="00B61EA0" w:rsidP="00B61EA0">
      <w:pPr>
        <w:pStyle w:val="Souspartie"/>
        <w:spacing w:line="480" w:lineRule="auto"/>
        <w:rPr>
          <w:rFonts w:ascii="Times New Roman" w:hAnsi="Times New Roman" w:cs="Times New Roman"/>
        </w:rPr>
      </w:pPr>
      <w:r w:rsidRPr="00B61EA0">
        <w:rPr>
          <w:rFonts w:ascii="Times New Roman" w:hAnsi="Times New Roman" w:cs="Times New Roman"/>
        </w:rPr>
        <w:t xml:space="preserve">Paracingulate Sulcus measurements </w:t>
      </w:r>
    </w:p>
    <w:p w14:paraId="795250CE" w14:textId="1AADB577" w:rsidR="00B61EA0" w:rsidRPr="00892E49" w:rsidRDefault="00B61EA0" w:rsidP="00B61EA0">
      <w:pPr>
        <w:spacing w:line="480" w:lineRule="auto"/>
        <w:jc w:val="both"/>
        <w:rPr>
          <w:rFonts w:ascii="Times New Roman" w:hAnsi="Times New Roman" w:cs="Times New Roman"/>
          <w:sz w:val="22"/>
          <w:szCs w:val="22"/>
          <w:lang w:val="en-US"/>
        </w:rPr>
      </w:pPr>
      <w:r w:rsidRPr="00892E49">
        <w:rPr>
          <w:rFonts w:ascii="Times New Roman" w:hAnsi="Times New Roman" w:cs="Times New Roman"/>
          <w:sz w:val="22"/>
          <w:szCs w:val="22"/>
          <w:lang w:val="en-US"/>
        </w:rPr>
        <w:t xml:space="preserve">The paracingulate sulcus (PCS) was measured using Mango brain visualization software (version 4.0.1; </w:t>
      </w:r>
      <w:hyperlink r:id="rId5" w:history="1">
        <w:r w:rsidRPr="00892E49">
          <w:rPr>
            <w:rStyle w:val="Lienhypertexte"/>
            <w:rFonts w:ascii="Times New Roman" w:hAnsi="Times New Roman" w:cs="Times New Roman"/>
            <w:sz w:val="22"/>
            <w:szCs w:val="22"/>
            <w:lang w:val="en-US"/>
          </w:rPr>
          <w:t>http://ric.uthscsa.edu/mango</w:t>
        </w:r>
      </w:hyperlink>
      <w:r w:rsidRPr="00892E49">
        <w:rPr>
          <w:rFonts w:ascii="Times New Roman" w:hAnsi="Times New Roman" w:cs="Times New Roman"/>
          <w:sz w:val="22"/>
          <w:szCs w:val="22"/>
          <w:lang w:val="en-US"/>
        </w:rPr>
        <w:t xml:space="preserve">) following the measurement protocol described by Garrison et al. </w:t>
      </w:r>
      <w:r w:rsidRPr="00B61EA0">
        <w:rPr>
          <w:rFonts w:ascii="Times New Roman" w:hAnsi="Times New Roman" w:cs="Times New Roman"/>
          <w:sz w:val="22"/>
          <w:szCs w:val="22"/>
        </w:rPr>
        <w:fldChar w:fldCharType="begin"/>
      </w:r>
      <w:r w:rsidRPr="00892E49">
        <w:rPr>
          <w:rFonts w:ascii="Times New Roman" w:hAnsi="Times New Roman" w:cs="Times New Roman"/>
          <w:sz w:val="22"/>
          <w:szCs w:val="22"/>
          <w:lang w:val="en-US"/>
        </w:rPr>
        <w:instrText xml:space="preserve"> ADDIN ZOTERO_ITEM CSL_CITATION {"citationID":"MizFkTum","properties":{"formattedCitation":"[1]","plainCitation":"[1]","noteIndex":0},"citationItems":[{"id":"YYg6D0JI/5nPivHgR","uris":["http://zotero.org/users/6292702/items/PQHD8ZEL"],"uri":["http://zotero.org/users/6292702/items/PQHD8ZEL"],"itemData":{"id":425,"type":"article-journal","abstract":"Hallucinations are common in psychiatric disorders, and are also experienced by many individuals who are not mentally ill. Here, in 153 participants, we investigate brain structural markers that predict the occurrence of hallucinations by comparing patients with schizophrenia who have experienced hallucinations against patients who have not, matched on a number of demographic and clinical variables. Using both newly validated visual classification techniques and automated, data-driven methods, hallucinations were associated with specific brain morphology differences in the paracingulate sulcus, a fold in the medial prefrontal cortex, with a 1 cm reduction in sulcal length increasing the likelihood of hallucinations by 19.9%, regardless of the sensory modality in which they were experienced. The findings suggest a specific morphological basis for a pervasive feature of typical and atypical human experience.","container-title":"Nature Communications","DOI":"10.1038/ncomms9956","ISSN":"2041-1723","journalAbbreviation":"Nat Commun","language":"eng","note":"PMID: 26573408\nPMCID: PMC4660352","page":"8956","source":"PubMed","title":"Paracingulate sulcus morphology is associated with hallucinations in the human brain","volume":"6","author":[{"family":"Garrison","given":"Jane R."},{"family":"Fernyhough","given":"Charles"},{"family":"McCarthy-Jones","given":"Simon"},{"family":"Haggard","given":"Mark"},{"literal":"Australian Schizophrenia Research Bank"},{"family":"Simons","given":"Jon S."}],"issued":{"date-parts":[["2015",11,17]]}}}],"schema":"https://github.com/citation-style-language/schema/raw/master/csl-citation.json"} </w:instrText>
      </w:r>
      <w:r w:rsidRPr="00B61EA0">
        <w:rPr>
          <w:rFonts w:ascii="Times New Roman" w:hAnsi="Times New Roman" w:cs="Times New Roman"/>
          <w:sz w:val="22"/>
          <w:szCs w:val="22"/>
        </w:rPr>
        <w:fldChar w:fldCharType="separate"/>
      </w:r>
      <w:r w:rsidRPr="00892E49">
        <w:rPr>
          <w:rFonts w:ascii="Times New Roman" w:hAnsi="Times New Roman" w:cs="Times New Roman"/>
          <w:sz w:val="22"/>
          <w:szCs w:val="22"/>
          <w:lang w:val="en-US"/>
        </w:rPr>
        <w:t>[1]</w:t>
      </w:r>
      <w:r w:rsidRPr="00B61EA0">
        <w:rPr>
          <w:rFonts w:ascii="Times New Roman" w:hAnsi="Times New Roman" w:cs="Times New Roman"/>
          <w:sz w:val="22"/>
          <w:szCs w:val="22"/>
        </w:rPr>
        <w:fldChar w:fldCharType="end"/>
      </w:r>
      <w:r w:rsidRPr="00892E49">
        <w:rPr>
          <w:rFonts w:ascii="Times New Roman" w:hAnsi="Times New Roman" w:cs="Times New Roman"/>
          <w:sz w:val="22"/>
          <w:szCs w:val="22"/>
          <w:lang w:val="en-US"/>
        </w:rPr>
        <w:t xml:space="preserve">. T1 images were individually straightened in an orthonormal landmark and the anterior and posterior commissures (AC and PC) were aligned on the same horizontal plane. In the sagittal plane, the origin of the landmark was reset to the AC location and PCS were measured within the first quadrant delineated by y &gt; 0 and z &lt; 0 (Figure 1). The first step of sulcus identification was to locate the cingulate sulcus on a sagittal slice. It is the first major sulcus running in an anterior-posterior direction, dorsal to the corpus callosum and visible on 5 sagittal slices at least. PCS is defined as a salient sulcus running parallel, horizontal and dorsal to the cingulate sulcus and present on 3 sagittal slices at least. Using ‘trace line’ function, PCS was measured on a sagittal slice, 4 mm to the left or right of the medial line (x= ± 4), from the point at which the sulcus ran in a posterior direction to its end point which is possibly out of the first quadrant. Segments of discontinuous PCS were measured only if they started within the first quadrant and were separated by less than 20mm in length. </w:t>
      </w:r>
    </w:p>
    <w:p w14:paraId="151759E5" w14:textId="77777777" w:rsidR="00B61EA0" w:rsidRPr="00892E49" w:rsidRDefault="00B61EA0" w:rsidP="00B61EA0">
      <w:pPr>
        <w:spacing w:line="480" w:lineRule="auto"/>
        <w:jc w:val="both"/>
        <w:rPr>
          <w:rFonts w:ascii="Times New Roman" w:hAnsi="Times New Roman" w:cs="Times New Roman"/>
          <w:sz w:val="22"/>
          <w:szCs w:val="22"/>
          <w:lang w:val="en-US"/>
        </w:rPr>
      </w:pPr>
    </w:p>
    <w:p w14:paraId="73B95858" w14:textId="77777777" w:rsidR="00B61EA0" w:rsidRPr="00B61EA0" w:rsidRDefault="00B61EA0" w:rsidP="00B61EA0">
      <w:pPr>
        <w:pStyle w:val="Souspartie"/>
        <w:spacing w:line="480" w:lineRule="auto"/>
        <w:rPr>
          <w:rFonts w:ascii="Times New Roman" w:hAnsi="Times New Roman" w:cs="Times New Roman"/>
          <w:iCs/>
        </w:rPr>
      </w:pPr>
      <w:r w:rsidRPr="00B61EA0">
        <w:rPr>
          <w:rFonts w:ascii="Times New Roman" w:hAnsi="Times New Roman" w:cs="Times New Roman"/>
          <w:iCs/>
        </w:rPr>
        <w:t xml:space="preserve">Intra- and inter-rater reliabilities for the PCS measurement </w:t>
      </w:r>
    </w:p>
    <w:p w14:paraId="287F2A6C" w14:textId="1B1E0CA1" w:rsidR="00B61EA0" w:rsidRPr="00892E49" w:rsidRDefault="00B61EA0" w:rsidP="00B61EA0">
      <w:pPr>
        <w:spacing w:line="480" w:lineRule="auto"/>
        <w:jc w:val="both"/>
        <w:rPr>
          <w:rFonts w:ascii="Times New Roman" w:hAnsi="Times New Roman" w:cs="Times New Roman"/>
          <w:sz w:val="22"/>
          <w:szCs w:val="22"/>
          <w:lang w:val="en-US"/>
        </w:rPr>
      </w:pPr>
      <w:r w:rsidRPr="00892E49">
        <w:rPr>
          <w:rFonts w:ascii="Times New Roman" w:hAnsi="Times New Roman" w:cs="Times New Roman"/>
          <w:sz w:val="22"/>
          <w:szCs w:val="22"/>
          <w:lang w:val="en-US"/>
        </w:rPr>
        <w:t xml:space="preserve">To validate the PCS measurement procedure, the rater who completed all PCS measurements (MP) repeated the PCS measurement for 16 randomly chosen subjects (32 hemispheres). In addition, each PCS of the 35 participants was independently measured by a second rater. Both raters were blind to patients details at all times during measurements. Intra- and inter-rater reliabilities assessed using intraclass correlation coefficients were respectively 0.908 (IC 95% [0.822; 0.954]) and 0.819 (IC 95% [0.724; 0.883]). Intraclass correlation coefficients values between 0.75 and 0.9 indicate a good reliability and values greater than 0.9 indicate an excellent reliability </w:t>
      </w:r>
      <w:r w:rsidRPr="00B61EA0">
        <w:rPr>
          <w:rFonts w:ascii="Times New Roman" w:hAnsi="Times New Roman" w:cs="Times New Roman"/>
          <w:sz w:val="22"/>
          <w:szCs w:val="22"/>
        </w:rPr>
        <w:fldChar w:fldCharType="begin"/>
      </w:r>
      <w:r w:rsidRPr="00892E49">
        <w:rPr>
          <w:rFonts w:ascii="Times New Roman" w:hAnsi="Times New Roman" w:cs="Times New Roman"/>
          <w:sz w:val="22"/>
          <w:szCs w:val="22"/>
          <w:lang w:val="en-US"/>
        </w:rPr>
        <w:instrText xml:space="preserve"> ADDIN ZOTERO_ITEM CSL_CITATION {"citationID":"9Z0yJKIz","properties":{"formattedCitation":"[2]","plainCitation":"[2]","noteIndex":0},"citationItems":[{"id":"YYg6D0JI/vCNhGDGs","uris":["http://zotero.org/users/6292702/items/XCH2NK72"],"uri":["http://zotero.org/users/6292702/items/XCH2NK72"],"itemData":{"id":442,"type":"article-journal","abstract":"OBJECTIVE: Intraclass correlation coefficient (ICC) is a widely used reliability index in test-retest, intrarater, and interrater reliability analyses. This article introduces the basic concept of ICC in the content of reliability analysis.\nDISCUSSION FOR RESEARCHERS: There are 10 forms of ICCs. Because each form involves distinct assumptions in their calculation and will lead to different interpretations, researchers should explicitly specify the ICC form they used in their calculation. A thorough review of the research design is needed in selecting the appropriate form of ICC to evaluate reliability. The best practice of reporting ICC should include software information, \"model,\" \"type,\" and \"definition\" selections.\nDISCUSSION FOR READERS: When coming across an article that includes ICC, readers should first check whether information about the ICC form has been reported and if an appropriate ICC form was used. Based on the 95% confident interval of the ICC estimate, values less than 0.5, between 0.5 and 0.75, between 0.75 and 0.9, and greater than 0.90 are indicative of poor, moderate, good, and excellent reliability, respectively.\nCONCLUSION: This article provides a practical guideline for clinical researchers to choose the correct form of ICC and suggests the best practice of reporting ICC parameters in scientific publications. This article also gives readers an appreciation for what to look for when coming across ICC while reading an article.","container-title":"Journal of Chiropractic Medicine","DOI":"10.1016/j.jcm.2016.02.012","ISSN":"1556-3707","issue":"2","journalAbbreviation":"J Chiropr Med","language":"eng","note":"PMID: 27330520\nPMCID: PMC4913118","page":"155-163","source":"PubMed","title":"A Guideline of Selecting and Reporting Intraclass Correlation Coefficients for Reliability Research","volume":"15","author":[{"family":"Koo","given":"Terry K."},{"family":"Li","given":"Mae Y."}],"issued":{"date-parts":[["2016",6]]}}}],"schema":"https://github.com/citation-style-language/schema/raw/master/csl-citation.json"} </w:instrText>
      </w:r>
      <w:r w:rsidRPr="00B61EA0">
        <w:rPr>
          <w:rFonts w:ascii="Times New Roman" w:hAnsi="Times New Roman" w:cs="Times New Roman"/>
          <w:sz w:val="22"/>
          <w:szCs w:val="22"/>
        </w:rPr>
        <w:fldChar w:fldCharType="separate"/>
      </w:r>
      <w:r w:rsidRPr="00892E49">
        <w:rPr>
          <w:rFonts w:ascii="Times New Roman" w:hAnsi="Times New Roman" w:cs="Times New Roman"/>
          <w:sz w:val="22"/>
          <w:szCs w:val="22"/>
          <w:lang w:val="en-US"/>
        </w:rPr>
        <w:t>[2]</w:t>
      </w:r>
      <w:r w:rsidRPr="00B61EA0">
        <w:rPr>
          <w:rFonts w:ascii="Times New Roman" w:hAnsi="Times New Roman" w:cs="Times New Roman"/>
          <w:sz w:val="22"/>
          <w:szCs w:val="22"/>
        </w:rPr>
        <w:fldChar w:fldCharType="end"/>
      </w:r>
      <w:r w:rsidRPr="00892E49">
        <w:rPr>
          <w:rFonts w:ascii="Times New Roman" w:hAnsi="Times New Roman" w:cs="Times New Roman"/>
          <w:sz w:val="22"/>
          <w:szCs w:val="22"/>
          <w:lang w:val="en-US"/>
        </w:rPr>
        <w:t>.</w:t>
      </w:r>
    </w:p>
    <w:p w14:paraId="4E3ECDAD" w14:textId="77777777" w:rsidR="00B61EA0" w:rsidRPr="00B61EA0" w:rsidRDefault="00B61EA0" w:rsidP="00B61EA0">
      <w:pPr>
        <w:pStyle w:val="Bibliographie1"/>
        <w:spacing w:line="480" w:lineRule="auto"/>
      </w:pPr>
      <w:r>
        <w:lastRenderedPageBreak/>
        <w:fldChar w:fldCharType="begin"/>
      </w:r>
      <w:r>
        <w:instrText xml:space="preserve"> ADDIN ZOTERO_BIBL {"uncited":[],"omitted":[],"custom":[]} CSL_BIBLIOGRAPHY </w:instrText>
      </w:r>
      <w:r>
        <w:fldChar w:fldCharType="separate"/>
      </w:r>
      <w:r w:rsidRPr="00B61EA0">
        <w:t>[1]</w:t>
      </w:r>
      <w:r w:rsidRPr="00B61EA0">
        <w:tab/>
        <w:t>Garrison JR, Fernyhough C, McCarthy-Jones S, Haggard M, Australian Schizophrenia Research Bank, Simons JS. Paracingulate sulcus morphology is associated with hallucinations in the human brain. Nat Commun 2015;6:8956. https://doi.org/10.1038/ncomms9956.</w:t>
      </w:r>
    </w:p>
    <w:p w14:paraId="5A653771" w14:textId="77777777" w:rsidR="00B61EA0" w:rsidRPr="00B61EA0" w:rsidRDefault="00B61EA0" w:rsidP="00B61EA0">
      <w:pPr>
        <w:pStyle w:val="Bibliographie1"/>
        <w:spacing w:line="480" w:lineRule="auto"/>
      </w:pPr>
      <w:r w:rsidRPr="00B61EA0">
        <w:t>[2]</w:t>
      </w:r>
      <w:r w:rsidRPr="00B61EA0">
        <w:tab/>
        <w:t>Koo TK, Li MY. A Guideline of Selecting and Reporting Intraclass Correlation Coefficients for Reliability Research. J Chiropr Med 2016;15:155–63. https://doi.org/10.1016/j.jcm.2016.02.012.</w:t>
      </w:r>
    </w:p>
    <w:p w14:paraId="5B2B32DD" w14:textId="14FC4844" w:rsidR="00B61EA0" w:rsidRDefault="00B61EA0" w:rsidP="00B61EA0">
      <w:pPr>
        <w:spacing w:line="480" w:lineRule="auto"/>
        <w:rPr>
          <w:rFonts w:ascii="Times New Roman" w:hAnsi="Times New Roman" w:cs="Times New Roman"/>
          <w:sz w:val="22"/>
          <w:szCs w:val="22"/>
          <w:lang w:val="en-US"/>
        </w:rPr>
      </w:pPr>
      <w:r>
        <w:rPr>
          <w:rFonts w:ascii="Times New Roman" w:hAnsi="Times New Roman" w:cs="Times New Roman"/>
          <w:sz w:val="22"/>
          <w:szCs w:val="22"/>
          <w:lang w:val="en-US"/>
        </w:rPr>
        <w:fldChar w:fldCharType="end"/>
      </w:r>
    </w:p>
    <w:p w14:paraId="18E9A371" w14:textId="77777777" w:rsidR="00B61EA0" w:rsidRPr="00B61EA0" w:rsidRDefault="00B61EA0">
      <w:pPr>
        <w:rPr>
          <w:rFonts w:ascii="Times New Roman" w:hAnsi="Times New Roman" w:cs="Times New Roman"/>
          <w:b/>
          <w:iCs/>
          <w:sz w:val="22"/>
          <w:szCs w:val="22"/>
          <w:lang w:val="en-US"/>
        </w:rPr>
      </w:pPr>
      <w:r w:rsidRPr="00892E49">
        <w:rPr>
          <w:rFonts w:ascii="Times New Roman" w:hAnsi="Times New Roman" w:cs="Times New Roman"/>
          <w:b/>
          <w:i/>
          <w:sz w:val="22"/>
          <w:szCs w:val="22"/>
          <w:lang w:val="en-US"/>
        </w:rPr>
        <w:br w:type="page"/>
      </w:r>
    </w:p>
    <w:p w14:paraId="72A3073F" w14:textId="234B402C" w:rsidR="00717B81" w:rsidRPr="00B61EA0" w:rsidRDefault="00717B81" w:rsidP="00717B81">
      <w:pPr>
        <w:pStyle w:val="Lgende"/>
        <w:keepNext/>
        <w:spacing w:after="0" w:line="480" w:lineRule="auto"/>
        <w:rPr>
          <w:rFonts w:ascii="Times New Roman" w:hAnsi="Times New Roman" w:cs="Times New Roman"/>
          <w:sz w:val="22"/>
          <w:szCs w:val="22"/>
        </w:rPr>
      </w:pPr>
      <w:r w:rsidRPr="00B61EA0">
        <w:rPr>
          <w:rFonts w:ascii="Times New Roman" w:hAnsi="Times New Roman" w:cs="Times New Roman"/>
          <w:b/>
          <w:i w:val="0"/>
          <w:color w:val="auto"/>
          <w:sz w:val="22"/>
          <w:szCs w:val="22"/>
        </w:rPr>
        <w:lastRenderedPageBreak/>
        <w:t xml:space="preserve">Supplementary Table </w:t>
      </w:r>
      <w:r w:rsidRPr="00B61EA0">
        <w:rPr>
          <w:rFonts w:ascii="Times New Roman" w:hAnsi="Times New Roman" w:cs="Times New Roman"/>
          <w:b/>
          <w:i w:val="0"/>
          <w:color w:val="auto"/>
          <w:sz w:val="22"/>
          <w:szCs w:val="22"/>
        </w:rPr>
        <w:fldChar w:fldCharType="begin"/>
      </w:r>
      <w:r w:rsidRPr="00B61EA0">
        <w:rPr>
          <w:rFonts w:ascii="Times New Roman" w:hAnsi="Times New Roman" w:cs="Times New Roman"/>
          <w:b/>
          <w:i w:val="0"/>
          <w:color w:val="auto"/>
          <w:sz w:val="22"/>
          <w:szCs w:val="22"/>
        </w:rPr>
        <w:instrText xml:space="preserve"> SEQ Table \* ARABIC </w:instrText>
      </w:r>
      <w:r w:rsidRPr="00B61EA0">
        <w:rPr>
          <w:rFonts w:ascii="Times New Roman" w:hAnsi="Times New Roman" w:cs="Times New Roman"/>
          <w:b/>
          <w:i w:val="0"/>
          <w:color w:val="auto"/>
          <w:sz w:val="22"/>
          <w:szCs w:val="22"/>
        </w:rPr>
        <w:fldChar w:fldCharType="separate"/>
      </w:r>
      <w:r w:rsidRPr="00B61EA0">
        <w:rPr>
          <w:rFonts w:ascii="Times New Roman" w:hAnsi="Times New Roman" w:cs="Times New Roman"/>
          <w:b/>
          <w:i w:val="0"/>
          <w:color w:val="auto"/>
          <w:sz w:val="22"/>
          <w:szCs w:val="22"/>
        </w:rPr>
        <w:t>1</w:t>
      </w:r>
      <w:r w:rsidRPr="00B61EA0">
        <w:rPr>
          <w:rFonts w:ascii="Times New Roman" w:hAnsi="Times New Roman" w:cs="Times New Roman"/>
          <w:b/>
          <w:i w:val="0"/>
          <w:color w:val="auto"/>
          <w:sz w:val="22"/>
          <w:szCs w:val="22"/>
        </w:rPr>
        <w:fldChar w:fldCharType="end"/>
      </w:r>
      <w:r w:rsidRPr="00B61EA0">
        <w:rPr>
          <w:rFonts w:ascii="Times New Roman" w:hAnsi="Times New Roman" w:cs="Times New Roman"/>
          <w:b/>
          <w:i w:val="0"/>
          <w:color w:val="auto"/>
          <w:sz w:val="22"/>
          <w:szCs w:val="22"/>
        </w:rPr>
        <w:t xml:space="preserve">. </w:t>
      </w:r>
      <w:r w:rsidRPr="00892E49">
        <w:rPr>
          <w:rFonts w:ascii="Times New Roman" w:hAnsi="Times New Roman" w:cs="Times New Roman"/>
          <w:i w:val="0"/>
          <w:color w:val="auto"/>
          <w:sz w:val="22"/>
          <w:szCs w:val="22"/>
        </w:rPr>
        <w:t>Details on patients’ scores at each individual item of the PANSS-positive subscale</w:t>
      </w:r>
      <w:r w:rsidR="00E26AD3" w:rsidRPr="00B61EA0">
        <w:rPr>
          <w:rFonts w:ascii="Times New Roman" w:hAnsi="Times New Roman" w:cs="Times New Roman"/>
          <w:i w:val="0"/>
          <w:sz w:val="22"/>
          <w:szCs w:val="22"/>
        </w:rPr>
        <w:t xml:space="preserve"> *</w:t>
      </w:r>
    </w:p>
    <w:tbl>
      <w:tblPr>
        <w:tblStyle w:val="Grilledutableau"/>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992"/>
        <w:gridCol w:w="711"/>
        <w:gridCol w:w="1843"/>
      </w:tblGrid>
      <w:tr w:rsidR="00717B81" w:rsidRPr="00B61EA0" w14:paraId="4238EDD8" w14:textId="77777777" w:rsidTr="00717B81">
        <w:tc>
          <w:tcPr>
            <w:tcW w:w="4960" w:type="dxa"/>
            <w:tcBorders>
              <w:top w:val="single" w:sz="8" w:space="0" w:color="auto"/>
              <w:bottom w:val="single" w:sz="8" w:space="0" w:color="auto"/>
            </w:tcBorders>
          </w:tcPr>
          <w:p w14:paraId="7359F27F" w14:textId="77777777" w:rsidR="00717B81" w:rsidRPr="00B61EA0" w:rsidRDefault="00717B81" w:rsidP="00604AE3">
            <w:pPr>
              <w:pStyle w:val="Souspartie"/>
              <w:spacing w:line="480" w:lineRule="auto"/>
              <w:rPr>
                <w:rFonts w:ascii="Times New Roman" w:hAnsi="Times New Roman" w:cs="Times New Roman"/>
                <w:i w:val="0"/>
              </w:rPr>
            </w:pPr>
          </w:p>
        </w:tc>
        <w:tc>
          <w:tcPr>
            <w:tcW w:w="992" w:type="dxa"/>
            <w:tcBorders>
              <w:top w:val="single" w:sz="8" w:space="0" w:color="auto"/>
              <w:bottom w:val="single" w:sz="8" w:space="0" w:color="auto"/>
            </w:tcBorders>
          </w:tcPr>
          <w:p w14:paraId="3B8F63E0" w14:textId="77777777" w:rsidR="00717B81" w:rsidRPr="00B61EA0" w:rsidRDefault="00717B81" w:rsidP="00604AE3">
            <w:pPr>
              <w:pStyle w:val="Souspartie"/>
              <w:spacing w:line="480" w:lineRule="auto"/>
              <w:jc w:val="center"/>
              <w:rPr>
                <w:rFonts w:ascii="Times New Roman" w:hAnsi="Times New Roman" w:cs="Times New Roman"/>
                <w:b/>
                <w:i w:val="0"/>
              </w:rPr>
            </w:pPr>
            <w:r w:rsidRPr="00B61EA0">
              <w:rPr>
                <w:rFonts w:ascii="Times New Roman" w:hAnsi="Times New Roman" w:cs="Times New Roman"/>
                <w:b/>
                <w:i w:val="0"/>
              </w:rPr>
              <w:t>Mean</w:t>
            </w:r>
          </w:p>
        </w:tc>
        <w:tc>
          <w:tcPr>
            <w:tcW w:w="711" w:type="dxa"/>
            <w:tcBorders>
              <w:top w:val="single" w:sz="8" w:space="0" w:color="auto"/>
              <w:bottom w:val="single" w:sz="8" w:space="0" w:color="auto"/>
            </w:tcBorders>
          </w:tcPr>
          <w:p w14:paraId="06F74FDC" w14:textId="77777777" w:rsidR="00717B81" w:rsidRPr="00B61EA0" w:rsidRDefault="00717B81" w:rsidP="00604AE3">
            <w:pPr>
              <w:pStyle w:val="Souspartie"/>
              <w:spacing w:line="480" w:lineRule="auto"/>
              <w:jc w:val="center"/>
              <w:rPr>
                <w:rFonts w:ascii="Times New Roman" w:hAnsi="Times New Roman" w:cs="Times New Roman"/>
                <w:b/>
                <w:i w:val="0"/>
              </w:rPr>
            </w:pPr>
            <w:r w:rsidRPr="00B61EA0">
              <w:rPr>
                <w:rFonts w:ascii="Times New Roman" w:hAnsi="Times New Roman" w:cs="Times New Roman"/>
                <w:b/>
                <w:i w:val="0"/>
              </w:rPr>
              <w:t>SD</w:t>
            </w:r>
          </w:p>
        </w:tc>
        <w:tc>
          <w:tcPr>
            <w:tcW w:w="1843" w:type="dxa"/>
            <w:tcBorders>
              <w:top w:val="single" w:sz="8" w:space="0" w:color="auto"/>
              <w:bottom w:val="single" w:sz="8" w:space="0" w:color="auto"/>
            </w:tcBorders>
          </w:tcPr>
          <w:p w14:paraId="58BF6956" w14:textId="77777777" w:rsidR="00717B81" w:rsidRPr="00B61EA0" w:rsidRDefault="00717B81" w:rsidP="00604AE3">
            <w:pPr>
              <w:pStyle w:val="Souspartie"/>
              <w:spacing w:line="480" w:lineRule="auto"/>
              <w:jc w:val="center"/>
              <w:rPr>
                <w:rFonts w:ascii="Times New Roman" w:hAnsi="Times New Roman" w:cs="Times New Roman"/>
                <w:b/>
                <w:i w:val="0"/>
              </w:rPr>
            </w:pPr>
            <w:r w:rsidRPr="00B61EA0">
              <w:rPr>
                <w:rFonts w:ascii="Times New Roman" w:hAnsi="Times New Roman" w:cs="Times New Roman"/>
                <w:b/>
                <w:i w:val="0"/>
              </w:rPr>
              <w:t>Range</w:t>
            </w:r>
          </w:p>
        </w:tc>
      </w:tr>
      <w:tr w:rsidR="00717B81" w:rsidRPr="00B61EA0" w14:paraId="29B81A54" w14:textId="77777777" w:rsidTr="00717B81">
        <w:trPr>
          <w:trHeight w:val="255"/>
        </w:trPr>
        <w:tc>
          <w:tcPr>
            <w:tcW w:w="4960" w:type="dxa"/>
          </w:tcPr>
          <w:p w14:paraId="0D75427D" w14:textId="14725C90" w:rsidR="00717B81" w:rsidRPr="00B61EA0" w:rsidRDefault="00717B81" w:rsidP="00604AE3">
            <w:pPr>
              <w:pStyle w:val="Souspartie"/>
              <w:spacing w:line="480" w:lineRule="auto"/>
              <w:rPr>
                <w:rFonts w:ascii="Times New Roman" w:hAnsi="Times New Roman" w:cs="Times New Roman"/>
                <w:i w:val="0"/>
              </w:rPr>
            </w:pPr>
            <w:r w:rsidRPr="00B61EA0">
              <w:rPr>
                <w:rFonts w:ascii="Times New Roman" w:hAnsi="Times New Roman" w:cs="Times New Roman"/>
                <w:i w:val="0"/>
              </w:rPr>
              <w:t>PANSS-P1</w:t>
            </w:r>
            <w:r w:rsidR="00EF2D74" w:rsidRPr="00B61EA0">
              <w:rPr>
                <w:rFonts w:ascii="Times New Roman" w:hAnsi="Times New Roman" w:cs="Times New Roman"/>
                <w:i w:val="0"/>
              </w:rPr>
              <w:t>: Delusions</w:t>
            </w:r>
          </w:p>
        </w:tc>
        <w:tc>
          <w:tcPr>
            <w:tcW w:w="992" w:type="dxa"/>
          </w:tcPr>
          <w:p w14:paraId="002BC47A" w14:textId="2C128D65" w:rsidR="00717B81" w:rsidRPr="00B61EA0" w:rsidRDefault="00E26AD3" w:rsidP="00604AE3">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3.97</w:t>
            </w:r>
          </w:p>
        </w:tc>
        <w:tc>
          <w:tcPr>
            <w:tcW w:w="711" w:type="dxa"/>
          </w:tcPr>
          <w:p w14:paraId="2A1D3977" w14:textId="0F7771B2" w:rsidR="00717B81" w:rsidRPr="00B61EA0" w:rsidRDefault="00E26AD3" w:rsidP="00604AE3">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1.27</w:t>
            </w:r>
          </w:p>
        </w:tc>
        <w:tc>
          <w:tcPr>
            <w:tcW w:w="1843" w:type="dxa"/>
          </w:tcPr>
          <w:p w14:paraId="3E32461A" w14:textId="44926B92" w:rsidR="00717B81" w:rsidRPr="00B61EA0" w:rsidRDefault="00E26AD3" w:rsidP="00604AE3">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w:t>
            </w:r>
            <w:r w:rsidR="00717B81" w:rsidRPr="00B61EA0">
              <w:rPr>
                <w:rFonts w:ascii="Times New Roman" w:hAnsi="Times New Roman" w:cs="Times New Roman"/>
                <w:i w:val="0"/>
              </w:rPr>
              <w:t xml:space="preserve"> - </w:t>
            </w:r>
            <w:r w:rsidRPr="00B61EA0">
              <w:rPr>
                <w:rFonts w:ascii="Times New Roman" w:hAnsi="Times New Roman" w:cs="Times New Roman"/>
                <w:i w:val="0"/>
              </w:rPr>
              <w:t>6</w:t>
            </w:r>
          </w:p>
        </w:tc>
      </w:tr>
      <w:tr w:rsidR="00717B81" w:rsidRPr="00B61EA0" w14:paraId="7305DD4B" w14:textId="77777777" w:rsidTr="00717B81">
        <w:trPr>
          <w:trHeight w:val="255"/>
        </w:trPr>
        <w:tc>
          <w:tcPr>
            <w:tcW w:w="4960" w:type="dxa"/>
          </w:tcPr>
          <w:p w14:paraId="16D6DBEA" w14:textId="0255CC4B" w:rsidR="00717B81" w:rsidRPr="00B61EA0" w:rsidRDefault="00717B81" w:rsidP="00717B81">
            <w:pPr>
              <w:pStyle w:val="Souspartie"/>
              <w:spacing w:line="480" w:lineRule="auto"/>
              <w:rPr>
                <w:rFonts w:ascii="Times New Roman" w:hAnsi="Times New Roman" w:cs="Times New Roman"/>
                <w:i w:val="0"/>
              </w:rPr>
            </w:pPr>
            <w:r w:rsidRPr="00B61EA0">
              <w:rPr>
                <w:rFonts w:ascii="Times New Roman" w:hAnsi="Times New Roman" w:cs="Times New Roman"/>
                <w:i w:val="0"/>
              </w:rPr>
              <w:t>PANSS-P2</w:t>
            </w:r>
            <w:r w:rsidR="00EF2D74" w:rsidRPr="00B61EA0">
              <w:rPr>
                <w:rFonts w:ascii="Times New Roman" w:hAnsi="Times New Roman" w:cs="Times New Roman"/>
                <w:i w:val="0"/>
              </w:rPr>
              <w:t>: Conceptual disorganization</w:t>
            </w:r>
          </w:p>
        </w:tc>
        <w:tc>
          <w:tcPr>
            <w:tcW w:w="992" w:type="dxa"/>
          </w:tcPr>
          <w:p w14:paraId="06E6E2BB" w14:textId="4137EB16" w:rsidR="00717B81" w:rsidRPr="00B61EA0" w:rsidRDefault="00E26AD3" w:rsidP="00604AE3">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2.50</w:t>
            </w:r>
          </w:p>
        </w:tc>
        <w:tc>
          <w:tcPr>
            <w:tcW w:w="711" w:type="dxa"/>
          </w:tcPr>
          <w:p w14:paraId="6294CDF0" w14:textId="0DC9C8B4" w:rsidR="00717B81" w:rsidRPr="00B61EA0" w:rsidRDefault="00E26AD3" w:rsidP="00604AE3">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1.46</w:t>
            </w:r>
          </w:p>
        </w:tc>
        <w:tc>
          <w:tcPr>
            <w:tcW w:w="1843" w:type="dxa"/>
          </w:tcPr>
          <w:p w14:paraId="01AD5E43" w14:textId="68365D58" w:rsidR="00717B81" w:rsidRPr="00B61EA0" w:rsidRDefault="00E26AD3" w:rsidP="00604AE3">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1 - 6</w:t>
            </w:r>
          </w:p>
        </w:tc>
      </w:tr>
      <w:tr w:rsidR="00717B81" w:rsidRPr="00B61EA0" w14:paraId="36EA1080" w14:textId="77777777" w:rsidTr="00717B81">
        <w:trPr>
          <w:trHeight w:val="255"/>
        </w:trPr>
        <w:tc>
          <w:tcPr>
            <w:tcW w:w="4960" w:type="dxa"/>
          </w:tcPr>
          <w:p w14:paraId="430785DA" w14:textId="308B13C4" w:rsidR="00717B81" w:rsidRPr="00B61EA0" w:rsidRDefault="00717B81" w:rsidP="00717B81">
            <w:pPr>
              <w:pStyle w:val="Souspartie"/>
              <w:spacing w:line="480" w:lineRule="auto"/>
              <w:rPr>
                <w:rFonts w:ascii="Times New Roman" w:hAnsi="Times New Roman" w:cs="Times New Roman"/>
                <w:i w:val="0"/>
              </w:rPr>
            </w:pPr>
            <w:r w:rsidRPr="00B61EA0">
              <w:rPr>
                <w:rFonts w:ascii="Times New Roman" w:hAnsi="Times New Roman" w:cs="Times New Roman"/>
                <w:i w:val="0"/>
              </w:rPr>
              <w:t>PANSS-P3</w:t>
            </w:r>
            <w:r w:rsidR="00EF2D74" w:rsidRPr="00B61EA0">
              <w:rPr>
                <w:rFonts w:ascii="Times New Roman" w:hAnsi="Times New Roman" w:cs="Times New Roman"/>
                <w:i w:val="0"/>
              </w:rPr>
              <w:t>: Hallucinatory behavior</w:t>
            </w:r>
          </w:p>
        </w:tc>
        <w:tc>
          <w:tcPr>
            <w:tcW w:w="992" w:type="dxa"/>
          </w:tcPr>
          <w:p w14:paraId="250C2D57" w14:textId="6B214F1B" w:rsidR="00717B81" w:rsidRPr="00B61EA0" w:rsidRDefault="00E26AD3"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5.85</w:t>
            </w:r>
          </w:p>
        </w:tc>
        <w:tc>
          <w:tcPr>
            <w:tcW w:w="711" w:type="dxa"/>
          </w:tcPr>
          <w:p w14:paraId="5F342EA8" w14:textId="7CAE7312" w:rsidR="00717B81" w:rsidRPr="00B61EA0" w:rsidRDefault="00E26AD3"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0.86</w:t>
            </w:r>
          </w:p>
        </w:tc>
        <w:tc>
          <w:tcPr>
            <w:tcW w:w="1843" w:type="dxa"/>
          </w:tcPr>
          <w:p w14:paraId="6FEECAE1" w14:textId="58722BBC" w:rsidR="00717B81" w:rsidRPr="00B61EA0" w:rsidRDefault="00E26AD3"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4 - 7</w:t>
            </w:r>
          </w:p>
        </w:tc>
      </w:tr>
      <w:tr w:rsidR="00717B81" w:rsidRPr="00B61EA0" w14:paraId="78281039" w14:textId="77777777" w:rsidTr="00717B81">
        <w:trPr>
          <w:trHeight w:val="255"/>
        </w:trPr>
        <w:tc>
          <w:tcPr>
            <w:tcW w:w="4960" w:type="dxa"/>
          </w:tcPr>
          <w:p w14:paraId="4C87D498" w14:textId="62821AB9" w:rsidR="00717B81" w:rsidRPr="00B61EA0" w:rsidRDefault="00717B81" w:rsidP="00717B81">
            <w:pPr>
              <w:pStyle w:val="Souspartie"/>
              <w:spacing w:line="480" w:lineRule="auto"/>
              <w:rPr>
                <w:rFonts w:ascii="Times New Roman" w:hAnsi="Times New Roman" w:cs="Times New Roman"/>
                <w:i w:val="0"/>
              </w:rPr>
            </w:pPr>
            <w:r w:rsidRPr="00B61EA0">
              <w:rPr>
                <w:rFonts w:ascii="Times New Roman" w:hAnsi="Times New Roman" w:cs="Times New Roman"/>
                <w:i w:val="0"/>
              </w:rPr>
              <w:t>PANSS-P4</w:t>
            </w:r>
            <w:r w:rsidR="00EF2D74" w:rsidRPr="00B61EA0">
              <w:rPr>
                <w:rFonts w:ascii="Times New Roman" w:hAnsi="Times New Roman" w:cs="Times New Roman"/>
                <w:i w:val="0"/>
              </w:rPr>
              <w:t>: Excitement</w:t>
            </w:r>
          </w:p>
        </w:tc>
        <w:tc>
          <w:tcPr>
            <w:tcW w:w="992" w:type="dxa"/>
          </w:tcPr>
          <w:p w14:paraId="495DF5A6" w14:textId="5C3E011E" w:rsidR="00717B81" w:rsidRPr="00B61EA0" w:rsidRDefault="00E26AD3"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1.32</w:t>
            </w:r>
          </w:p>
        </w:tc>
        <w:tc>
          <w:tcPr>
            <w:tcW w:w="711" w:type="dxa"/>
          </w:tcPr>
          <w:p w14:paraId="34A5C329" w14:textId="391AFEF7" w:rsidR="00717B81" w:rsidRPr="00B61EA0" w:rsidRDefault="00E26AD3"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0.88</w:t>
            </w:r>
          </w:p>
        </w:tc>
        <w:tc>
          <w:tcPr>
            <w:tcW w:w="1843" w:type="dxa"/>
          </w:tcPr>
          <w:p w14:paraId="563CDE46" w14:textId="39F45B9D" w:rsidR="00717B81" w:rsidRPr="00B61EA0" w:rsidRDefault="00E26AD3"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1 - 5</w:t>
            </w:r>
          </w:p>
        </w:tc>
      </w:tr>
      <w:tr w:rsidR="00717B81" w:rsidRPr="00B61EA0" w14:paraId="7D0B6635" w14:textId="77777777" w:rsidTr="00717B81">
        <w:trPr>
          <w:trHeight w:val="255"/>
        </w:trPr>
        <w:tc>
          <w:tcPr>
            <w:tcW w:w="4960" w:type="dxa"/>
          </w:tcPr>
          <w:p w14:paraId="34035105" w14:textId="344817DB" w:rsidR="00717B81" w:rsidRPr="00B61EA0" w:rsidRDefault="00717B81" w:rsidP="00717B81">
            <w:pPr>
              <w:pStyle w:val="Souspartie"/>
              <w:spacing w:line="480" w:lineRule="auto"/>
              <w:rPr>
                <w:rFonts w:ascii="Times New Roman" w:hAnsi="Times New Roman" w:cs="Times New Roman"/>
                <w:i w:val="0"/>
              </w:rPr>
            </w:pPr>
            <w:r w:rsidRPr="00B61EA0">
              <w:rPr>
                <w:rFonts w:ascii="Times New Roman" w:hAnsi="Times New Roman" w:cs="Times New Roman"/>
                <w:i w:val="0"/>
              </w:rPr>
              <w:t>PANSS-P5</w:t>
            </w:r>
            <w:r w:rsidR="00EF2D74" w:rsidRPr="00B61EA0">
              <w:rPr>
                <w:rFonts w:ascii="Times New Roman" w:hAnsi="Times New Roman" w:cs="Times New Roman"/>
                <w:i w:val="0"/>
              </w:rPr>
              <w:t>: Grandiosity</w:t>
            </w:r>
          </w:p>
        </w:tc>
        <w:tc>
          <w:tcPr>
            <w:tcW w:w="992" w:type="dxa"/>
          </w:tcPr>
          <w:p w14:paraId="2B20391F" w14:textId="2C286F34" w:rsidR="00717B81" w:rsidRPr="00B61EA0" w:rsidRDefault="00C52BD9"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1.62</w:t>
            </w:r>
          </w:p>
        </w:tc>
        <w:tc>
          <w:tcPr>
            <w:tcW w:w="711" w:type="dxa"/>
          </w:tcPr>
          <w:p w14:paraId="0E3C196E" w14:textId="05795FAD" w:rsidR="00717B81" w:rsidRPr="00B61EA0" w:rsidRDefault="00C52BD9"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1.21</w:t>
            </w:r>
          </w:p>
        </w:tc>
        <w:tc>
          <w:tcPr>
            <w:tcW w:w="1843" w:type="dxa"/>
          </w:tcPr>
          <w:p w14:paraId="32A84929" w14:textId="657BB75B" w:rsidR="00717B81" w:rsidRPr="00B61EA0" w:rsidRDefault="00C52BD9"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1 - 6</w:t>
            </w:r>
          </w:p>
        </w:tc>
      </w:tr>
      <w:tr w:rsidR="00717B81" w:rsidRPr="00B61EA0" w14:paraId="5E05E5EC" w14:textId="77777777" w:rsidTr="00717B81">
        <w:trPr>
          <w:trHeight w:val="255"/>
        </w:trPr>
        <w:tc>
          <w:tcPr>
            <w:tcW w:w="4960" w:type="dxa"/>
          </w:tcPr>
          <w:p w14:paraId="098BF4D0" w14:textId="4CC7EE92" w:rsidR="00717B81" w:rsidRPr="00B61EA0" w:rsidRDefault="00717B81" w:rsidP="00717B81">
            <w:pPr>
              <w:pStyle w:val="Souspartie"/>
              <w:tabs>
                <w:tab w:val="left" w:pos="284"/>
                <w:tab w:val="left" w:pos="314"/>
              </w:tabs>
              <w:spacing w:line="480" w:lineRule="auto"/>
              <w:rPr>
                <w:rFonts w:ascii="Times New Roman" w:hAnsi="Times New Roman" w:cs="Times New Roman"/>
                <w:i w:val="0"/>
              </w:rPr>
            </w:pPr>
            <w:r w:rsidRPr="00B61EA0">
              <w:rPr>
                <w:rFonts w:ascii="Times New Roman" w:hAnsi="Times New Roman" w:cs="Times New Roman"/>
                <w:i w:val="0"/>
              </w:rPr>
              <w:t>PANSS-P6</w:t>
            </w:r>
            <w:r w:rsidR="00EF2D74" w:rsidRPr="00B61EA0">
              <w:rPr>
                <w:rFonts w:ascii="Times New Roman" w:hAnsi="Times New Roman" w:cs="Times New Roman"/>
                <w:i w:val="0"/>
              </w:rPr>
              <w:t>: Suspiciousness / persecution</w:t>
            </w:r>
          </w:p>
        </w:tc>
        <w:tc>
          <w:tcPr>
            <w:tcW w:w="992" w:type="dxa"/>
          </w:tcPr>
          <w:p w14:paraId="5A4D11BF" w14:textId="072D61D9" w:rsidR="00717B81" w:rsidRPr="00B61EA0" w:rsidRDefault="00C52BD9"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3.15</w:t>
            </w:r>
          </w:p>
        </w:tc>
        <w:tc>
          <w:tcPr>
            <w:tcW w:w="711" w:type="dxa"/>
          </w:tcPr>
          <w:p w14:paraId="59AE9FB5" w14:textId="2785F8A1" w:rsidR="00717B81" w:rsidRPr="00B61EA0" w:rsidRDefault="00C52BD9"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1.11</w:t>
            </w:r>
          </w:p>
        </w:tc>
        <w:tc>
          <w:tcPr>
            <w:tcW w:w="1843" w:type="dxa"/>
          </w:tcPr>
          <w:p w14:paraId="1B31BBFF" w14:textId="70D2B472" w:rsidR="00717B81" w:rsidRPr="00B61EA0" w:rsidRDefault="00E26AD3"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 xml:space="preserve">1 - </w:t>
            </w:r>
            <w:r w:rsidR="00C52BD9" w:rsidRPr="00B61EA0">
              <w:rPr>
                <w:rFonts w:ascii="Times New Roman" w:hAnsi="Times New Roman" w:cs="Times New Roman"/>
                <w:i w:val="0"/>
              </w:rPr>
              <w:t>5</w:t>
            </w:r>
          </w:p>
        </w:tc>
      </w:tr>
      <w:tr w:rsidR="00717B81" w:rsidRPr="00B61EA0" w14:paraId="39BA267E" w14:textId="77777777" w:rsidTr="00717B81">
        <w:trPr>
          <w:trHeight w:val="255"/>
        </w:trPr>
        <w:tc>
          <w:tcPr>
            <w:tcW w:w="4960" w:type="dxa"/>
            <w:tcBorders>
              <w:bottom w:val="single" w:sz="4" w:space="0" w:color="auto"/>
            </w:tcBorders>
          </w:tcPr>
          <w:p w14:paraId="23528918" w14:textId="2D1831DB" w:rsidR="00717B81" w:rsidRPr="00B61EA0" w:rsidRDefault="00717B81" w:rsidP="00717B81">
            <w:pPr>
              <w:pStyle w:val="Souspartie"/>
              <w:tabs>
                <w:tab w:val="left" w:pos="284"/>
                <w:tab w:val="left" w:pos="314"/>
              </w:tabs>
              <w:spacing w:line="480" w:lineRule="auto"/>
              <w:ind w:left="314" w:hanging="284"/>
              <w:rPr>
                <w:rFonts w:ascii="Times New Roman" w:hAnsi="Times New Roman" w:cs="Times New Roman"/>
                <w:i w:val="0"/>
              </w:rPr>
            </w:pPr>
            <w:r w:rsidRPr="00B61EA0">
              <w:rPr>
                <w:rFonts w:ascii="Times New Roman" w:hAnsi="Times New Roman" w:cs="Times New Roman"/>
                <w:i w:val="0"/>
              </w:rPr>
              <w:t>PANSS-P7</w:t>
            </w:r>
            <w:r w:rsidR="00EF2D74" w:rsidRPr="00B61EA0">
              <w:rPr>
                <w:rFonts w:ascii="Times New Roman" w:hAnsi="Times New Roman" w:cs="Times New Roman"/>
                <w:i w:val="0"/>
              </w:rPr>
              <w:t>: Hostility</w:t>
            </w:r>
          </w:p>
        </w:tc>
        <w:tc>
          <w:tcPr>
            <w:tcW w:w="992" w:type="dxa"/>
            <w:tcBorders>
              <w:bottom w:val="single" w:sz="4" w:space="0" w:color="auto"/>
            </w:tcBorders>
          </w:tcPr>
          <w:p w14:paraId="40C9B3D7" w14:textId="68301B15" w:rsidR="00717B81" w:rsidRPr="00B61EA0" w:rsidRDefault="00C52BD9"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1.18</w:t>
            </w:r>
          </w:p>
        </w:tc>
        <w:tc>
          <w:tcPr>
            <w:tcW w:w="711" w:type="dxa"/>
            <w:tcBorders>
              <w:bottom w:val="single" w:sz="4" w:space="0" w:color="auto"/>
            </w:tcBorders>
          </w:tcPr>
          <w:p w14:paraId="1505167A" w14:textId="5E5E0B68" w:rsidR="00717B81" w:rsidRPr="00B61EA0" w:rsidRDefault="00C52BD9"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0.63</w:t>
            </w:r>
          </w:p>
        </w:tc>
        <w:tc>
          <w:tcPr>
            <w:tcW w:w="1843" w:type="dxa"/>
            <w:tcBorders>
              <w:bottom w:val="single" w:sz="4" w:space="0" w:color="auto"/>
            </w:tcBorders>
          </w:tcPr>
          <w:p w14:paraId="7F3BF1DA" w14:textId="2E3100C1" w:rsidR="00717B81" w:rsidRPr="00B61EA0" w:rsidRDefault="00C52BD9" w:rsidP="00717B81">
            <w:pPr>
              <w:pStyle w:val="Souspartie"/>
              <w:spacing w:line="480" w:lineRule="auto"/>
              <w:jc w:val="center"/>
              <w:rPr>
                <w:rFonts w:ascii="Times New Roman" w:hAnsi="Times New Roman" w:cs="Times New Roman"/>
                <w:i w:val="0"/>
              </w:rPr>
            </w:pPr>
            <w:r w:rsidRPr="00B61EA0">
              <w:rPr>
                <w:rFonts w:ascii="Times New Roman" w:hAnsi="Times New Roman" w:cs="Times New Roman"/>
                <w:i w:val="0"/>
              </w:rPr>
              <w:t>1 - 4</w:t>
            </w:r>
          </w:p>
        </w:tc>
      </w:tr>
    </w:tbl>
    <w:p w14:paraId="790777D4" w14:textId="59EBEF4B" w:rsidR="00EF2D74" w:rsidRPr="00892E49" w:rsidRDefault="00717B81" w:rsidP="00EF2D74">
      <w:pPr>
        <w:jc w:val="both"/>
        <w:rPr>
          <w:rFonts w:ascii="Times New Roman" w:eastAsia="Calibri" w:hAnsi="Times New Roman" w:cs="Times New Roman"/>
          <w:i/>
          <w:sz w:val="22"/>
          <w:szCs w:val="22"/>
          <w:lang w:val="en-US"/>
        </w:rPr>
      </w:pPr>
      <w:r w:rsidRPr="00B61EA0">
        <w:rPr>
          <w:rFonts w:ascii="Times New Roman" w:eastAsia="Calibri" w:hAnsi="Times New Roman" w:cs="Times New Roman"/>
          <w:iCs/>
          <w:sz w:val="22"/>
          <w:szCs w:val="22"/>
          <w:lang w:val="en-US"/>
        </w:rPr>
        <w:t xml:space="preserve">PANSS = Positive </w:t>
      </w:r>
      <w:proofErr w:type="gramStart"/>
      <w:r w:rsidRPr="00B61EA0">
        <w:rPr>
          <w:rFonts w:ascii="Times New Roman" w:eastAsia="Calibri" w:hAnsi="Times New Roman" w:cs="Times New Roman"/>
          <w:iCs/>
          <w:sz w:val="22"/>
          <w:szCs w:val="22"/>
          <w:lang w:val="en-US"/>
        </w:rPr>
        <w:t>And</w:t>
      </w:r>
      <w:proofErr w:type="gramEnd"/>
      <w:r w:rsidRPr="00B61EA0">
        <w:rPr>
          <w:rFonts w:ascii="Times New Roman" w:eastAsia="Calibri" w:hAnsi="Times New Roman" w:cs="Times New Roman"/>
          <w:iCs/>
          <w:sz w:val="22"/>
          <w:szCs w:val="22"/>
          <w:lang w:val="en-US"/>
        </w:rPr>
        <w:t xml:space="preserve"> Negative Syndrome Scale; SD = standard deviation.</w:t>
      </w:r>
      <w:r w:rsidR="00EF2D74" w:rsidRPr="00B61EA0">
        <w:rPr>
          <w:rFonts w:ascii="Times New Roman" w:eastAsia="Calibri" w:hAnsi="Times New Roman" w:cs="Times New Roman"/>
          <w:iCs/>
          <w:sz w:val="22"/>
          <w:szCs w:val="22"/>
          <w:lang w:val="en-US"/>
        </w:rPr>
        <w:t xml:space="preserve"> </w:t>
      </w:r>
      <w:r w:rsidR="00EF2D74" w:rsidRPr="00B61EA0">
        <w:rPr>
          <w:rFonts w:ascii="Times New Roman" w:eastAsia="Calibri" w:hAnsi="Times New Roman" w:cs="Times New Roman"/>
          <w:i/>
          <w:sz w:val="22"/>
          <w:szCs w:val="22"/>
          <w:lang w:val="en-US"/>
        </w:rPr>
        <w:t xml:space="preserve">PANSS items are rated on a 7-point scale </w:t>
      </w:r>
      <w:r w:rsidR="00EF2D74" w:rsidRPr="00892E49">
        <w:rPr>
          <w:rFonts w:ascii="Times New Roman" w:eastAsia="Calibri" w:hAnsi="Times New Roman" w:cs="Times New Roman"/>
          <w:i/>
          <w:sz w:val="22"/>
          <w:szCs w:val="22"/>
          <w:lang w:val="en-US"/>
        </w:rPr>
        <w:t>(1=absent, 2=minimal, 3=mild, 4=moderate, 5=moderate severe, 6=severe, and 7=extreme).</w:t>
      </w:r>
    </w:p>
    <w:p w14:paraId="4B47F4A6" w14:textId="62092EDF" w:rsidR="00EF2D74" w:rsidRPr="00426BC6" w:rsidRDefault="00EF2D74" w:rsidP="00EF2D74">
      <w:pPr>
        <w:jc w:val="both"/>
        <w:rPr>
          <w:rFonts w:ascii="Times New Roman" w:eastAsia="Calibri" w:hAnsi="Times New Roman" w:cs="Times New Roman"/>
          <w:iCs/>
          <w:sz w:val="22"/>
          <w:szCs w:val="22"/>
          <w:lang w:val="en-US"/>
        </w:rPr>
      </w:pPr>
      <w:r w:rsidRPr="00426BC6">
        <w:rPr>
          <w:rFonts w:ascii="Times New Roman" w:eastAsia="Calibri" w:hAnsi="Times New Roman" w:cs="Times New Roman"/>
          <w:i/>
          <w:iCs/>
          <w:sz w:val="22"/>
          <w:szCs w:val="22"/>
          <w:lang w:val="en-US"/>
        </w:rPr>
        <w:t>*</w:t>
      </w:r>
      <w:r w:rsidRPr="00426BC6">
        <w:rPr>
          <w:rFonts w:ascii="Times New Roman" w:eastAsia="Calibri" w:hAnsi="Times New Roman" w:cs="Times New Roman"/>
          <w:iCs/>
          <w:sz w:val="22"/>
          <w:szCs w:val="22"/>
          <w:lang w:val="en-US"/>
        </w:rPr>
        <w:t xml:space="preserve"> N = 34 (one missing data)</w:t>
      </w:r>
    </w:p>
    <w:p w14:paraId="501938C0" w14:textId="74EF080A" w:rsidR="00A855A7" w:rsidRPr="00426BC6" w:rsidRDefault="00A855A7">
      <w:pPr>
        <w:rPr>
          <w:rFonts w:ascii="Times New Roman" w:hAnsi="Times New Roman" w:cs="Times New Roman"/>
          <w:iCs/>
          <w:sz w:val="22"/>
          <w:szCs w:val="22"/>
          <w:lang w:val="en-US"/>
        </w:rPr>
      </w:pPr>
      <w:r w:rsidRPr="00426BC6">
        <w:rPr>
          <w:rFonts w:ascii="Times New Roman" w:hAnsi="Times New Roman" w:cs="Times New Roman"/>
          <w:iCs/>
          <w:sz w:val="22"/>
          <w:szCs w:val="22"/>
          <w:lang w:val="en-US"/>
        </w:rPr>
        <w:br w:type="page"/>
      </w:r>
    </w:p>
    <w:p w14:paraId="345D4771" w14:textId="6466F354" w:rsidR="000F1788" w:rsidRPr="00B61EA0" w:rsidRDefault="0089740B" w:rsidP="00977322">
      <w:pPr>
        <w:spacing w:line="480" w:lineRule="auto"/>
        <w:jc w:val="both"/>
        <w:rPr>
          <w:rFonts w:ascii="Times New Roman" w:hAnsi="Times New Roman" w:cs="Times New Roman"/>
          <w:iCs/>
          <w:sz w:val="22"/>
          <w:szCs w:val="22"/>
          <w:lang w:val="en-US"/>
        </w:rPr>
      </w:pPr>
      <w:r>
        <w:rPr>
          <w:noProof/>
        </w:rPr>
        <w:lastRenderedPageBreak/>
        <w:drawing>
          <wp:inline distT="0" distB="0" distL="0" distR="0" wp14:anchorId="5C91BACD" wp14:editId="5DB829C8">
            <wp:extent cx="5760720" cy="2814320"/>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r w:rsidR="00A855A7" w:rsidRPr="00892E49">
        <w:rPr>
          <w:rFonts w:ascii="Times New Roman" w:hAnsi="Times New Roman" w:cs="Times New Roman"/>
          <w:b/>
          <w:bCs/>
          <w:iCs/>
          <w:sz w:val="22"/>
          <w:szCs w:val="22"/>
          <w:lang w:val="en-US"/>
        </w:rPr>
        <w:t xml:space="preserve">Supplementary Figure 1. </w:t>
      </w:r>
      <w:r w:rsidR="00A855A7" w:rsidRPr="00892E49">
        <w:rPr>
          <w:rFonts w:ascii="Times New Roman" w:hAnsi="Times New Roman" w:cs="Times New Roman"/>
          <w:iCs/>
          <w:sz w:val="22"/>
          <w:szCs w:val="22"/>
          <w:lang w:val="en-US"/>
        </w:rPr>
        <w:t xml:space="preserve">Violin plots of the distribution of outcomes </w:t>
      </w:r>
      <w:r w:rsidR="00892E49">
        <w:rPr>
          <w:rFonts w:ascii="Times New Roman" w:hAnsi="Times New Roman" w:cs="Times New Roman"/>
          <w:iCs/>
          <w:sz w:val="22"/>
          <w:szCs w:val="22"/>
          <w:lang w:val="en-US"/>
        </w:rPr>
        <w:t xml:space="preserve">at the </w:t>
      </w:r>
      <w:r w:rsidR="00892E49" w:rsidRPr="00892E49">
        <w:rPr>
          <w:rFonts w:ascii="Times New Roman" w:hAnsi="Times New Roman" w:cs="Times New Roman"/>
          <w:iCs/>
          <w:sz w:val="22"/>
          <w:szCs w:val="22"/>
          <w:lang w:val="en-US"/>
        </w:rPr>
        <w:t>reality-monitoring</w:t>
      </w:r>
      <w:r w:rsidR="00892E49">
        <w:rPr>
          <w:rFonts w:ascii="Times New Roman" w:hAnsi="Times New Roman" w:cs="Times New Roman"/>
          <w:iCs/>
          <w:sz w:val="22"/>
          <w:szCs w:val="22"/>
          <w:lang w:val="en-US"/>
        </w:rPr>
        <w:t xml:space="preserve"> task</w:t>
      </w:r>
      <w:r w:rsidR="00892E49" w:rsidRPr="00892E49">
        <w:rPr>
          <w:rFonts w:ascii="Times New Roman" w:hAnsi="Times New Roman" w:cs="Times New Roman"/>
          <w:iCs/>
          <w:sz w:val="22"/>
          <w:szCs w:val="22"/>
          <w:lang w:val="en-US"/>
        </w:rPr>
        <w:t xml:space="preserve"> </w:t>
      </w:r>
      <w:r w:rsidR="00A855A7" w:rsidRPr="00892E49">
        <w:rPr>
          <w:rFonts w:ascii="Times New Roman" w:hAnsi="Times New Roman" w:cs="Times New Roman"/>
          <w:iCs/>
          <w:sz w:val="22"/>
          <w:szCs w:val="22"/>
          <w:lang w:val="en-US"/>
        </w:rPr>
        <w:t xml:space="preserve">in the sample of 35 patients with schizophrenia and auditory hallucinations. </w:t>
      </w:r>
      <w:r w:rsidR="00BD4063">
        <w:rPr>
          <w:rFonts w:ascii="Times New Roman" w:hAnsi="Times New Roman" w:cs="Times New Roman"/>
          <w:iCs/>
          <w:sz w:val="22"/>
          <w:szCs w:val="22"/>
          <w:lang w:val="en-US"/>
        </w:rPr>
        <w:t>O</w:t>
      </w:r>
      <w:r w:rsidR="00A855A7" w:rsidRPr="00892E49">
        <w:rPr>
          <w:rFonts w:ascii="Times New Roman" w:hAnsi="Times New Roman" w:cs="Times New Roman"/>
          <w:iCs/>
          <w:sz w:val="22"/>
          <w:szCs w:val="22"/>
          <w:lang w:val="en-US"/>
        </w:rPr>
        <w:t xml:space="preserve">utcomes include: </w:t>
      </w:r>
      <w:r w:rsidR="00BD4063">
        <w:rPr>
          <w:rFonts w:ascii="Times New Roman" w:hAnsi="Times New Roman" w:cs="Times New Roman"/>
          <w:iCs/>
          <w:sz w:val="22"/>
          <w:szCs w:val="22"/>
          <w:lang w:val="en-US"/>
        </w:rPr>
        <w:t>a</w:t>
      </w:r>
      <w:r w:rsidR="00A855A7" w:rsidRPr="00892E49">
        <w:rPr>
          <w:rFonts w:ascii="Times New Roman" w:hAnsi="Times New Roman" w:cs="Times New Roman"/>
          <w:iCs/>
          <w:sz w:val="22"/>
          <w:szCs w:val="22"/>
          <w:lang w:val="en-US"/>
        </w:rPr>
        <w:t xml:space="preserve">) </w:t>
      </w:r>
      <w:r w:rsidR="00A855A7" w:rsidRPr="00B61EA0">
        <w:rPr>
          <w:rFonts w:ascii="Times New Roman" w:hAnsi="Times New Roman" w:cs="Times New Roman"/>
          <w:iCs/>
          <w:sz w:val="22"/>
          <w:szCs w:val="22"/>
          <w:lang w:val="en-US"/>
        </w:rPr>
        <w:t xml:space="preserve">reality-monitoring accuracy calculated as the proportion of correct source recognition among the items correctly recognized as old, averaged across both sources (imagine and heard); </w:t>
      </w:r>
      <w:r w:rsidR="00BD4063">
        <w:rPr>
          <w:rFonts w:ascii="Times New Roman" w:hAnsi="Times New Roman" w:cs="Times New Roman"/>
          <w:iCs/>
          <w:sz w:val="22"/>
          <w:szCs w:val="22"/>
          <w:lang w:val="en-US"/>
        </w:rPr>
        <w:t>b</w:t>
      </w:r>
      <w:r w:rsidR="00A855A7" w:rsidRPr="00B61EA0">
        <w:rPr>
          <w:rFonts w:ascii="Times New Roman" w:hAnsi="Times New Roman" w:cs="Times New Roman"/>
          <w:iCs/>
          <w:sz w:val="22"/>
          <w:szCs w:val="22"/>
          <w:lang w:val="en-US"/>
        </w:rPr>
        <w:t xml:space="preserve">) externalization bias, defined as the number of imagined </w:t>
      </w:r>
      <w:r>
        <w:rPr>
          <w:rFonts w:ascii="Times New Roman" w:hAnsi="Times New Roman" w:cs="Times New Roman"/>
          <w:iCs/>
          <w:sz w:val="22"/>
          <w:szCs w:val="22"/>
          <w:lang w:val="en-US"/>
        </w:rPr>
        <w:t>items</w:t>
      </w:r>
      <w:r w:rsidR="00A855A7" w:rsidRPr="00B61EA0">
        <w:rPr>
          <w:rFonts w:ascii="Times New Roman" w:hAnsi="Times New Roman" w:cs="Times New Roman"/>
          <w:iCs/>
          <w:sz w:val="22"/>
          <w:szCs w:val="22"/>
          <w:lang w:val="en-US"/>
        </w:rPr>
        <w:t xml:space="preserve"> recognized as heard among all imagined </w:t>
      </w:r>
      <w:r>
        <w:rPr>
          <w:rFonts w:ascii="Times New Roman" w:hAnsi="Times New Roman" w:cs="Times New Roman"/>
          <w:iCs/>
          <w:sz w:val="22"/>
          <w:szCs w:val="22"/>
          <w:lang w:val="en-US"/>
        </w:rPr>
        <w:t>items</w:t>
      </w:r>
      <w:r w:rsidR="00A855A7" w:rsidRPr="00B61EA0">
        <w:rPr>
          <w:rFonts w:ascii="Times New Roman" w:hAnsi="Times New Roman" w:cs="Times New Roman"/>
          <w:iCs/>
          <w:sz w:val="22"/>
          <w:szCs w:val="22"/>
          <w:lang w:val="en-US"/>
        </w:rPr>
        <w:t xml:space="preserve"> incorrectly judged (</w:t>
      </w:r>
      <w:r w:rsidR="00A855A7" w:rsidRPr="00B61EA0">
        <w:rPr>
          <w:rFonts w:ascii="Times New Roman" w:hAnsi="Times New Roman" w:cs="Times New Roman"/>
          <w:i/>
          <w:iCs/>
          <w:sz w:val="22"/>
          <w:szCs w:val="22"/>
          <w:lang w:val="en-US"/>
        </w:rPr>
        <w:t>i.e.,</w:t>
      </w:r>
      <w:r w:rsidR="00A855A7" w:rsidRPr="00B61EA0">
        <w:rPr>
          <w:rFonts w:ascii="Times New Roman" w:hAnsi="Times New Roman" w:cs="Times New Roman"/>
          <w:iCs/>
          <w:sz w:val="22"/>
          <w:szCs w:val="22"/>
          <w:lang w:val="en-US"/>
        </w:rPr>
        <w:t xml:space="preserve"> judged as new or heard)</w:t>
      </w:r>
      <w:r w:rsidR="00BD4063">
        <w:rPr>
          <w:rFonts w:ascii="Times New Roman" w:hAnsi="Times New Roman" w:cs="Times New Roman"/>
          <w:iCs/>
          <w:sz w:val="22"/>
          <w:szCs w:val="22"/>
          <w:lang w:val="en-US"/>
        </w:rPr>
        <w:t>; and c)</w:t>
      </w:r>
      <w:r w:rsidR="00BD4063" w:rsidRPr="00BD4063">
        <w:rPr>
          <w:rFonts w:ascii="Times New Roman" w:hAnsi="Times New Roman" w:cs="Times New Roman"/>
          <w:iCs/>
          <w:sz w:val="22"/>
          <w:szCs w:val="22"/>
          <w:lang w:val="en-US"/>
        </w:rPr>
        <w:t xml:space="preserve"> </w:t>
      </w:r>
      <w:r w:rsidR="00BD4063" w:rsidRPr="00892E49">
        <w:rPr>
          <w:rFonts w:ascii="Times New Roman" w:hAnsi="Times New Roman" w:cs="Times New Roman"/>
          <w:iCs/>
          <w:sz w:val="22"/>
          <w:szCs w:val="22"/>
          <w:lang w:val="en-US"/>
        </w:rPr>
        <w:t>item memory accuracy</w:t>
      </w:r>
      <w:r w:rsidR="00BD4063" w:rsidRPr="00B61EA0">
        <w:rPr>
          <w:rFonts w:ascii="Times New Roman" w:hAnsi="Times New Roman" w:cs="Times New Roman"/>
          <w:iCs/>
          <w:sz w:val="22"/>
          <w:szCs w:val="22"/>
          <w:lang w:val="en-US"/>
        </w:rPr>
        <w:t>, calculated by subtracting</w:t>
      </w:r>
      <w:r w:rsidR="00BD4063">
        <w:rPr>
          <w:rFonts w:ascii="Times New Roman" w:hAnsi="Times New Roman" w:cs="Times New Roman"/>
          <w:iCs/>
          <w:sz w:val="22"/>
          <w:szCs w:val="22"/>
          <w:lang w:val="en-US"/>
        </w:rPr>
        <w:t xml:space="preserve"> the standardized false alarm rates</w:t>
      </w:r>
      <w:r w:rsidR="00BD4063" w:rsidRPr="00B61EA0">
        <w:rPr>
          <w:rFonts w:ascii="Times New Roman" w:hAnsi="Times New Roman" w:cs="Times New Roman"/>
          <w:iCs/>
          <w:sz w:val="22"/>
          <w:szCs w:val="22"/>
          <w:lang w:val="en-US"/>
        </w:rPr>
        <w:t xml:space="preserve"> (</w:t>
      </w:r>
      <w:r w:rsidR="00BD4063" w:rsidRPr="00B61EA0">
        <w:rPr>
          <w:rFonts w:ascii="Times New Roman" w:hAnsi="Times New Roman" w:cs="Times New Roman"/>
          <w:i/>
          <w:iCs/>
          <w:sz w:val="22"/>
          <w:szCs w:val="22"/>
          <w:lang w:val="en-US"/>
        </w:rPr>
        <w:t>i.e.,</w:t>
      </w:r>
      <w:r w:rsidR="00BD4063" w:rsidRPr="00B61EA0">
        <w:rPr>
          <w:rFonts w:ascii="Times New Roman" w:hAnsi="Times New Roman" w:cs="Times New Roman"/>
          <w:iCs/>
          <w:sz w:val="22"/>
          <w:szCs w:val="22"/>
          <w:lang w:val="en-US"/>
        </w:rPr>
        <w:t xml:space="preserve"> the proportion of new items identified as old) from</w:t>
      </w:r>
      <w:r w:rsidR="00BD4063">
        <w:rPr>
          <w:rFonts w:ascii="Times New Roman" w:hAnsi="Times New Roman" w:cs="Times New Roman"/>
          <w:iCs/>
          <w:sz w:val="22"/>
          <w:szCs w:val="22"/>
          <w:lang w:val="en-US"/>
        </w:rPr>
        <w:t xml:space="preserve"> the standardized</w:t>
      </w:r>
      <w:r w:rsidR="00BD4063" w:rsidRPr="00B61EA0">
        <w:rPr>
          <w:rFonts w:ascii="Times New Roman" w:hAnsi="Times New Roman" w:cs="Times New Roman"/>
          <w:iCs/>
          <w:sz w:val="22"/>
          <w:szCs w:val="22"/>
          <w:lang w:val="en-US"/>
        </w:rPr>
        <w:t xml:space="preserve"> hit rates (</w:t>
      </w:r>
      <w:r w:rsidR="00BD4063" w:rsidRPr="00B61EA0">
        <w:rPr>
          <w:rFonts w:ascii="Times New Roman" w:hAnsi="Times New Roman" w:cs="Times New Roman"/>
          <w:i/>
          <w:iCs/>
          <w:sz w:val="22"/>
          <w:szCs w:val="22"/>
          <w:lang w:val="en-US"/>
        </w:rPr>
        <w:t>i.e.,</w:t>
      </w:r>
      <w:r w:rsidR="00BD4063" w:rsidRPr="00B61EA0">
        <w:rPr>
          <w:rFonts w:ascii="Times New Roman" w:hAnsi="Times New Roman" w:cs="Times New Roman"/>
          <w:iCs/>
          <w:sz w:val="22"/>
          <w:szCs w:val="22"/>
          <w:lang w:val="en-US"/>
        </w:rPr>
        <w:t xml:space="preserve"> the proportion </w:t>
      </w:r>
      <w:r w:rsidR="00BD4063">
        <w:rPr>
          <w:rFonts w:ascii="Times New Roman" w:hAnsi="Times New Roman" w:cs="Times New Roman"/>
          <w:iCs/>
          <w:sz w:val="22"/>
          <w:szCs w:val="22"/>
          <w:lang w:val="en-US"/>
        </w:rPr>
        <w:t>of old items identified as old).</w:t>
      </w:r>
    </w:p>
    <w:p w14:paraId="600ADA75" w14:textId="77777777" w:rsidR="000F1788" w:rsidRPr="00B61EA0" w:rsidRDefault="000F1788">
      <w:pPr>
        <w:rPr>
          <w:rFonts w:ascii="Times New Roman" w:hAnsi="Times New Roman" w:cs="Times New Roman"/>
          <w:iCs/>
          <w:sz w:val="22"/>
          <w:szCs w:val="22"/>
          <w:lang w:val="en-US"/>
        </w:rPr>
      </w:pPr>
      <w:r w:rsidRPr="00B61EA0">
        <w:rPr>
          <w:rFonts w:ascii="Times New Roman" w:hAnsi="Times New Roman" w:cs="Times New Roman"/>
          <w:iCs/>
          <w:sz w:val="22"/>
          <w:szCs w:val="22"/>
          <w:lang w:val="en-US"/>
        </w:rPr>
        <w:br w:type="page"/>
      </w:r>
    </w:p>
    <w:p w14:paraId="7726F712" w14:textId="0BA7C8CE" w:rsidR="00A855A7" w:rsidRPr="00B61EA0" w:rsidRDefault="000F1788" w:rsidP="00977322">
      <w:pPr>
        <w:spacing w:line="480" w:lineRule="auto"/>
        <w:jc w:val="both"/>
        <w:rPr>
          <w:rFonts w:ascii="Times New Roman" w:hAnsi="Times New Roman" w:cs="Times New Roman"/>
          <w:iCs/>
          <w:sz w:val="22"/>
          <w:szCs w:val="22"/>
          <w:lang w:val="en-US"/>
        </w:rPr>
      </w:pPr>
      <w:r w:rsidRPr="00B61EA0">
        <w:rPr>
          <w:rFonts w:ascii="Times New Roman" w:hAnsi="Times New Roman" w:cs="Times New Roman"/>
          <w:iCs/>
          <w:noProof/>
          <w:sz w:val="22"/>
          <w:szCs w:val="22"/>
          <w:lang w:eastAsia="fr-FR"/>
        </w:rPr>
        <w:lastRenderedPageBreak/>
        <w:drawing>
          <wp:inline distT="0" distB="0" distL="0" distR="0" wp14:anchorId="3ECF3B96" wp14:editId="08F36DD5">
            <wp:extent cx="5638800" cy="4813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5638800" cy="4813300"/>
                    </a:xfrm>
                    <a:prstGeom prst="rect">
                      <a:avLst/>
                    </a:prstGeom>
                  </pic:spPr>
                </pic:pic>
              </a:graphicData>
            </a:graphic>
          </wp:inline>
        </w:drawing>
      </w:r>
    </w:p>
    <w:p w14:paraId="51AFAF9E" w14:textId="1A9CF156" w:rsidR="000F1788" w:rsidRPr="00B61EA0" w:rsidRDefault="000F1788" w:rsidP="000F1788">
      <w:pPr>
        <w:spacing w:line="480" w:lineRule="auto"/>
        <w:jc w:val="both"/>
        <w:rPr>
          <w:rFonts w:ascii="Times New Roman" w:hAnsi="Times New Roman" w:cs="Times New Roman"/>
          <w:iCs/>
          <w:sz w:val="22"/>
          <w:szCs w:val="22"/>
          <w:lang w:val="en-US"/>
        </w:rPr>
      </w:pPr>
      <w:r w:rsidRPr="00892E49">
        <w:rPr>
          <w:rFonts w:ascii="Times New Roman" w:hAnsi="Times New Roman" w:cs="Times New Roman"/>
          <w:b/>
          <w:bCs/>
          <w:iCs/>
          <w:sz w:val="22"/>
          <w:szCs w:val="22"/>
          <w:lang w:val="en-US"/>
        </w:rPr>
        <w:t xml:space="preserve">Supplementary Figure 2. </w:t>
      </w:r>
      <w:r w:rsidRPr="00892E49">
        <w:rPr>
          <w:rFonts w:ascii="Times New Roman" w:hAnsi="Times New Roman" w:cs="Times New Roman"/>
          <w:iCs/>
          <w:sz w:val="22"/>
          <w:szCs w:val="22"/>
          <w:lang w:val="en-US"/>
        </w:rPr>
        <w:t xml:space="preserve">Violin plots of the distribution of paracingulate sulcus (PCS) length for each hemisphere in the sample of 35 patients with schizophrenia and auditory hallucinations. </w:t>
      </w:r>
      <w:r w:rsidRPr="00B61EA0">
        <w:rPr>
          <w:rFonts w:ascii="Times New Roman" w:hAnsi="Times New Roman" w:cs="Times New Roman"/>
          <w:iCs/>
          <w:sz w:val="22"/>
          <w:szCs w:val="22"/>
        </w:rPr>
        <w:t xml:space="preserve">PCS </w:t>
      </w:r>
      <w:proofErr w:type="spellStart"/>
      <w:r w:rsidRPr="00B61EA0">
        <w:rPr>
          <w:rFonts w:ascii="Times New Roman" w:hAnsi="Times New Roman" w:cs="Times New Roman"/>
          <w:iCs/>
          <w:sz w:val="22"/>
          <w:szCs w:val="22"/>
        </w:rPr>
        <w:t>lengths</w:t>
      </w:r>
      <w:proofErr w:type="spellEnd"/>
      <w:r w:rsidRPr="00B61EA0">
        <w:rPr>
          <w:rFonts w:ascii="Times New Roman" w:hAnsi="Times New Roman" w:cs="Times New Roman"/>
          <w:iCs/>
          <w:sz w:val="22"/>
          <w:szCs w:val="22"/>
        </w:rPr>
        <w:t xml:space="preserve"> are </w:t>
      </w:r>
      <w:proofErr w:type="spellStart"/>
      <w:r w:rsidRPr="00B61EA0">
        <w:rPr>
          <w:rFonts w:ascii="Times New Roman" w:hAnsi="Times New Roman" w:cs="Times New Roman"/>
          <w:iCs/>
          <w:sz w:val="22"/>
          <w:szCs w:val="22"/>
        </w:rPr>
        <w:t>expressed</w:t>
      </w:r>
      <w:proofErr w:type="spellEnd"/>
      <w:r w:rsidRPr="00B61EA0">
        <w:rPr>
          <w:rFonts w:ascii="Times New Roman" w:hAnsi="Times New Roman" w:cs="Times New Roman"/>
          <w:iCs/>
          <w:sz w:val="22"/>
          <w:szCs w:val="22"/>
        </w:rPr>
        <w:t xml:space="preserve"> in mm</w:t>
      </w:r>
      <w:r w:rsidRPr="00B61EA0">
        <w:rPr>
          <w:rFonts w:ascii="Times New Roman" w:hAnsi="Times New Roman" w:cs="Times New Roman"/>
          <w:iCs/>
          <w:sz w:val="22"/>
          <w:szCs w:val="22"/>
          <w:lang w:val="en-US"/>
        </w:rPr>
        <w:t>.</w:t>
      </w:r>
    </w:p>
    <w:p w14:paraId="1114673D" w14:textId="798A8354" w:rsidR="00717B81" w:rsidRPr="00B61EA0" w:rsidRDefault="00717B81">
      <w:pPr>
        <w:rPr>
          <w:rFonts w:ascii="Times New Roman" w:hAnsi="Times New Roman" w:cs="Times New Roman"/>
          <w:iCs/>
          <w:sz w:val="22"/>
          <w:szCs w:val="22"/>
        </w:rPr>
      </w:pPr>
    </w:p>
    <w:sectPr w:rsidR="00717B81" w:rsidRPr="00B61EA0" w:rsidSect="005030F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D63E5"/>
    <w:multiLevelType w:val="hybridMultilevel"/>
    <w:tmpl w:val="E6668ABA"/>
    <w:lvl w:ilvl="0" w:tplc="8A8CAA8A">
      <w:start w:val="45"/>
      <w:numFmt w:val="bullet"/>
      <w:lvlText w:val=""/>
      <w:lvlJc w:val="left"/>
      <w:pPr>
        <w:ind w:left="720" w:hanging="360"/>
      </w:pPr>
      <w:rPr>
        <w:rFonts w:ascii="Symbol" w:eastAsiaTheme="minorHAnsi" w:hAnsi="Symbol" w:cs="Times New Roman" w:hint="default"/>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81"/>
    <w:rsid w:val="000D4CC9"/>
    <w:rsid w:val="000F1788"/>
    <w:rsid w:val="00232E96"/>
    <w:rsid w:val="00325B16"/>
    <w:rsid w:val="00426BC6"/>
    <w:rsid w:val="004C5E52"/>
    <w:rsid w:val="005030F3"/>
    <w:rsid w:val="00697BDC"/>
    <w:rsid w:val="00717B81"/>
    <w:rsid w:val="00843840"/>
    <w:rsid w:val="00892E49"/>
    <w:rsid w:val="0089740B"/>
    <w:rsid w:val="00956C12"/>
    <w:rsid w:val="00977322"/>
    <w:rsid w:val="009A63E9"/>
    <w:rsid w:val="00A855A7"/>
    <w:rsid w:val="00B61EA0"/>
    <w:rsid w:val="00BD4063"/>
    <w:rsid w:val="00C52BD9"/>
    <w:rsid w:val="00C803FC"/>
    <w:rsid w:val="00CB13BF"/>
    <w:rsid w:val="00E26AD3"/>
    <w:rsid w:val="00EF2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8635"/>
  <w14:defaultImageDpi w14:val="32767"/>
  <w15:chartTrackingRefBased/>
  <w15:docId w15:val="{591F482E-2F2D-1B49-9977-641D8519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partie">
    <w:name w:val="Sous partie"/>
    <w:basedOn w:val="Normal"/>
    <w:link w:val="SouspartieCar"/>
    <w:qFormat/>
    <w:rsid w:val="00717B81"/>
    <w:pPr>
      <w:spacing w:line="259" w:lineRule="auto"/>
      <w:jc w:val="both"/>
    </w:pPr>
    <w:rPr>
      <w:i/>
      <w:sz w:val="22"/>
      <w:szCs w:val="22"/>
      <w:lang w:val="en-US"/>
    </w:rPr>
  </w:style>
  <w:style w:type="character" w:customStyle="1" w:styleId="SouspartieCar">
    <w:name w:val="Sous partie Car"/>
    <w:basedOn w:val="Policepardfaut"/>
    <w:link w:val="Souspartie"/>
    <w:rsid w:val="00717B81"/>
    <w:rPr>
      <w:i/>
      <w:sz w:val="22"/>
      <w:szCs w:val="22"/>
      <w:lang w:val="en-US"/>
    </w:rPr>
  </w:style>
  <w:style w:type="table" w:styleId="Grilledutableau">
    <w:name w:val="Table Grid"/>
    <w:basedOn w:val="TableauNormal"/>
    <w:uiPriority w:val="39"/>
    <w:rsid w:val="00717B8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717B81"/>
    <w:pPr>
      <w:spacing w:after="200"/>
    </w:pPr>
    <w:rPr>
      <w:i/>
      <w:iCs/>
      <w:color w:val="44546A" w:themeColor="text2"/>
      <w:sz w:val="18"/>
      <w:szCs w:val="18"/>
      <w:lang w:val="en-US"/>
    </w:rPr>
  </w:style>
  <w:style w:type="paragraph" w:styleId="Textedebulles">
    <w:name w:val="Balloon Text"/>
    <w:basedOn w:val="Normal"/>
    <w:link w:val="TextedebullesCar"/>
    <w:uiPriority w:val="99"/>
    <w:semiHidden/>
    <w:unhideWhenUsed/>
    <w:rsid w:val="00717B8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17B81"/>
    <w:rPr>
      <w:rFonts w:ascii="Times New Roman" w:hAnsi="Times New Roman" w:cs="Times New Roman"/>
      <w:sz w:val="18"/>
      <w:szCs w:val="18"/>
    </w:rPr>
  </w:style>
  <w:style w:type="paragraph" w:styleId="Paragraphedeliste">
    <w:name w:val="List Paragraph"/>
    <w:basedOn w:val="Normal"/>
    <w:uiPriority w:val="34"/>
    <w:qFormat/>
    <w:rsid w:val="00EF2D74"/>
    <w:pPr>
      <w:ind w:left="720"/>
      <w:contextualSpacing/>
    </w:pPr>
  </w:style>
  <w:style w:type="character" w:styleId="Lienhypertexte">
    <w:name w:val="Hyperlink"/>
    <w:basedOn w:val="Policepardfaut"/>
    <w:uiPriority w:val="99"/>
    <w:unhideWhenUsed/>
    <w:rsid w:val="00B61EA0"/>
    <w:rPr>
      <w:color w:val="0563C1" w:themeColor="hyperlink"/>
      <w:u w:val="single"/>
    </w:rPr>
  </w:style>
  <w:style w:type="paragraph" w:customStyle="1" w:styleId="Bibliographie1">
    <w:name w:val="Bibliographie1"/>
    <w:basedOn w:val="Normal"/>
    <w:link w:val="BibliographyCar"/>
    <w:rsid w:val="00B61EA0"/>
    <w:pPr>
      <w:tabs>
        <w:tab w:val="left" w:pos="380"/>
      </w:tabs>
      <w:ind w:left="384" w:hanging="384"/>
    </w:pPr>
    <w:rPr>
      <w:rFonts w:ascii="Times New Roman" w:hAnsi="Times New Roman" w:cs="Times New Roman"/>
      <w:sz w:val="22"/>
      <w:szCs w:val="22"/>
      <w:lang w:val="en-US"/>
    </w:rPr>
  </w:style>
  <w:style w:type="character" w:customStyle="1" w:styleId="BibliographyCar">
    <w:name w:val="Bibliography Car"/>
    <w:basedOn w:val="Policepardfaut"/>
    <w:link w:val="Bibliographie1"/>
    <w:rsid w:val="00B61EA0"/>
    <w:rPr>
      <w:rFonts w:ascii="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952258">
      <w:bodyDiv w:val="1"/>
      <w:marLeft w:val="0"/>
      <w:marRight w:val="0"/>
      <w:marTop w:val="0"/>
      <w:marBottom w:val="0"/>
      <w:divBdr>
        <w:top w:val="none" w:sz="0" w:space="0" w:color="auto"/>
        <w:left w:val="none" w:sz="0" w:space="0" w:color="auto"/>
        <w:bottom w:val="none" w:sz="0" w:space="0" w:color="auto"/>
        <w:right w:val="none" w:sz="0" w:space="0" w:color="auto"/>
      </w:divBdr>
    </w:div>
    <w:div w:id="10770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ric.uthscsa.edu/mang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1352</Words>
  <Characters>7439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Mondino</dc:creator>
  <cp:keywords/>
  <dc:description/>
  <cp:lastModifiedBy>Marine Mondino</cp:lastModifiedBy>
  <cp:revision>5</cp:revision>
  <dcterms:created xsi:type="dcterms:W3CDTF">2021-09-08T13:53:00Z</dcterms:created>
  <dcterms:modified xsi:type="dcterms:W3CDTF">2021-09-08T15:23:00Z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id="YYg6D0JI"/&gt;&lt;style id="http://www.zotero.org/styles/european-psychiatry"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