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56A10" w14:textId="77777777" w:rsidR="00C6393B" w:rsidRDefault="00C6393B" w:rsidP="00C61537">
      <w:pPr>
        <w:pStyle w:val="Title"/>
      </w:pPr>
      <w:bookmarkStart w:id="0" w:name="_GoBack"/>
      <w:bookmarkEnd w:id="0"/>
    </w:p>
    <w:p w14:paraId="6FE575B7" w14:textId="30970E31" w:rsidR="00FC3E1F" w:rsidRDefault="009F5431" w:rsidP="00682538">
      <w:pPr>
        <w:pStyle w:val="Title"/>
      </w:pPr>
      <w:r w:rsidRPr="00682538">
        <w:t xml:space="preserve">The </w:t>
      </w:r>
      <w:r w:rsidR="00BD3C61" w:rsidRPr="00682538">
        <w:t xml:space="preserve">early </w:t>
      </w:r>
      <w:r w:rsidRPr="00682538">
        <w:t xml:space="preserve">impact of </w:t>
      </w:r>
      <w:r w:rsidR="00BD3C61" w:rsidRPr="00682538">
        <w:t xml:space="preserve">the </w:t>
      </w:r>
      <w:r w:rsidR="00BC4557" w:rsidRPr="00682538">
        <w:t>COVID</w:t>
      </w:r>
      <w:r w:rsidRPr="00682538">
        <w:t xml:space="preserve">-19 </w:t>
      </w:r>
      <w:r w:rsidR="00BD3C61" w:rsidRPr="00682538">
        <w:t xml:space="preserve">pandemic </w:t>
      </w:r>
      <w:r w:rsidRPr="00682538">
        <w:t>on patients with Severe Mental Illness</w:t>
      </w:r>
      <w:r w:rsidR="006C2D2A" w:rsidRPr="00682538">
        <w:t>: A</w:t>
      </w:r>
      <w:r w:rsidR="00BD794E" w:rsidRPr="00682538">
        <w:t>n</w:t>
      </w:r>
      <w:r w:rsidR="006C2D2A" w:rsidRPr="00682538">
        <w:t xml:space="preserve"> interrupted time series study</w:t>
      </w:r>
      <w:r w:rsidR="00D17D6B" w:rsidRPr="00682538">
        <w:t xml:space="preserve"> in South</w:t>
      </w:r>
      <w:r w:rsidR="009E3DF3" w:rsidRPr="00682538">
        <w:t>-</w:t>
      </w:r>
      <w:r w:rsidR="00D17D6B" w:rsidRPr="00682538">
        <w:t>East England</w:t>
      </w:r>
    </w:p>
    <w:p w14:paraId="2E0846F8" w14:textId="52CBEFFA" w:rsidR="00F03DBF" w:rsidRDefault="00F03DBF" w:rsidP="00F03DBF"/>
    <w:p w14:paraId="74C23544" w14:textId="34B88847" w:rsidR="00F03DBF" w:rsidRDefault="00F03DBF" w:rsidP="00F03DBF"/>
    <w:p w14:paraId="297EEBBB" w14:textId="71CA27F9" w:rsidR="001C7252" w:rsidRDefault="00F03DBF" w:rsidP="00682538">
      <w:pPr>
        <w:pStyle w:val="Heading1"/>
      </w:pPr>
      <w:r>
        <w:t>A</w:t>
      </w:r>
      <w:r w:rsidR="001C7252">
        <w:t>ppendices</w:t>
      </w:r>
    </w:p>
    <w:p w14:paraId="501781C6" w14:textId="32CAEC2B" w:rsidR="004D0F0D" w:rsidRDefault="004D0F0D" w:rsidP="00682538">
      <w:pPr>
        <w:rPr>
          <w:rFonts w:asciiTheme="majorHAnsi" w:eastAsiaTheme="majorEastAsia" w:hAnsiTheme="majorHAnsi" w:cstheme="majorBidi"/>
          <w:color w:val="2E74B5" w:themeColor="accent1" w:themeShade="BF"/>
          <w:sz w:val="32"/>
          <w:szCs w:val="32"/>
        </w:rPr>
      </w:pPr>
    </w:p>
    <w:p w14:paraId="2B110A7C" w14:textId="77777777" w:rsidR="00AE6696" w:rsidRDefault="00AE6696" w:rsidP="00682538">
      <w:pPr>
        <w:pStyle w:val="Heading1"/>
        <w:sectPr w:rsidR="00AE6696">
          <w:endnotePr>
            <w:numFmt w:val="decimal"/>
          </w:endnotePr>
          <w:pgSz w:w="11906" w:h="16838"/>
          <w:pgMar w:top="1440" w:right="1440" w:bottom="1440" w:left="1440" w:header="708" w:footer="708" w:gutter="0"/>
          <w:cols w:space="708"/>
          <w:docGrid w:linePitch="360"/>
        </w:sectPr>
      </w:pPr>
    </w:p>
    <w:p w14:paraId="5305552E" w14:textId="7046B6D7" w:rsidR="00BF3B5F" w:rsidRDefault="001C7252" w:rsidP="00682538">
      <w:pPr>
        <w:pStyle w:val="Heading2"/>
      </w:pPr>
      <w:r>
        <w:lastRenderedPageBreak/>
        <w:t>Appendix</w:t>
      </w:r>
      <w:r w:rsidR="00AE6696">
        <w:t xml:space="preserve"> </w:t>
      </w:r>
      <w:r w:rsidR="00CC6F3D">
        <w:t>1</w:t>
      </w:r>
      <w:r w:rsidR="00AE6696">
        <w:t xml:space="preserve"> </w:t>
      </w:r>
      <w:r w:rsidR="00E1632F">
        <w:t>–</w:t>
      </w:r>
      <w:r w:rsidR="00AE6696">
        <w:t xml:space="preserve"> </w:t>
      </w:r>
      <w:r w:rsidR="00BF3B5F">
        <w:t>Additional</w:t>
      </w:r>
      <w:r>
        <w:t xml:space="preserve"> r</w:t>
      </w:r>
      <w:r w:rsidR="00AE6696">
        <w:t>esults</w:t>
      </w:r>
    </w:p>
    <w:p w14:paraId="6E342A54" w14:textId="0C04526D" w:rsidR="00AE6696" w:rsidRPr="006C05EE" w:rsidRDefault="00BF3B5F" w:rsidP="006C05EE">
      <w:pPr>
        <w:pStyle w:val="Heading3"/>
      </w:pPr>
      <w:r w:rsidRPr="006C05EE">
        <w:t>Appendix</w:t>
      </w:r>
      <w:r w:rsidR="00E7396F" w:rsidRPr="006C05EE">
        <w:t xml:space="preserve"> </w:t>
      </w:r>
      <w:r w:rsidR="00924D9E" w:rsidRPr="006C05EE">
        <w:t>1</w:t>
      </w:r>
      <w:r w:rsidRPr="006C05EE">
        <w:t>.1 – Full results table</w:t>
      </w:r>
    </w:p>
    <w:p w14:paraId="29710D77" w14:textId="4ABA44E9" w:rsidR="00E1632F" w:rsidRPr="00E1632F" w:rsidRDefault="00E1632F" w:rsidP="00682538">
      <w:pPr>
        <w:pStyle w:val="Caption"/>
      </w:pPr>
    </w:p>
    <w:tbl>
      <w:tblPr>
        <w:tblW w:w="15298" w:type="dxa"/>
        <w:tblLayout w:type="fixed"/>
        <w:tblLook w:val="04A0" w:firstRow="1" w:lastRow="0" w:firstColumn="1" w:lastColumn="0" w:noHBand="0" w:noVBand="1"/>
      </w:tblPr>
      <w:tblGrid>
        <w:gridCol w:w="236"/>
        <w:gridCol w:w="3025"/>
        <w:gridCol w:w="2006"/>
        <w:gridCol w:w="2006"/>
        <w:gridCol w:w="2006"/>
        <w:gridCol w:w="2006"/>
        <w:gridCol w:w="2006"/>
        <w:gridCol w:w="2007"/>
      </w:tblGrid>
      <w:tr w:rsidR="00DD0367" w:rsidRPr="00A80562" w14:paraId="12B82F73" w14:textId="77777777" w:rsidTr="00DD0367">
        <w:trPr>
          <w:trHeight w:val="270"/>
        </w:trPr>
        <w:tc>
          <w:tcPr>
            <w:tcW w:w="3261" w:type="dxa"/>
            <w:gridSpan w:val="2"/>
            <w:tcBorders>
              <w:top w:val="nil"/>
              <w:left w:val="nil"/>
              <w:bottom w:val="single" w:sz="8" w:space="0" w:color="auto"/>
              <w:right w:val="single" w:sz="4" w:space="0" w:color="000000"/>
            </w:tcBorders>
            <w:shd w:val="clear" w:color="auto" w:fill="auto"/>
            <w:noWrap/>
            <w:vAlign w:val="bottom"/>
            <w:hideMark/>
          </w:tcPr>
          <w:p w14:paraId="4E17DF85" w14:textId="77777777" w:rsidR="00DD0367" w:rsidRPr="00A80562" w:rsidRDefault="00DD0367">
            <w:pPr>
              <w:jc w:val="left"/>
              <w:rPr>
                <w:rFonts w:eastAsia="Times New Roman"/>
                <w:b/>
                <w:bCs/>
                <w:sz w:val="16"/>
                <w:szCs w:val="16"/>
                <w:lang w:eastAsia="en-GB"/>
              </w:rPr>
            </w:pPr>
            <w:r w:rsidRPr="00A80562">
              <w:rPr>
                <w:rFonts w:eastAsia="Times New Roman"/>
                <w:b/>
                <w:bCs/>
                <w:sz w:val="16"/>
                <w:szCs w:val="16"/>
                <w:lang w:eastAsia="en-GB"/>
              </w:rPr>
              <w:t>Outcome</w:t>
            </w:r>
          </w:p>
        </w:tc>
        <w:tc>
          <w:tcPr>
            <w:tcW w:w="2006" w:type="dxa"/>
            <w:tcBorders>
              <w:top w:val="nil"/>
              <w:left w:val="nil"/>
              <w:bottom w:val="single" w:sz="8" w:space="0" w:color="auto"/>
              <w:right w:val="nil"/>
            </w:tcBorders>
            <w:shd w:val="clear" w:color="auto" w:fill="auto"/>
            <w:noWrap/>
            <w:vAlign w:val="bottom"/>
            <w:hideMark/>
          </w:tcPr>
          <w:p w14:paraId="04E6D307" w14:textId="77777777" w:rsidR="00DD0367" w:rsidRPr="00A80562" w:rsidRDefault="00DD0367" w:rsidP="00DD0367">
            <w:pPr>
              <w:spacing w:after="0" w:line="240" w:lineRule="auto"/>
              <w:jc w:val="left"/>
              <w:rPr>
                <w:rFonts w:eastAsia="Times New Roman"/>
                <w:b/>
                <w:bCs/>
                <w:sz w:val="16"/>
                <w:szCs w:val="16"/>
                <w:lang w:eastAsia="en-GB"/>
              </w:rPr>
            </w:pPr>
            <w:r w:rsidRPr="00A80562">
              <w:rPr>
                <w:rFonts w:eastAsia="Times New Roman"/>
                <w:b/>
                <w:bCs/>
                <w:sz w:val="16"/>
                <w:szCs w:val="16"/>
                <w:lang w:eastAsia="en-GB"/>
              </w:rPr>
              <w:t>Constant</w:t>
            </w:r>
          </w:p>
        </w:tc>
        <w:tc>
          <w:tcPr>
            <w:tcW w:w="2006" w:type="dxa"/>
            <w:tcBorders>
              <w:top w:val="nil"/>
              <w:left w:val="nil"/>
              <w:bottom w:val="single" w:sz="8" w:space="0" w:color="auto"/>
              <w:right w:val="nil"/>
            </w:tcBorders>
            <w:shd w:val="clear" w:color="auto" w:fill="auto"/>
            <w:noWrap/>
            <w:vAlign w:val="bottom"/>
            <w:hideMark/>
          </w:tcPr>
          <w:p w14:paraId="263A61A0" w14:textId="77777777" w:rsidR="00DD0367" w:rsidRPr="00A80562" w:rsidRDefault="00DD0367" w:rsidP="00DD0367">
            <w:pPr>
              <w:spacing w:after="0" w:line="240" w:lineRule="auto"/>
              <w:jc w:val="left"/>
              <w:rPr>
                <w:rFonts w:eastAsia="Times New Roman"/>
                <w:b/>
                <w:bCs/>
                <w:sz w:val="16"/>
                <w:szCs w:val="16"/>
                <w:lang w:eastAsia="en-GB"/>
              </w:rPr>
            </w:pPr>
            <w:r w:rsidRPr="00A80562">
              <w:rPr>
                <w:rFonts w:eastAsia="Times New Roman"/>
                <w:b/>
                <w:bCs/>
                <w:sz w:val="16"/>
                <w:szCs w:val="16"/>
                <w:lang w:eastAsia="en-GB"/>
              </w:rPr>
              <w:t>Weekly slope</w:t>
            </w:r>
          </w:p>
        </w:tc>
        <w:tc>
          <w:tcPr>
            <w:tcW w:w="2006" w:type="dxa"/>
            <w:tcBorders>
              <w:top w:val="nil"/>
              <w:left w:val="nil"/>
              <w:bottom w:val="single" w:sz="8" w:space="0" w:color="auto"/>
              <w:right w:val="nil"/>
            </w:tcBorders>
            <w:shd w:val="clear" w:color="auto" w:fill="auto"/>
            <w:noWrap/>
            <w:vAlign w:val="bottom"/>
            <w:hideMark/>
          </w:tcPr>
          <w:p w14:paraId="28C005CD" w14:textId="77777777" w:rsidR="00DD0367" w:rsidRPr="00A80562" w:rsidRDefault="00DD0367" w:rsidP="00DD0367">
            <w:pPr>
              <w:spacing w:after="0" w:line="240" w:lineRule="auto"/>
              <w:jc w:val="left"/>
              <w:rPr>
                <w:rFonts w:eastAsia="Times New Roman"/>
                <w:b/>
                <w:bCs/>
                <w:sz w:val="16"/>
                <w:szCs w:val="16"/>
                <w:lang w:eastAsia="en-GB"/>
              </w:rPr>
            </w:pPr>
            <w:r w:rsidRPr="00A80562">
              <w:rPr>
                <w:rFonts w:eastAsia="Times New Roman"/>
                <w:b/>
                <w:bCs/>
                <w:sz w:val="16"/>
                <w:szCs w:val="16"/>
                <w:lang w:eastAsia="en-GB"/>
              </w:rPr>
              <w:t>Immediate change</w:t>
            </w:r>
          </w:p>
        </w:tc>
        <w:tc>
          <w:tcPr>
            <w:tcW w:w="2006" w:type="dxa"/>
            <w:tcBorders>
              <w:top w:val="nil"/>
              <w:left w:val="nil"/>
              <w:bottom w:val="single" w:sz="8" w:space="0" w:color="auto"/>
              <w:right w:val="nil"/>
            </w:tcBorders>
            <w:shd w:val="clear" w:color="auto" w:fill="auto"/>
            <w:noWrap/>
            <w:vAlign w:val="bottom"/>
            <w:hideMark/>
          </w:tcPr>
          <w:p w14:paraId="69AB58AB" w14:textId="77777777" w:rsidR="00DD0367" w:rsidRPr="00A80562" w:rsidRDefault="00DD0367" w:rsidP="00DD0367">
            <w:pPr>
              <w:spacing w:after="0" w:line="240" w:lineRule="auto"/>
              <w:jc w:val="left"/>
              <w:rPr>
                <w:rFonts w:eastAsia="Times New Roman"/>
                <w:b/>
                <w:bCs/>
                <w:sz w:val="16"/>
                <w:szCs w:val="16"/>
                <w:lang w:eastAsia="en-GB"/>
              </w:rPr>
            </w:pPr>
            <w:r w:rsidRPr="00A80562">
              <w:rPr>
                <w:rFonts w:eastAsia="Times New Roman"/>
                <w:b/>
                <w:bCs/>
                <w:sz w:val="16"/>
                <w:szCs w:val="16"/>
                <w:lang w:eastAsia="en-GB"/>
              </w:rPr>
              <w:t>Subsequent change</w:t>
            </w:r>
          </w:p>
        </w:tc>
        <w:tc>
          <w:tcPr>
            <w:tcW w:w="2006" w:type="dxa"/>
            <w:tcBorders>
              <w:top w:val="nil"/>
              <w:left w:val="nil"/>
              <w:bottom w:val="single" w:sz="8" w:space="0" w:color="auto"/>
              <w:right w:val="nil"/>
            </w:tcBorders>
            <w:shd w:val="clear" w:color="auto" w:fill="auto"/>
            <w:noWrap/>
            <w:vAlign w:val="bottom"/>
            <w:hideMark/>
          </w:tcPr>
          <w:p w14:paraId="6D759819" w14:textId="77777777" w:rsidR="00DD0367" w:rsidRPr="00A80562" w:rsidRDefault="00DD0367" w:rsidP="00DD0367">
            <w:pPr>
              <w:spacing w:after="0" w:line="240" w:lineRule="auto"/>
              <w:jc w:val="left"/>
              <w:rPr>
                <w:rFonts w:eastAsia="Times New Roman"/>
                <w:b/>
                <w:bCs/>
                <w:sz w:val="16"/>
                <w:szCs w:val="16"/>
                <w:lang w:eastAsia="en-GB"/>
              </w:rPr>
            </w:pPr>
            <w:r w:rsidRPr="00A80562">
              <w:rPr>
                <w:rFonts w:eastAsia="Times New Roman"/>
                <w:b/>
                <w:bCs/>
                <w:sz w:val="16"/>
                <w:szCs w:val="16"/>
                <w:lang w:eastAsia="en-GB"/>
              </w:rPr>
              <w:t>Combined change</w:t>
            </w:r>
          </w:p>
        </w:tc>
        <w:tc>
          <w:tcPr>
            <w:tcW w:w="2007" w:type="dxa"/>
            <w:tcBorders>
              <w:top w:val="nil"/>
              <w:left w:val="nil"/>
              <w:bottom w:val="single" w:sz="8" w:space="0" w:color="auto"/>
              <w:right w:val="nil"/>
            </w:tcBorders>
            <w:shd w:val="clear" w:color="auto" w:fill="auto"/>
            <w:noWrap/>
            <w:vAlign w:val="bottom"/>
            <w:hideMark/>
          </w:tcPr>
          <w:p w14:paraId="5358DA36" w14:textId="77777777" w:rsidR="00DD0367" w:rsidRPr="00A80562" w:rsidRDefault="00DD0367" w:rsidP="00DD0367">
            <w:pPr>
              <w:spacing w:after="0" w:line="240" w:lineRule="auto"/>
              <w:jc w:val="left"/>
              <w:rPr>
                <w:rFonts w:eastAsia="Times New Roman"/>
                <w:b/>
                <w:bCs/>
                <w:sz w:val="16"/>
                <w:szCs w:val="16"/>
                <w:lang w:eastAsia="en-GB"/>
              </w:rPr>
            </w:pPr>
            <w:r w:rsidRPr="00A80562">
              <w:rPr>
                <w:rFonts w:eastAsia="Times New Roman"/>
                <w:b/>
                <w:bCs/>
                <w:sz w:val="16"/>
                <w:szCs w:val="16"/>
                <w:lang w:eastAsia="en-GB"/>
              </w:rPr>
              <w:t>ARIMA terms</w:t>
            </w:r>
          </w:p>
        </w:tc>
      </w:tr>
      <w:tr w:rsidR="00DD0367" w:rsidRPr="00A80562" w14:paraId="4A834887" w14:textId="77777777" w:rsidTr="00DD0367">
        <w:trPr>
          <w:trHeight w:val="257"/>
        </w:trPr>
        <w:tc>
          <w:tcPr>
            <w:tcW w:w="3261" w:type="dxa"/>
            <w:gridSpan w:val="2"/>
            <w:tcBorders>
              <w:top w:val="single" w:sz="8" w:space="0" w:color="auto"/>
              <w:left w:val="nil"/>
              <w:bottom w:val="single" w:sz="4" w:space="0" w:color="auto"/>
              <w:right w:val="nil"/>
            </w:tcBorders>
            <w:shd w:val="clear" w:color="auto" w:fill="auto"/>
            <w:noWrap/>
            <w:vAlign w:val="bottom"/>
            <w:hideMark/>
          </w:tcPr>
          <w:p w14:paraId="3F00FC7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Outpatient and community referrals:</w:t>
            </w:r>
          </w:p>
        </w:tc>
        <w:tc>
          <w:tcPr>
            <w:tcW w:w="2006" w:type="dxa"/>
            <w:tcBorders>
              <w:top w:val="nil"/>
              <w:left w:val="single" w:sz="4" w:space="0" w:color="auto"/>
              <w:bottom w:val="single" w:sz="4" w:space="0" w:color="auto"/>
              <w:right w:val="nil"/>
            </w:tcBorders>
            <w:shd w:val="clear" w:color="auto" w:fill="auto"/>
            <w:noWrap/>
            <w:vAlign w:val="bottom"/>
            <w:hideMark/>
          </w:tcPr>
          <w:p w14:paraId="23E2F33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06" w:type="dxa"/>
            <w:tcBorders>
              <w:top w:val="nil"/>
              <w:left w:val="nil"/>
              <w:bottom w:val="single" w:sz="4" w:space="0" w:color="auto"/>
              <w:right w:val="nil"/>
            </w:tcBorders>
            <w:shd w:val="clear" w:color="auto" w:fill="auto"/>
            <w:noWrap/>
            <w:vAlign w:val="bottom"/>
            <w:hideMark/>
          </w:tcPr>
          <w:p w14:paraId="549A755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06" w:type="dxa"/>
            <w:tcBorders>
              <w:top w:val="nil"/>
              <w:left w:val="nil"/>
              <w:bottom w:val="single" w:sz="4" w:space="0" w:color="auto"/>
              <w:right w:val="nil"/>
            </w:tcBorders>
            <w:shd w:val="clear" w:color="auto" w:fill="auto"/>
            <w:noWrap/>
            <w:vAlign w:val="bottom"/>
            <w:hideMark/>
          </w:tcPr>
          <w:p w14:paraId="4493EF4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06" w:type="dxa"/>
            <w:tcBorders>
              <w:top w:val="nil"/>
              <w:left w:val="nil"/>
              <w:bottom w:val="single" w:sz="4" w:space="0" w:color="auto"/>
              <w:right w:val="nil"/>
            </w:tcBorders>
            <w:shd w:val="clear" w:color="auto" w:fill="auto"/>
            <w:noWrap/>
            <w:vAlign w:val="bottom"/>
            <w:hideMark/>
          </w:tcPr>
          <w:p w14:paraId="7A4E855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06" w:type="dxa"/>
            <w:tcBorders>
              <w:top w:val="nil"/>
              <w:left w:val="nil"/>
              <w:bottom w:val="single" w:sz="4" w:space="0" w:color="auto"/>
              <w:right w:val="nil"/>
            </w:tcBorders>
            <w:shd w:val="clear" w:color="auto" w:fill="auto"/>
            <w:noWrap/>
            <w:vAlign w:val="bottom"/>
            <w:hideMark/>
          </w:tcPr>
          <w:p w14:paraId="315EA76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Linear combination after 15 weeks (95% CI)</w:t>
            </w:r>
          </w:p>
        </w:tc>
        <w:tc>
          <w:tcPr>
            <w:tcW w:w="2007" w:type="dxa"/>
            <w:tcBorders>
              <w:top w:val="nil"/>
              <w:left w:val="nil"/>
              <w:bottom w:val="single" w:sz="4" w:space="0" w:color="auto"/>
              <w:right w:val="nil"/>
            </w:tcBorders>
            <w:shd w:val="clear" w:color="auto" w:fill="auto"/>
            <w:noWrap/>
            <w:vAlign w:val="bottom"/>
            <w:hideMark/>
          </w:tcPr>
          <w:p w14:paraId="174844C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(AR, I, MA)</w:t>
            </w:r>
          </w:p>
        </w:tc>
      </w:tr>
      <w:tr w:rsidR="00DD0367" w:rsidRPr="00A80562" w14:paraId="42262BBA" w14:textId="77777777" w:rsidTr="00DD0367">
        <w:trPr>
          <w:trHeight w:val="257"/>
        </w:trPr>
        <w:tc>
          <w:tcPr>
            <w:tcW w:w="236" w:type="dxa"/>
            <w:tcBorders>
              <w:top w:val="nil"/>
              <w:left w:val="nil"/>
              <w:bottom w:val="nil"/>
              <w:right w:val="nil"/>
            </w:tcBorders>
            <w:shd w:val="clear" w:color="auto" w:fill="auto"/>
            <w:noWrap/>
            <w:vAlign w:val="bottom"/>
            <w:hideMark/>
          </w:tcPr>
          <w:p w14:paraId="298252C3"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07ADD604"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Total referrals</w:t>
            </w:r>
          </w:p>
        </w:tc>
        <w:tc>
          <w:tcPr>
            <w:tcW w:w="2006" w:type="dxa"/>
            <w:tcBorders>
              <w:top w:val="nil"/>
              <w:left w:val="single" w:sz="4" w:space="0" w:color="auto"/>
              <w:bottom w:val="nil"/>
              <w:right w:val="nil"/>
            </w:tcBorders>
            <w:shd w:val="clear" w:color="000000" w:fill="F2F2F2"/>
            <w:noWrap/>
            <w:vAlign w:val="bottom"/>
            <w:hideMark/>
          </w:tcPr>
          <w:p w14:paraId="32F7FC6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335.2*** (312.3, 358.1)</w:t>
            </w:r>
          </w:p>
        </w:tc>
        <w:tc>
          <w:tcPr>
            <w:tcW w:w="2006" w:type="dxa"/>
            <w:tcBorders>
              <w:top w:val="nil"/>
              <w:left w:val="nil"/>
              <w:bottom w:val="nil"/>
              <w:right w:val="nil"/>
            </w:tcBorders>
            <w:shd w:val="clear" w:color="000000" w:fill="F2F2F2"/>
            <w:noWrap/>
            <w:vAlign w:val="bottom"/>
            <w:hideMark/>
          </w:tcPr>
          <w:p w14:paraId="6E9A773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0.3*** (0.1, 0.5)</w:t>
            </w:r>
          </w:p>
        </w:tc>
        <w:tc>
          <w:tcPr>
            <w:tcW w:w="2006" w:type="dxa"/>
            <w:tcBorders>
              <w:top w:val="nil"/>
              <w:left w:val="nil"/>
              <w:bottom w:val="nil"/>
              <w:right w:val="nil"/>
            </w:tcBorders>
            <w:shd w:val="clear" w:color="000000" w:fill="F2F2F2"/>
            <w:noWrap/>
            <w:vAlign w:val="bottom"/>
            <w:hideMark/>
          </w:tcPr>
          <w:p w14:paraId="36DC98F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-195.6*** (-300, -91.2)</w:t>
            </w:r>
          </w:p>
        </w:tc>
        <w:tc>
          <w:tcPr>
            <w:tcW w:w="2006" w:type="dxa"/>
            <w:tcBorders>
              <w:top w:val="nil"/>
              <w:left w:val="nil"/>
              <w:bottom w:val="nil"/>
              <w:right w:val="nil"/>
            </w:tcBorders>
            <w:shd w:val="clear" w:color="000000" w:fill="F2F2F2"/>
            <w:noWrap/>
            <w:vAlign w:val="bottom"/>
            <w:hideMark/>
          </w:tcPr>
          <w:p w14:paraId="47E49AF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17*** (7.4, 26.7)</w:t>
            </w:r>
          </w:p>
        </w:tc>
        <w:tc>
          <w:tcPr>
            <w:tcW w:w="2006" w:type="dxa"/>
            <w:tcBorders>
              <w:top w:val="nil"/>
              <w:left w:val="nil"/>
              <w:bottom w:val="nil"/>
              <w:right w:val="nil"/>
            </w:tcBorders>
            <w:shd w:val="clear" w:color="000000" w:fill="F2F2F2"/>
            <w:noWrap/>
            <w:vAlign w:val="bottom"/>
            <w:hideMark/>
          </w:tcPr>
          <w:p w14:paraId="281AA74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60 (-8.3, 128.3)</w:t>
            </w:r>
          </w:p>
        </w:tc>
        <w:tc>
          <w:tcPr>
            <w:tcW w:w="2007" w:type="dxa"/>
            <w:tcBorders>
              <w:top w:val="nil"/>
              <w:left w:val="nil"/>
              <w:bottom w:val="nil"/>
              <w:right w:val="nil"/>
            </w:tcBorders>
            <w:shd w:val="clear" w:color="000000" w:fill="F2F2F2"/>
            <w:noWrap/>
            <w:vAlign w:val="bottom"/>
            <w:hideMark/>
          </w:tcPr>
          <w:p w14:paraId="2190916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DD0367" w:rsidRPr="00A80562" w14:paraId="6980841C" w14:textId="77777777" w:rsidTr="00DD0367">
        <w:trPr>
          <w:trHeight w:val="257"/>
        </w:trPr>
        <w:tc>
          <w:tcPr>
            <w:tcW w:w="236" w:type="dxa"/>
            <w:tcBorders>
              <w:top w:val="nil"/>
              <w:left w:val="nil"/>
              <w:bottom w:val="nil"/>
              <w:right w:val="nil"/>
            </w:tcBorders>
            <w:shd w:val="clear" w:color="auto" w:fill="auto"/>
            <w:noWrap/>
            <w:vAlign w:val="bottom"/>
            <w:hideMark/>
          </w:tcPr>
          <w:p w14:paraId="4D685137"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3600923C"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First referrals</w:t>
            </w:r>
          </w:p>
        </w:tc>
        <w:tc>
          <w:tcPr>
            <w:tcW w:w="2006" w:type="dxa"/>
            <w:tcBorders>
              <w:top w:val="nil"/>
              <w:left w:val="single" w:sz="4" w:space="0" w:color="auto"/>
              <w:bottom w:val="nil"/>
              <w:right w:val="nil"/>
            </w:tcBorders>
            <w:shd w:val="clear" w:color="auto" w:fill="auto"/>
            <w:noWrap/>
            <w:vAlign w:val="bottom"/>
            <w:hideMark/>
          </w:tcPr>
          <w:p w14:paraId="4EF6C6D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108.8*** (79.1, 138.6)</w:t>
            </w:r>
          </w:p>
        </w:tc>
        <w:tc>
          <w:tcPr>
            <w:tcW w:w="2006" w:type="dxa"/>
            <w:tcBorders>
              <w:top w:val="nil"/>
              <w:left w:val="nil"/>
              <w:bottom w:val="nil"/>
              <w:right w:val="nil"/>
            </w:tcBorders>
            <w:shd w:val="clear" w:color="auto" w:fill="auto"/>
            <w:noWrap/>
            <w:vAlign w:val="bottom"/>
            <w:hideMark/>
          </w:tcPr>
          <w:p w14:paraId="6C35EA2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 (-0.2, 0.1)</w:t>
            </w:r>
          </w:p>
        </w:tc>
        <w:tc>
          <w:tcPr>
            <w:tcW w:w="2006" w:type="dxa"/>
            <w:tcBorders>
              <w:top w:val="nil"/>
              <w:left w:val="nil"/>
              <w:bottom w:val="nil"/>
              <w:right w:val="nil"/>
            </w:tcBorders>
            <w:shd w:val="clear" w:color="auto" w:fill="auto"/>
            <w:noWrap/>
            <w:vAlign w:val="bottom"/>
            <w:hideMark/>
          </w:tcPr>
          <w:p w14:paraId="6B65F7F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-50.6 (-117.7, 16.5)</w:t>
            </w:r>
          </w:p>
        </w:tc>
        <w:tc>
          <w:tcPr>
            <w:tcW w:w="2006" w:type="dxa"/>
            <w:tcBorders>
              <w:top w:val="nil"/>
              <w:left w:val="nil"/>
              <w:bottom w:val="nil"/>
              <w:right w:val="nil"/>
            </w:tcBorders>
            <w:shd w:val="clear" w:color="auto" w:fill="auto"/>
            <w:noWrap/>
            <w:vAlign w:val="bottom"/>
            <w:hideMark/>
          </w:tcPr>
          <w:p w14:paraId="41E7D34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3.3 (-2.9, 9.6)</w:t>
            </w:r>
          </w:p>
        </w:tc>
        <w:tc>
          <w:tcPr>
            <w:tcW w:w="2006" w:type="dxa"/>
            <w:tcBorders>
              <w:top w:val="nil"/>
              <w:left w:val="nil"/>
              <w:bottom w:val="nil"/>
              <w:right w:val="nil"/>
            </w:tcBorders>
            <w:shd w:val="clear" w:color="auto" w:fill="auto"/>
            <w:noWrap/>
            <w:vAlign w:val="bottom"/>
            <w:hideMark/>
          </w:tcPr>
          <w:p w14:paraId="75A0CB9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-0.5 (-41.5, 40.6)</w:t>
            </w:r>
          </w:p>
        </w:tc>
        <w:tc>
          <w:tcPr>
            <w:tcW w:w="2007" w:type="dxa"/>
            <w:tcBorders>
              <w:top w:val="nil"/>
              <w:left w:val="nil"/>
              <w:bottom w:val="nil"/>
              <w:right w:val="nil"/>
            </w:tcBorders>
            <w:shd w:val="clear" w:color="auto" w:fill="auto"/>
            <w:noWrap/>
            <w:vAlign w:val="bottom"/>
            <w:hideMark/>
          </w:tcPr>
          <w:p w14:paraId="34B0462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(2, 0, 0)</w:t>
            </w:r>
          </w:p>
        </w:tc>
      </w:tr>
      <w:tr w:rsidR="00DD0367" w:rsidRPr="00A80562" w14:paraId="0DFA7D15" w14:textId="77777777" w:rsidTr="00DD0367">
        <w:trPr>
          <w:trHeight w:val="257"/>
        </w:trPr>
        <w:tc>
          <w:tcPr>
            <w:tcW w:w="236" w:type="dxa"/>
            <w:tcBorders>
              <w:top w:val="nil"/>
              <w:left w:val="nil"/>
              <w:bottom w:val="nil"/>
              <w:right w:val="nil"/>
            </w:tcBorders>
            <w:shd w:val="clear" w:color="auto" w:fill="auto"/>
            <w:noWrap/>
            <w:vAlign w:val="bottom"/>
            <w:hideMark/>
          </w:tcPr>
          <w:p w14:paraId="025911A0"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2E05C65F"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Early Intervention in Psychosis</w:t>
            </w:r>
          </w:p>
        </w:tc>
        <w:tc>
          <w:tcPr>
            <w:tcW w:w="2006" w:type="dxa"/>
            <w:tcBorders>
              <w:top w:val="nil"/>
              <w:left w:val="single" w:sz="4" w:space="0" w:color="auto"/>
              <w:bottom w:val="nil"/>
              <w:right w:val="nil"/>
            </w:tcBorders>
            <w:shd w:val="clear" w:color="000000" w:fill="F2F2F2"/>
            <w:noWrap/>
            <w:vAlign w:val="bottom"/>
            <w:hideMark/>
          </w:tcPr>
          <w:p w14:paraId="2E97FA8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10.39*** (9.26, 11.52)</w:t>
            </w:r>
          </w:p>
        </w:tc>
        <w:tc>
          <w:tcPr>
            <w:tcW w:w="2006" w:type="dxa"/>
            <w:tcBorders>
              <w:top w:val="nil"/>
              <w:left w:val="nil"/>
              <w:bottom w:val="nil"/>
              <w:right w:val="nil"/>
            </w:tcBorders>
            <w:shd w:val="clear" w:color="000000" w:fill="F2F2F2"/>
            <w:noWrap/>
            <w:vAlign w:val="bottom"/>
            <w:hideMark/>
          </w:tcPr>
          <w:p w14:paraId="17734A5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 (-0.02, 0)</w:t>
            </w:r>
          </w:p>
        </w:tc>
        <w:tc>
          <w:tcPr>
            <w:tcW w:w="2006" w:type="dxa"/>
            <w:tcBorders>
              <w:top w:val="nil"/>
              <w:left w:val="nil"/>
              <w:bottom w:val="nil"/>
              <w:right w:val="nil"/>
            </w:tcBorders>
            <w:shd w:val="clear" w:color="000000" w:fill="F2F2F2"/>
            <w:noWrap/>
            <w:vAlign w:val="bottom"/>
            <w:hideMark/>
          </w:tcPr>
          <w:p w14:paraId="3CF6B22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-2.11 (-8.22, 4)</w:t>
            </w:r>
          </w:p>
        </w:tc>
        <w:tc>
          <w:tcPr>
            <w:tcW w:w="2006" w:type="dxa"/>
            <w:tcBorders>
              <w:top w:val="nil"/>
              <w:left w:val="nil"/>
              <w:bottom w:val="nil"/>
              <w:right w:val="nil"/>
            </w:tcBorders>
            <w:shd w:val="clear" w:color="000000" w:fill="F2F2F2"/>
            <w:noWrap/>
            <w:vAlign w:val="bottom"/>
            <w:hideMark/>
          </w:tcPr>
          <w:p w14:paraId="5F1D933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0.26 (-0.38, 0.9)</w:t>
            </w:r>
          </w:p>
        </w:tc>
        <w:tc>
          <w:tcPr>
            <w:tcW w:w="2006" w:type="dxa"/>
            <w:tcBorders>
              <w:top w:val="nil"/>
              <w:left w:val="nil"/>
              <w:bottom w:val="nil"/>
              <w:right w:val="nil"/>
            </w:tcBorders>
            <w:shd w:val="clear" w:color="000000" w:fill="F2F2F2"/>
            <w:noWrap/>
            <w:vAlign w:val="bottom"/>
            <w:hideMark/>
          </w:tcPr>
          <w:p w14:paraId="0CA60B1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1.78 (-3.31, 6.87)</w:t>
            </w:r>
          </w:p>
        </w:tc>
        <w:tc>
          <w:tcPr>
            <w:tcW w:w="2007" w:type="dxa"/>
            <w:tcBorders>
              <w:top w:val="nil"/>
              <w:left w:val="nil"/>
              <w:bottom w:val="nil"/>
              <w:right w:val="nil"/>
            </w:tcBorders>
            <w:shd w:val="clear" w:color="000000" w:fill="F2F2F2"/>
            <w:noWrap/>
            <w:vAlign w:val="bottom"/>
            <w:hideMark/>
          </w:tcPr>
          <w:p w14:paraId="59041DD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DD0367" w:rsidRPr="00A80562" w14:paraId="42E9C571" w14:textId="77777777" w:rsidTr="00DD0367">
        <w:trPr>
          <w:trHeight w:val="257"/>
        </w:trPr>
        <w:tc>
          <w:tcPr>
            <w:tcW w:w="236" w:type="dxa"/>
            <w:tcBorders>
              <w:top w:val="nil"/>
              <w:left w:val="nil"/>
              <w:bottom w:val="nil"/>
              <w:right w:val="nil"/>
            </w:tcBorders>
            <w:shd w:val="clear" w:color="auto" w:fill="auto"/>
            <w:noWrap/>
            <w:vAlign w:val="bottom"/>
            <w:hideMark/>
          </w:tcPr>
          <w:p w14:paraId="5D9D4147"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74DE38E6"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Community Mental Health Teams</w:t>
            </w:r>
          </w:p>
        </w:tc>
        <w:tc>
          <w:tcPr>
            <w:tcW w:w="2006" w:type="dxa"/>
            <w:tcBorders>
              <w:top w:val="nil"/>
              <w:left w:val="single" w:sz="4" w:space="0" w:color="auto"/>
              <w:bottom w:val="nil"/>
              <w:right w:val="nil"/>
            </w:tcBorders>
            <w:shd w:val="clear" w:color="auto" w:fill="auto"/>
            <w:noWrap/>
            <w:vAlign w:val="bottom"/>
            <w:hideMark/>
          </w:tcPr>
          <w:p w14:paraId="0C39D64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37.41** (12.03, 62.79)</w:t>
            </w:r>
          </w:p>
        </w:tc>
        <w:tc>
          <w:tcPr>
            <w:tcW w:w="2006" w:type="dxa"/>
            <w:tcBorders>
              <w:top w:val="nil"/>
              <w:left w:val="nil"/>
              <w:bottom w:val="nil"/>
              <w:right w:val="nil"/>
            </w:tcBorders>
            <w:shd w:val="clear" w:color="auto" w:fill="auto"/>
            <w:noWrap/>
            <w:vAlign w:val="bottom"/>
            <w:hideMark/>
          </w:tcPr>
          <w:p w14:paraId="21DE2C0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0.12 (-0.06, 0.29)</w:t>
            </w:r>
          </w:p>
        </w:tc>
        <w:tc>
          <w:tcPr>
            <w:tcW w:w="2006" w:type="dxa"/>
            <w:tcBorders>
              <w:top w:val="nil"/>
              <w:left w:val="nil"/>
              <w:bottom w:val="nil"/>
              <w:right w:val="nil"/>
            </w:tcBorders>
            <w:shd w:val="clear" w:color="auto" w:fill="auto"/>
            <w:noWrap/>
            <w:vAlign w:val="bottom"/>
            <w:hideMark/>
          </w:tcPr>
          <w:p w14:paraId="634CA26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-54.78*** (-84.64, -24.92)</w:t>
            </w:r>
          </w:p>
        </w:tc>
        <w:tc>
          <w:tcPr>
            <w:tcW w:w="2006" w:type="dxa"/>
            <w:tcBorders>
              <w:top w:val="nil"/>
              <w:left w:val="nil"/>
              <w:bottom w:val="nil"/>
              <w:right w:val="nil"/>
            </w:tcBorders>
            <w:shd w:val="clear" w:color="auto" w:fill="auto"/>
            <w:noWrap/>
            <w:vAlign w:val="bottom"/>
            <w:hideMark/>
          </w:tcPr>
          <w:p w14:paraId="0DFFEFD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5.61*** (3.11, 8.1)</w:t>
            </w:r>
          </w:p>
        </w:tc>
        <w:tc>
          <w:tcPr>
            <w:tcW w:w="2006" w:type="dxa"/>
            <w:tcBorders>
              <w:top w:val="nil"/>
              <w:left w:val="nil"/>
              <w:bottom w:val="nil"/>
              <w:right w:val="nil"/>
            </w:tcBorders>
            <w:shd w:val="clear" w:color="auto" w:fill="auto"/>
            <w:noWrap/>
            <w:vAlign w:val="bottom"/>
            <w:hideMark/>
          </w:tcPr>
          <w:p w14:paraId="2E9FCB9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29.3 (-1.39, 59.98)</w:t>
            </w:r>
          </w:p>
        </w:tc>
        <w:tc>
          <w:tcPr>
            <w:tcW w:w="2007" w:type="dxa"/>
            <w:tcBorders>
              <w:top w:val="nil"/>
              <w:left w:val="nil"/>
              <w:bottom w:val="nil"/>
              <w:right w:val="nil"/>
            </w:tcBorders>
            <w:shd w:val="clear" w:color="auto" w:fill="auto"/>
            <w:noWrap/>
            <w:vAlign w:val="bottom"/>
            <w:hideMark/>
          </w:tcPr>
          <w:p w14:paraId="43522F3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5E2280F7" w14:textId="77777777" w:rsidTr="00DD0367">
        <w:trPr>
          <w:trHeight w:val="257"/>
        </w:trPr>
        <w:tc>
          <w:tcPr>
            <w:tcW w:w="236" w:type="dxa"/>
            <w:tcBorders>
              <w:top w:val="nil"/>
              <w:left w:val="nil"/>
              <w:bottom w:val="nil"/>
              <w:right w:val="nil"/>
            </w:tcBorders>
            <w:shd w:val="clear" w:color="auto" w:fill="auto"/>
            <w:noWrap/>
            <w:vAlign w:val="bottom"/>
            <w:hideMark/>
          </w:tcPr>
          <w:p w14:paraId="1D485AF1"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7BD58FB0"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Crisis Teams</w:t>
            </w:r>
          </w:p>
        </w:tc>
        <w:tc>
          <w:tcPr>
            <w:tcW w:w="2006" w:type="dxa"/>
            <w:tcBorders>
              <w:top w:val="nil"/>
              <w:left w:val="single" w:sz="4" w:space="0" w:color="auto"/>
              <w:bottom w:val="nil"/>
              <w:right w:val="nil"/>
            </w:tcBorders>
            <w:shd w:val="clear" w:color="000000" w:fill="F2F2F2"/>
            <w:noWrap/>
            <w:vAlign w:val="bottom"/>
            <w:hideMark/>
          </w:tcPr>
          <w:p w14:paraId="4AF63F5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26.74*** (23.05, 30.43)</w:t>
            </w:r>
          </w:p>
        </w:tc>
        <w:tc>
          <w:tcPr>
            <w:tcW w:w="2006" w:type="dxa"/>
            <w:tcBorders>
              <w:top w:val="nil"/>
              <w:left w:val="nil"/>
              <w:bottom w:val="nil"/>
              <w:right w:val="nil"/>
            </w:tcBorders>
            <w:shd w:val="clear" w:color="000000" w:fill="F2F2F2"/>
            <w:noWrap/>
            <w:vAlign w:val="bottom"/>
            <w:hideMark/>
          </w:tcPr>
          <w:p w14:paraId="63E97FF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0.04* (0.01, 0.06)</w:t>
            </w:r>
          </w:p>
        </w:tc>
        <w:tc>
          <w:tcPr>
            <w:tcW w:w="2006" w:type="dxa"/>
            <w:tcBorders>
              <w:top w:val="nil"/>
              <w:left w:val="nil"/>
              <w:bottom w:val="nil"/>
              <w:right w:val="nil"/>
            </w:tcBorders>
            <w:shd w:val="clear" w:color="000000" w:fill="F2F2F2"/>
            <w:noWrap/>
            <w:vAlign w:val="bottom"/>
            <w:hideMark/>
          </w:tcPr>
          <w:p w14:paraId="0FDF14E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-23.47* (-44.56, -2.39)</w:t>
            </w:r>
          </w:p>
        </w:tc>
        <w:tc>
          <w:tcPr>
            <w:tcW w:w="2006" w:type="dxa"/>
            <w:tcBorders>
              <w:top w:val="nil"/>
              <w:left w:val="nil"/>
              <w:bottom w:val="nil"/>
              <w:right w:val="nil"/>
            </w:tcBorders>
            <w:shd w:val="clear" w:color="000000" w:fill="F2F2F2"/>
            <w:noWrap/>
            <w:vAlign w:val="bottom"/>
            <w:hideMark/>
          </w:tcPr>
          <w:p w14:paraId="7C30AFA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2.29** (0.66, 3.91)</w:t>
            </w:r>
          </w:p>
        </w:tc>
        <w:tc>
          <w:tcPr>
            <w:tcW w:w="2006" w:type="dxa"/>
            <w:tcBorders>
              <w:top w:val="nil"/>
              <w:left w:val="nil"/>
              <w:bottom w:val="nil"/>
              <w:right w:val="nil"/>
            </w:tcBorders>
            <w:shd w:val="clear" w:color="000000" w:fill="F2F2F2"/>
            <w:noWrap/>
            <w:vAlign w:val="bottom"/>
            <w:hideMark/>
          </w:tcPr>
          <w:p w14:paraId="72CFE1E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10.83 (-0.08, 21.74)</w:t>
            </w:r>
          </w:p>
        </w:tc>
        <w:tc>
          <w:tcPr>
            <w:tcW w:w="2007" w:type="dxa"/>
            <w:tcBorders>
              <w:top w:val="nil"/>
              <w:left w:val="nil"/>
              <w:bottom w:val="nil"/>
              <w:right w:val="nil"/>
            </w:tcBorders>
            <w:shd w:val="clear" w:color="000000" w:fill="F2F2F2"/>
            <w:noWrap/>
            <w:vAlign w:val="bottom"/>
            <w:hideMark/>
          </w:tcPr>
          <w:p w14:paraId="2C19356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74938FE2" w14:textId="77777777" w:rsidTr="00DD0367">
        <w:trPr>
          <w:trHeight w:val="257"/>
        </w:trPr>
        <w:tc>
          <w:tcPr>
            <w:tcW w:w="236" w:type="dxa"/>
            <w:tcBorders>
              <w:top w:val="nil"/>
              <w:left w:val="nil"/>
              <w:bottom w:val="nil"/>
              <w:right w:val="nil"/>
            </w:tcBorders>
            <w:shd w:val="clear" w:color="auto" w:fill="auto"/>
            <w:noWrap/>
            <w:vAlign w:val="bottom"/>
            <w:hideMark/>
          </w:tcPr>
          <w:p w14:paraId="6CBA67AF"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46288A40"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Psychiatric Liaison</w:t>
            </w:r>
          </w:p>
        </w:tc>
        <w:tc>
          <w:tcPr>
            <w:tcW w:w="2006" w:type="dxa"/>
            <w:tcBorders>
              <w:top w:val="nil"/>
              <w:left w:val="single" w:sz="4" w:space="0" w:color="auto"/>
              <w:bottom w:val="nil"/>
              <w:right w:val="nil"/>
            </w:tcBorders>
            <w:shd w:val="clear" w:color="auto" w:fill="auto"/>
            <w:noWrap/>
            <w:vAlign w:val="bottom"/>
            <w:hideMark/>
          </w:tcPr>
          <w:p w14:paraId="1C4CA5D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44.86*** (40, 49.72)</w:t>
            </w:r>
          </w:p>
        </w:tc>
        <w:tc>
          <w:tcPr>
            <w:tcW w:w="2006" w:type="dxa"/>
            <w:tcBorders>
              <w:top w:val="nil"/>
              <w:left w:val="nil"/>
              <w:bottom w:val="nil"/>
              <w:right w:val="nil"/>
            </w:tcBorders>
            <w:shd w:val="clear" w:color="auto" w:fill="auto"/>
            <w:noWrap/>
            <w:vAlign w:val="bottom"/>
            <w:hideMark/>
          </w:tcPr>
          <w:p w14:paraId="43824AB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0.02 (-0.01, 0.06)</w:t>
            </w:r>
          </w:p>
        </w:tc>
        <w:tc>
          <w:tcPr>
            <w:tcW w:w="2006" w:type="dxa"/>
            <w:tcBorders>
              <w:top w:val="nil"/>
              <w:left w:val="nil"/>
              <w:bottom w:val="nil"/>
              <w:right w:val="nil"/>
            </w:tcBorders>
            <w:shd w:val="clear" w:color="auto" w:fill="auto"/>
            <w:noWrap/>
            <w:vAlign w:val="bottom"/>
            <w:hideMark/>
          </w:tcPr>
          <w:p w14:paraId="78786D9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-21.2 (-53.26, 10.85)</w:t>
            </w:r>
          </w:p>
        </w:tc>
        <w:tc>
          <w:tcPr>
            <w:tcW w:w="2006" w:type="dxa"/>
            <w:tcBorders>
              <w:top w:val="nil"/>
              <w:left w:val="nil"/>
              <w:bottom w:val="nil"/>
              <w:right w:val="nil"/>
            </w:tcBorders>
            <w:shd w:val="clear" w:color="auto" w:fill="auto"/>
            <w:noWrap/>
            <w:vAlign w:val="bottom"/>
            <w:hideMark/>
          </w:tcPr>
          <w:p w14:paraId="3F1165B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1.47 (-1.33, 4.27)</w:t>
            </w:r>
          </w:p>
        </w:tc>
        <w:tc>
          <w:tcPr>
            <w:tcW w:w="2006" w:type="dxa"/>
            <w:tcBorders>
              <w:top w:val="nil"/>
              <w:left w:val="nil"/>
              <w:bottom w:val="nil"/>
              <w:right w:val="nil"/>
            </w:tcBorders>
            <w:shd w:val="clear" w:color="auto" w:fill="auto"/>
            <w:noWrap/>
            <w:vAlign w:val="bottom"/>
            <w:hideMark/>
          </w:tcPr>
          <w:p w14:paraId="1978F7E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0.83 (-15.69, 17.34)</w:t>
            </w:r>
          </w:p>
        </w:tc>
        <w:tc>
          <w:tcPr>
            <w:tcW w:w="2007" w:type="dxa"/>
            <w:tcBorders>
              <w:top w:val="nil"/>
              <w:left w:val="nil"/>
              <w:bottom w:val="nil"/>
              <w:right w:val="nil"/>
            </w:tcBorders>
            <w:shd w:val="clear" w:color="auto" w:fill="auto"/>
            <w:noWrap/>
            <w:vAlign w:val="bottom"/>
            <w:hideMark/>
          </w:tcPr>
          <w:p w14:paraId="50CA1BA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4C38E645" w14:textId="77777777" w:rsidTr="00DD0367">
        <w:trPr>
          <w:trHeight w:val="257"/>
        </w:trPr>
        <w:tc>
          <w:tcPr>
            <w:tcW w:w="236" w:type="dxa"/>
            <w:tcBorders>
              <w:top w:val="nil"/>
              <w:left w:val="nil"/>
              <w:bottom w:val="nil"/>
              <w:right w:val="nil"/>
            </w:tcBorders>
            <w:shd w:val="clear" w:color="auto" w:fill="auto"/>
            <w:noWrap/>
            <w:vAlign w:val="bottom"/>
            <w:hideMark/>
          </w:tcPr>
          <w:p w14:paraId="5C03D679"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1A47C616"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days to contact after referral</w:t>
            </w:r>
          </w:p>
        </w:tc>
        <w:tc>
          <w:tcPr>
            <w:tcW w:w="2006" w:type="dxa"/>
            <w:tcBorders>
              <w:top w:val="nil"/>
              <w:left w:val="single" w:sz="4" w:space="0" w:color="auto"/>
              <w:bottom w:val="nil"/>
              <w:right w:val="nil"/>
            </w:tcBorders>
            <w:shd w:val="clear" w:color="000000" w:fill="F2F2F2"/>
            <w:noWrap/>
            <w:vAlign w:val="bottom"/>
            <w:hideMark/>
          </w:tcPr>
          <w:p w14:paraId="4E87039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456.29*** (450.9, 461.69)</w:t>
            </w:r>
          </w:p>
        </w:tc>
        <w:tc>
          <w:tcPr>
            <w:tcW w:w="2006" w:type="dxa"/>
            <w:tcBorders>
              <w:top w:val="nil"/>
              <w:left w:val="nil"/>
              <w:bottom w:val="nil"/>
              <w:right w:val="nil"/>
            </w:tcBorders>
            <w:shd w:val="clear" w:color="000000" w:fill="F2F2F2"/>
            <w:noWrap/>
            <w:vAlign w:val="bottom"/>
            <w:hideMark/>
          </w:tcPr>
          <w:p w14:paraId="2CA0E01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-1.67*** (-1.74, -1.6)</w:t>
            </w:r>
          </w:p>
        </w:tc>
        <w:tc>
          <w:tcPr>
            <w:tcW w:w="2006" w:type="dxa"/>
            <w:tcBorders>
              <w:top w:val="nil"/>
              <w:left w:val="nil"/>
              <w:bottom w:val="nil"/>
              <w:right w:val="nil"/>
            </w:tcBorders>
            <w:shd w:val="clear" w:color="000000" w:fill="F2F2F2"/>
            <w:noWrap/>
            <w:vAlign w:val="bottom"/>
            <w:hideMark/>
          </w:tcPr>
          <w:p w14:paraId="32C29DD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-20.04 (-48.99, 8.9)</w:t>
            </w:r>
          </w:p>
        </w:tc>
        <w:tc>
          <w:tcPr>
            <w:tcW w:w="2006" w:type="dxa"/>
            <w:tcBorders>
              <w:top w:val="nil"/>
              <w:left w:val="nil"/>
              <w:bottom w:val="nil"/>
              <w:right w:val="nil"/>
            </w:tcBorders>
            <w:shd w:val="clear" w:color="000000" w:fill="F2F2F2"/>
            <w:noWrap/>
            <w:vAlign w:val="bottom"/>
            <w:hideMark/>
          </w:tcPr>
          <w:p w14:paraId="6F2E0AC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-1.74 (-5.39, 1.92)</w:t>
            </w:r>
          </w:p>
        </w:tc>
        <w:tc>
          <w:tcPr>
            <w:tcW w:w="2006" w:type="dxa"/>
            <w:tcBorders>
              <w:top w:val="nil"/>
              <w:left w:val="nil"/>
              <w:bottom w:val="nil"/>
              <w:right w:val="nil"/>
            </w:tcBorders>
            <w:shd w:val="clear" w:color="000000" w:fill="F2F2F2"/>
            <w:noWrap/>
            <w:vAlign w:val="bottom"/>
            <w:hideMark/>
          </w:tcPr>
          <w:p w14:paraId="545FA38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-46.12* (-83.48, -8.77)</w:t>
            </w:r>
          </w:p>
        </w:tc>
        <w:tc>
          <w:tcPr>
            <w:tcW w:w="2007" w:type="dxa"/>
            <w:tcBorders>
              <w:top w:val="nil"/>
              <w:left w:val="nil"/>
              <w:bottom w:val="nil"/>
              <w:right w:val="nil"/>
            </w:tcBorders>
            <w:shd w:val="clear" w:color="000000" w:fill="F2F2F2"/>
            <w:noWrap/>
            <w:vAlign w:val="bottom"/>
            <w:hideMark/>
          </w:tcPr>
          <w:p w14:paraId="741106A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DD0367" w:rsidRPr="00A80562" w14:paraId="325A5A53" w14:textId="77777777" w:rsidTr="00DD0367">
        <w:trPr>
          <w:trHeight w:val="257"/>
        </w:trPr>
        <w:tc>
          <w:tcPr>
            <w:tcW w:w="236" w:type="dxa"/>
            <w:tcBorders>
              <w:top w:val="nil"/>
              <w:left w:val="nil"/>
              <w:bottom w:val="nil"/>
              <w:right w:val="nil"/>
            </w:tcBorders>
            <w:shd w:val="clear" w:color="auto" w:fill="auto"/>
            <w:noWrap/>
            <w:vAlign w:val="bottom"/>
            <w:hideMark/>
          </w:tcPr>
          <w:p w14:paraId="3DE6C87F"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59A68B66"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 referrals with contact within 30 days</w:t>
            </w:r>
          </w:p>
        </w:tc>
        <w:tc>
          <w:tcPr>
            <w:tcW w:w="2006" w:type="dxa"/>
            <w:tcBorders>
              <w:top w:val="nil"/>
              <w:left w:val="single" w:sz="4" w:space="0" w:color="auto"/>
              <w:bottom w:val="nil"/>
              <w:right w:val="nil"/>
            </w:tcBorders>
            <w:shd w:val="clear" w:color="auto" w:fill="auto"/>
            <w:noWrap/>
            <w:vAlign w:val="bottom"/>
            <w:hideMark/>
          </w:tcPr>
          <w:p w14:paraId="653EAB0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54.6*** (53.2, 55.9)</w:t>
            </w:r>
          </w:p>
        </w:tc>
        <w:tc>
          <w:tcPr>
            <w:tcW w:w="2006" w:type="dxa"/>
            <w:tcBorders>
              <w:top w:val="nil"/>
              <w:left w:val="nil"/>
              <w:bottom w:val="nil"/>
              <w:right w:val="nil"/>
            </w:tcBorders>
            <w:shd w:val="clear" w:color="auto" w:fill="auto"/>
            <w:noWrap/>
            <w:vAlign w:val="bottom"/>
            <w:hideMark/>
          </w:tcPr>
          <w:p w14:paraId="3034501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 (-0.1, 0)</w:t>
            </w:r>
          </w:p>
        </w:tc>
        <w:tc>
          <w:tcPr>
            <w:tcW w:w="2006" w:type="dxa"/>
            <w:tcBorders>
              <w:top w:val="nil"/>
              <w:left w:val="nil"/>
              <w:bottom w:val="nil"/>
              <w:right w:val="nil"/>
            </w:tcBorders>
            <w:shd w:val="clear" w:color="auto" w:fill="auto"/>
            <w:noWrap/>
            <w:vAlign w:val="bottom"/>
            <w:hideMark/>
          </w:tcPr>
          <w:p w14:paraId="61F1315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8.1*** (6, 10.3)</w:t>
            </w:r>
          </w:p>
        </w:tc>
        <w:tc>
          <w:tcPr>
            <w:tcW w:w="2006" w:type="dxa"/>
            <w:tcBorders>
              <w:top w:val="nil"/>
              <w:left w:val="nil"/>
              <w:bottom w:val="nil"/>
              <w:right w:val="nil"/>
            </w:tcBorders>
            <w:shd w:val="clear" w:color="auto" w:fill="auto"/>
            <w:noWrap/>
            <w:vAlign w:val="bottom"/>
            <w:hideMark/>
          </w:tcPr>
          <w:p w14:paraId="7CFE85C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0.4*** (0.2, 0.6)</w:t>
            </w:r>
          </w:p>
        </w:tc>
        <w:tc>
          <w:tcPr>
            <w:tcW w:w="2006" w:type="dxa"/>
            <w:tcBorders>
              <w:top w:val="nil"/>
              <w:left w:val="nil"/>
              <w:bottom w:val="nil"/>
              <w:right w:val="nil"/>
            </w:tcBorders>
            <w:shd w:val="clear" w:color="auto" w:fill="auto"/>
            <w:noWrap/>
            <w:vAlign w:val="bottom"/>
            <w:hideMark/>
          </w:tcPr>
          <w:p w14:paraId="4B6040A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14*** (12, 16.1)</w:t>
            </w:r>
          </w:p>
        </w:tc>
        <w:tc>
          <w:tcPr>
            <w:tcW w:w="2007" w:type="dxa"/>
            <w:tcBorders>
              <w:top w:val="nil"/>
              <w:left w:val="nil"/>
              <w:bottom w:val="nil"/>
              <w:right w:val="nil"/>
            </w:tcBorders>
            <w:shd w:val="clear" w:color="auto" w:fill="auto"/>
            <w:noWrap/>
            <w:vAlign w:val="bottom"/>
            <w:hideMark/>
          </w:tcPr>
          <w:p w14:paraId="469DE4A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630378C6" w14:textId="77777777" w:rsidTr="00DD0367">
        <w:trPr>
          <w:trHeight w:val="257"/>
        </w:trPr>
        <w:tc>
          <w:tcPr>
            <w:tcW w:w="3261" w:type="dxa"/>
            <w:gridSpan w:val="2"/>
            <w:tcBorders>
              <w:top w:val="nil"/>
              <w:left w:val="nil"/>
              <w:bottom w:val="single" w:sz="4" w:space="0" w:color="auto"/>
              <w:right w:val="nil"/>
            </w:tcBorders>
            <w:shd w:val="clear" w:color="auto" w:fill="auto"/>
            <w:noWrap/>
            <w:vAlign w:val="bottom"/>
            <w:hideMark/>
          </w:tcPr>
          <w:p w14:paraId="4F47F2B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Outpatient contacts:</w:t>
            </w:r>
          </w:p>
        </w:tc>
        <w:tc>
          <w:tcPr>
            <w:tcW w:w="2006" w:type="dxa"/>
            <w:tcBorders>
              <w:top w:val="nil"/>
              <w:left w:val="single" w:sz="4" w:space="0" w:color="auto"/>
              <w:bottom w:val="single" w:sz="4" w:space="0" w:color="auto"/>
              <w:right w:val="nil"/>
            </w:tcBorders>
            <w:shd w:val="clear" w:color="auto" w:fill="auto"/>
            <w:noWrap/>
            <w:vAlign w:val="bottom"/>
            <w:hideMark/>
          </w:tcPr>
          <w:p w14:paraId="1636A0F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48CAA2D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20D6BE6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6953E94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532A5EC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7" w:type="dxa"/>
            <w:tcBorders>
              <w:top w:val="nil"/>
              <w:left w:val="nil"/>
              <w:bottom w:val="single" w:sz="4" w:space="0" w:color="auto"/>
              <w:right w:val="nil"/>
            </w:tcBorders>
            <w:shd w:val="clear" w:color="auto" w:fill="auto"/>
            <w:noWrap/>
            <w:vAlign w:val="bottom"/>
            <w:hideMark/>
          </w:tcPr>
          <w:p w14:paraId="1B81F0E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DD0367" w:rsidRPr="00A80562" w14:paraId="1802A053" w14:textId="77777777" w:rsidTr="00DD0367">
        <w:trPr>
          <w:trHeight w:val="257"/>
        </w:trPr>
        <w:tc>
          <w:tcPr>
            <w:tcW w:w="236" w:type="dxa"/>
            <w:tcBorders>
              <w:top w:val="nil"/>
              <w:left w:val="nil"/>
              <w:bottom w:val="nil"/>
              <w:right w:val="nil"/>
            </w:tcBorders>
            <w:shd w:val="clear" w:color="auto" w:fill="auto"/>
            <w:noWrap/>
            <w:vAlign w:val="bottom"/>
            <w:hideMark/>
          </w:tcPr>
          <w:p w14:paraId="173D403D"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23D624C0"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Total contacts</w:t>
            </w:r>
          </w:p>
        </w:tc>
        <w:tc>
          <w:tcPr>
            <w:tcW w:w="2006" w:type="dxa"/>
            <w:tcBorders>
              <w:top w:val="nil"/>
              <w:left w:val="single" w:sz="4" w:space="0" w:color="auto"/>
              <w:bottom w:val="nil"/>
              <w:right w:val="nil"/>
            </w:tcBorders>
            <w:shd w:val="clear" w:color="000000" w:fill="F2F2F2"/>
            <w:noWrap/>
            <w:vAlign w:val="bottom"/>
            <w:hideMark/>
          </w:tcPr>
          <w:p w14:paraId="694CA34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2125.4*** (2028.3, 2222.6)</w:t>
            </w:r>
          </w:p>
        </w:tc>
        <w:tc>
          <w:tcPr>
            <w:tcW w:w="2006" w:type="dxa"/>
            <w:tcBorders>
              <w:top w:val="nil"/>
              <w:left w:val="nil"/>
              <w:bottom w:val="nil"/>
              <w:right w:val="nil"/>
            </w:tcBorders>
            <w:shd w:val="clear" w:color="000000" w:fill="F2F2F2"/>
            <w:noWrap/>
            <w:vAlign w:val="bottom"/>
            <w:hideMark/>
          </w:tcPr>
          <w:p w14:paraId="3C1FD5B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-0.7* (-1.5, 0)</w:t>
            </w:r>
          </w:p>
        </w:tc>
        <w:tc>
          <w:tcPr>
            <w:tcW w:w="2006" w:type="dxa"/>
            <w:tcBorders>
              <w:top w:val="nil"/>
              <w:left w:val="nil"/>
              <w:bottom w:val="nil"/>
              <w:right w:val="nil"/>
            </w:tcBorders>
            <w:shd w:val="clear" w:color="000000" w:fill="F2F2F2"/>
            <w:noWrap/>
            <w:vAlign w:val="bottom"/>
            <w:hideMark/>
          </w:tcPr>
          <w:p w14:paraId="2C56DD4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-26.2 (-475.5, 423.2)</w:t>
            </w:r>
          </w:p>
        </w:tc>
        <w:tc>
          <w:tcPr>
            <w:tcW w:w="2006" w:type="dxa"/>
            <w:tcBorders>
              <w:top w:val="nil"/>
              <w:left w:val="nil"/>
              <w:bottom w:val="nil"/>
              <w:right w:val="nil"/>
            </w:tcBorders>
            <w:shd w:val="clear" w:color="000000" w:fill="F2F2F2"/>
            <w:noWrap/>
            <w:vAlign w:val="bottom"/>
            <w:hideMark/>
          </w:tcPr>
          <w:p w14:paraId="1B73695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95.1*** (46.2, 144)</w:t>
            </w:r>
          </w:p>
        </w:tc>
        <w:tc>
          <w:tcPr>
            <w:tcW w:w="2006" w:type="dxa"/>
            <w:tcBorders>
              <w:top w:val="nil"/>
              <w:left w:val="nil"/>
              <w:bottom w:val="nil"/>
              <w:right w:val="nil"/>
            </w:tcBorders>
            <w:shd w:val="clear" w:color="000000" w:fill="F2F2F2"/>
            <w:noWrap/>
            <w:vAlign w:val="bottom"/>
            <w:hideMark/>
          </w:tcPr>
          <w:p w14:paraId="359D478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1400.2*** (997.5, 1802.8)</w:t>
            </w:r>
          </w:p>
        </w:tc>
        <w:tc>
          <w:tcPr>
            <w:tcW w:w="2007" w:type="dxa"/>
            <w:tcBorders>
              <w:top w:val="nil"/>
              <w:left w:val="nil"/>
              <w:bottom w:val="nil"/>
              <w:right w:val="nil"/>
            </w:tcBorders>
            <w:shd w:val="clear" w:color="000000" w:fill="F2F2F2"/>
            <w:noWrap/>
            <w:vAlign w:val="bottom"/>
            <w:hideMark/>
          </w:tcPr>
          <w:p w14:paraId="6DCE223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DD0367" w:rsidRPr="00A80562" w14:paraId="6AA73CC3" w14:textId="77777777" w:rsidTr="00DD0367">
        <w:trPr>
          <w:trHeight w:val="257"/>
        </w:trPr>
        <w:tc>
          <w:tcPr>
            <w:tcW w:w="236" w:type="dxa"/>
            <w:tcBorders>
              <w:top w:val="nil"/>
              <w:left w:val="nil"/>
              <w:bottom w:val="nil"/>
              <w:right w:val="nil"/>
            </w:tcBorders>
            <w:shd w:val="clear" w:color="auto" w:fill="auto"/>
            <w:noWrap/>
            <w:vAlign w:val="bottom"/>
            <w:hideMark/>
          </w:tcPr>
          <w:p w14:paraId="37CD40A2"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58354E55"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First contacts</w:t>
            </w:r>
          </w:p>
        </w:tc>
        <w:tc>
          <w:tcPr>
            <w:tcW w:w="2006" w:type="dxa"/>
            <w:tcBorders>
              <w:top w:val="nil"/>
              <w:left w:val="single" w:sz="4" w:space="0" w:color="auto"/>
              <w:bottom w:val="nil"/>
              <w:right w:val="nil"/>
            </w:tcBorders>
            <w:shd w:val="clear" w:color="auto" w:fill="auto"/>
            <w:noWrap/>
            <w:vAlign w:val="bottom"/>
            <w:hideMark/>
          </w:tcPr>
          <w:p w14:paraId="100AF7A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129.4*** (110, 148.7)</w:t>
            </w:r>
          </w:p>
        </w:tc>
        <w:tc>
          <w:tcPr>
            <w:tcW w:w="2006" w:type="dxa"/>
            <w:tcBorders>
              <w:top w:val="nil"/>
              <w:left w:val="nil"/>
              <w:bottom w:val="nil"/>
              <w:right w:val="nil"/>
            </w:tcBorders>
            <w:shd w:val="clear" w:color="auto" w:fill="auto"/>
            <w:noWrap/>
            <w:vAlign w:val="bottom"/>
            <w:hideMark/>
          </w:tcPr>
          <w:p w14:paraId="0FCBCDA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 (-0.3, 0)</w:t>
            </w:r>
          </w:p>
        </w:tc>
        <w:tc>
          <w:tcPr>
            <w:tcW w:w="2006" w:type="dxa"/>
            <w:tcBorders>
              <w:top w:val="nil"/>
              <w:left w:val="nil"/>
              <w:bottom w:val="nil"/>
              <w:right w:val="nil"/>
            </w:tcBorders>
            <w:shd w:val="clear" w:color="auto" w:fill="auto"/>
            <w:noWrap/>
            <w:vAlign w:val="bottom"/>
            <w:hideMark/>
          </w:tcPr>
          <w:p w14:paraId="189CA56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-10.4 (-46.8, 26.1)</w:t>
            </w:r>
          </w:p>
        </w:tc>
        <w:tc>
          <w:tcPr>
            <w:tcW w:w="2006" w:type="dxa"/>
            <w:tcBorders>
              <w:top w:val="nil"/>
              <w:left w:val="nil"/>
              <w:bottom w:val="nil"/>
              <w:right w:val="nil"/>
            </w:tcBorders>
            <w:shd w:val="clear" w:color="auto" w:fill="auto"/>
            <w:noWrap/>
            <w:vAlign w:val="bottom"/>
            <w:hideMark/>
          </w:tcPr>
          <w:p w14:paraId="4C8158C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0.5 (-2.8, 3.8)</w:t>
            </w:r>
          </w:p>
        </w:tc>
        <w:tc>
          <w:tcPr>
            <w:tcW w:w="2006" w:type="dxa"/>
            <w:tcBorders>
              <w:top w:val="nil"/>
              <w:left w:val="nil"/>
              <w:bottom w:val="nil"/>
              <w:right w:val="nil"/>
            </w:tcBorders>
            <w:shd w:val="clear" w:color="auto" w:fill="auto"/>
            <w:noWrap/>
            <w:vAlign w:val="bottom"/>
            <w:hideMark/>
          </w:tcPr>
          <w:p w14:paraId="19386CC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-2.8 (-25.5, 19.9)</w:t>
            </w:r>
          </w:p>
        </w:tc>
        <w:tc>
          <w:tcPr>
            <w:tcW w:w="2007" w:type="dxa"/>
            <w:tcBorders>
              <w:top w:val="nil"/>
              <w:left w:val="nil"/>
              <w:bottom w:val="nil"/>
              <w:right w:val="nil"/>
            </w:tcBorders>
            <w:shd w:val="clear" w:color="auto" w:fill="auto"/>
            <w:noWrap/>
            <w:vAlign w:val="bottom"/>
            <w:hideMark/>
          </w:tcPr>
          <w:p w14:paraId="24B263B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DD0367" w:rsidRPr="00A80562" w14:paraId="6CE419E8" w14:textId="77777777" w:rsidTr="00DD0367">
        <w:trPr>
          <w:trHeight w:val="257"/>
        </w:trPr>
        <w:tc>
          <w:tcPr>
            <w:tcW w:w="236" w:type="dxa"/>
            <w:tcBorders>
              <w:top w:val="nil"/>
              <w:left w:val="nil"/>
              <w:bottom w:val="nil"/>
              <w:right w:val="nil"/>
            </w:tcBorders>
            <w:shd w:val="clear" w:color="auto" w:fill="auto"/>
            <w:noWrap/>
            <w:vAlign w:val="bottom"/>
            <w:hideMark/>
          </w:tcPr>
          <w:p w14:paraId="2CD2FF46"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3597F2A1"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Face-to-face contacts</w:t>
            </w:r>
          </w:p>
        </w:tc>
        <w:tc>
          <w:tcPr>
            <w:tcW w:w="2006" w:type="dxa"/>
            <w:tcBorders>
              <w:top w:val="nil"/>
              <w:left w:val="single" w:sz="4" w:space="0" w:color="auto"/>
              <w:bottom w:val="nil"/>
              <w:right w:val="nil"/>
            </w:tcBorders>
            <w:shd w:val="clear" w:color="000000" w:fill="F2F2F2"/>
            <w:noWrap/>
            <w:vAlign w:val="bottom"/>
            <w:hideMark/>
          </w:tcPr>
          <w:p w14:paraId="2143C7E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1812*** (1728.7, 1895.2)</w:t>
            </w:r>
          </w:p>
        </w:tc>
        <w:tc>
          <w:tcPr>
            <w:tcW w:w="2006" w:type="dxa"/>
            <w:tcBorders>
              <w:top w:val="nil"/>
              <w:left w:val="nil"/>
              <w:bottom w:val="nil"/>
              <w:right w:val="nil"/>
            </w:tcBorders>
            <w:shd w:val="clear" w:color="000000" w:fill="F2F2F2"/>
            <w:noWrap/>
            <w:vAlign w:val="bottom"/>
            <w:hideMark/>
          </w:tcPr>
          <w:p w14:paraId="4059CD3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-0.9** (-1.5, -0.3)</w:t>
            </w:r>
          </w:p>
        </w:tc>
        <w:tc>
          <w:tcPr>
            <w:tcW w:w="2006" w:type="dxa"/>
            <w:tcBorders>
              <w:top w:val="nil"/>
              <w:left w:val="nil"/>
              <w:bottom w:val="nil"/>
              <w:right w:val="nil"/>
            </w:tcBorders>
            <w:shd w:val="clear" w:color="000000" w:fill="F2F2F2"/>
            <w:noWrap/>
            <w:vAlign w:val="bottom"/>
            <w:hideMark/>
          </w:tcPr>
          <w:p w14:paraId="5022124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-1209.3*** (-1695, -723.6)</w:t>
            </w:r>
          </w:p>
        </w:tc>
        <w:tc>
          <w:tcPr>
            <w:tcW w:w="2006" w:type="dxa"/>
            <w:tcBorders>
              <w:top w:val="nil"/>
              <w:left w:val="nil"/>
              <w:bottom w:val="nil"/>
              <w:right w:val="nil"/>
            </w:tcBorders>
            <w:shd w:val="clear" w:color="000000" w:fill="F2F2F2"/>
            <w:noWrap/>
            <w:vAlign w:val="bottom"/>
            <w:hideMark/>
          </w:tcPr>
          <w:p w14:paraId="4623946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16 (-94.8, 126.7)</w:t>
            </w:r>
          </w:p>
        </w:tc>
        <w:tc>
          <w:tcPr>
            <w:tcW w:w="2006" w:type="dxa"/>
            <w:tcBorders>
              <w:top w:val="nil"/>
              <w:left w:val="nil"/>
              <w:bottom w:val="nil"/>
              <w:right w:val="nil"/>
            </w:tcBorders>
            <w:shd w:val="clear" w:color="000000" w:fill="F2F2F2"/>
            <w:noWrap/>
            <w:vAlign w:val="bottom"/>
            <w:hideMark/>
          </w:tcPr>
          <w:p w14:paraId="5E00AA6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-969.8 (-2386.3, 446.6)</w:t>
            </w:r>
          </w:p>
        </w:tc>
        <w:tc>
          <w:tcPr>
            <w:tcW w:w="2007" w:type="dxa"/>
            <w:tcBorders>
              <w:top w:val="nil"/>
              <w:left w:val="nil"/>
              <w:bottom w:val="nil"/>
              <w:right w:val="nil"/>
            </w:tcBorders>
            <w:shd w:val="clear" w:color="000000" w:fill="F2F2F2"/>
            <w:noWrap/>
            <w:vAlign w:val="bottom"/>
            <w:hideMark/>
          </w:tcPr>
          <w:p w14:paraId="5A96F93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DD0367" w:rsidRPr="00A80562" w14:paraId="74BE17D0" w14:textId="77777777" w:rsidTr="00DD0367">
        <w:trPr>
          <w:trHeight w:val="257"/>
        </w:trPr>
        <w:tc>
          <w:tcPr>
            <w:tcW w:w="236" w:type="dxa"/>
            <w:tcBorders>
              <w:top w:val="nil"/>
              <w:left w:val="nil"/>
              <w:bottom w:val="nil"/>
              <w:right w:val="nil"/>
            </w:tcBorders>
            <w:shd w:val="clear" w:color="auto" w:fill="auto"/>
            <w:noWrap/>
            <w:vAlign w:val="bottom"/>
            <w:hideMark/>
          </w:tcPr>
          <w:p w14:paraId="05C2D272"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1E1007F4"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Remote contacts</w:t>
            </w:r>
          </w:p>
        </w:tc>
        <w:tc>
          <w:tcPr>
            <w:tcW w:w="2006" w:type="dxa"/>
            <w:tcBorders>
              <w:top w:val="nil"/>
              <w:left w:val="single" w:sz="4" w:space="0" w:color="auto"/>
              <w:bottom w:val="nil"/>
              <w:right w:val="nil"/>
            </w:tcBorders>
            <w:shd w:val="clear" w:color="auto" w:fill="auto"/>
            <w:noWrap/>
            <w:vAlign w:val="bottom"/>
            <w:hideMark/>
          </w:tcPr>
          <w:p w14:paraId="680DD96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271.5*** (119.4, 423.6)</w:t>
            </w:r>
          </w:p>
        </w:tc>
        <w:tc>
          <w:tcPr>
            <w:tcW w:w="2006" w:type="dxa"/>
            <w:tcBorders>
              <w:top w:val="nil"/>
              <w:left w:val="nil"/>
              <w:bottom w:val="nil"/>
              <w:right w:val="nil"/>
            </w:tcBorders>
            <w:shd w:val="clear" w:color="auto" w:fill="auto"/>
            <w:noWrap/>
            <w:vAlign w:val="bottom"/>
            <w:hideMark/>
          </w:tcPr>
          <w:p w14:paraId="765951D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0.6 (-0.4, 1.6)</w:t>
            </w:r>
          </w:p>
        </w:tc>
        <w:tc>
          <w:tcPr>
            <w:tcW w:w="2006" w:type="dxa"/>
            <w:tcBorders>
              <w:top w:val="nil"/>
              <w:left w:val="nil"/>
              <w:bottom w:val="nil"/>
              <w:right w:val="nil"/>
            </w:tcBorders>
            <w:shd w:val="clear" w:color="auto" w:fill="auto"/>
            <w:noWrap/>
            <w:vAlign w:val="bottom"/>
            <w:hideMark/>
          </w:tcPr>
          <w:p w14:paraId="5BA5FC7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917.3*** (838.1, 996.6)</w:t>
            </w:r>
          </w:p>
        </w:tc>
        <w:tc>
          <w:tcPr>
            <w:tcW w:w="2006" w:type="dxa"/>
            <w:tcBorders>
              <w:top w:val="nil"/>
              <w:left w:val="nil"/>
              <w:bottom w:val="nil"/>
              <w:right w:val="nil"/>
            </w:tcBorders>
            <w:shd w:val="clear" w:color="auto" w:fill="auto"/>
            <w:noWrap/>
            <w:vAlign w:val="bottom"/>
            <w:hideMark/>
          </w:tcPr>
          <w:p w14:paraId="09D2A31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85.6*** (69.9, 101.3)</w:t>
            </w:r>
          </w:p>
        </w:tc>
        <w:tc>
          <w:tcPr>
            <w:tcW w:w="2006" w:type="dxa"/>
            <w:tcBorders>
              <w:top w:val="nil"/>
              <w:left w:val="nil"/>
              <w:bottom w:val="nil"/>
              <w:right w:val="nil"/>
            </w:tcBorders>
            <w:shd w:val="clear" w:color="auto" w:fill="auto"/>
            <w:noWrap/>
            <w:vAlign w:val="bottom"/>
            <w:hideMark/>
          </w:tcPr>
          <w:p w14:paraId="70C8797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2201.2*** (1989.3, 2413)</w:t>
            </w:r>
          </w:p>
        </w:tc>
        <w:tc>
          <w:tcPr>
            <w:tcW w:w="2007" w:type="dxa"/>
            <w:tcBorders>
              <w:top w:val="nil"/>
              <w:left w:val="nil"/>
              <w:bottom w:val="nil"/>
              <w:right w:val="nil"/>
            </w:tcBorders>
            <w:shd w:val="clear" w:color="auto" w:fill="auto"/>
            <w:noWrap/>
            <w:vAlign w:val="bottom"/>
            <w:hideMark/>
          </w:tcPr>
          <w:p w14:paraId="55E95DB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4C5F05EA" w14:textId="77777777" w:rsidTr="00DD0367">
        <w:trPr>
          <w:trHeight w:val="257"/>
        </w:trPr>
        <w:tc>
          <w:tcPr>
            <w:tcW w:w="236" w:type="dxa"/>
            <w:tcBorders>
              <w:top w:val="nil"/>
              <w:left w:val="nil"/>
              <w:bottom w:val="nil"/>
              <w:right w:val="nil"/>
            </w:tcBorders>
            <w:shd w:val="clear" w:color="auto" w:fill="auto"/>
            <w:noWrap/>
            <w:vAlign w:val="bottom"/>
            <w:hideMark/>
          </w:tcPr>
          <w:p w14:paraId="3BA485F1"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31B3404C"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Early Intervention in Psychosis</w:t>
            </w:r>
          </w:p>
        </w:tc>
        <w:tc>
          <w:tcPr>
            <w:tcW w:w="2006" w:type="dxa"/>
            <w:tcBorders>
              <w:top w:val="nil"/>
              <w:left w:val="single" w:sz="4" w:space="0" w:color="auto"/>
              <w:bottom w:val="nil"/>
              <w:right w:val="nil"/>
            </w:tcBorders>
            <w:shd w:val="clear" w:color="000000" w:fill="F2F2F2"/>
            <w:noWrap/>
            <w:vAlign w:val="bottom"/>
            <w:hideMark/>
          </w:tcPr>
          <w:p w14:paraId="44B683F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127.1*** (110.2, 144)</w:t>
            </w:r>
          </w:p>
        </w:tc>
        <w:tc>
          <w:tcPr>
            <w:tcW w:w="2006" w:type="dxa"/>
            <w:tcBorders>
              <w:top w:val="nil"/>
              <w:left w:val="nil"/>
              <w:bottom w:val="nil"/>
              <w:right w:val="nil"/>
            </w:tcBorders>
            <w:shd w:val="clear" w:color="000000" w:fill="F2F2F2"/>
            <w:noWrap/>
            <w:vAlign w:val="bottom"/>
            <w:hideMark/>
          </w:tcPr>
          <w:p w14:paraId="28F18B3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 (0, 0.3)</w:t>
            </w:r>
          </w:p>
        </w:tc>
        <w:tc>
          <w:tcPr>
            <w:tcW w:w="2006" w:type="dxa"/>
            <w:tcBorders>
              <w:top w:val="nil"/>
              <w:left w:val="nil"/>
              <w:bottom w:val="nil"/>
              <w:right w:val="nil"/>
            </w:tcBorders>
            <w:shd w:val="clear" w:color="000000" w:fill="F2F2F2"/>
            <w:noWrap/>
            <w:vAlign w:val="bottom"/>
            <w:hideMark/>
          </w:tcPr>
          <w:p w14:paraId="5575EFA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 (-69.6, 75.6)</w:t>
            </w:r>
          </w:p>
        </w:tc>
        <w:tc>
          <w:tcPr>
            <w:tcW w:w="2006" w:type="dxa"/>
            <w:tcBorders>
              <w:top w:val="nil"/>
              <w:left w:val="nil"/>
              <w:bottom w:val="nil"/>
              <w:right w:val="nil"/>
            </w:tcBorders>
            <w:shd w:val="clear" w:color="000000" w:fill="F2F2F2"/>
            <w:noWrap/>
            <w:vAlign w:val="bottom"/>
            <w:hideMark/>
          </w:tcPr>
          <w:p w14:paraId="2877C87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8.4* (0.6, 16.2)</w:t>
            </w:r>
          </w:p>
        </w:tc>
        <w:tc>
          <w:tcPr>
            <w:tcW w:w="2006" w:type="dxa"/>
            <w:tcBorders>
              <w:top w:val="nil"/>
              <w:left w:val="nil"/>
              <w:bottom w:val="nil"/>
              <w:right w:val="nil"/>
            </w:tcBorders>
            <w:shd w:val="clear" w:color="000000" w:fill="F2F2F2"/>
            <w:noWrap/>
            <w:vAlign w:val="bottom"/>
            <w:hideMark/>
          </w:tcPr>
          <w:p w14:paraId="16532FB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128.9*** (56.6, 201.2)</w:t>
            </w:r>
          </w:p>
        </w:tc>
        <w:tc>
          <w:tcPr>
            <w:tcW w:w="2007" w:type="dxa"/>
            <w:tcBorders>
              <w:top w:val="nil"/>
              <w:left w:val="nil"/>
              <w:bottom w:val="nil"/>
              <w:right w:val="nil"/>
            </w:tcBorders>
            <w:shd w:val="clear" w:color="000000" w:fill="F2F2F2"/>
            <w:noWrap/>
            <w:vAlign w:val="bottom"/>
            <w:hideMark/>
          </w:tcPr>
          <w:p w14:paraId="1059495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5FA27264" w14:textId="77777777" w:rsidTr="00DD0367">
        <w:trPr>
          <w:trHeight w:val="257"/>
        </w:trPr>
        <w:tc>
          <w:tcPr>
            <w:tcW w:w="236" w:type="dxa"/>
            <w:tcBorders>
              <w:top w:val="nil"/>
              <w:left w:val="nil"/>
              <w:bottom w:val="nil"/>
              <w:right w:val="nil"/>
            </w:tcBorders>
            <w:shd w:val="clear" w:color="auto" w:fill="auto"/>
            <w:noWrap/>
            <w:vAlign w:val="bottom"/>
            <w:hideMark/>
          </w:tcPr>
          <w:p w14:paraId="7472B926"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7035CA28"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Community Mental Health Teams</w:t>
            </w:r>
          </w:p>
        </w:tc>
        <w:tc>
          <w:tcPr>
            <w:tcW w:w="2006" w:type="dxa"/>
            <w:tcBorders>
              <w:top w:val="nil"/>
              <w:left w:val="single" w:sz="4" w:space="0" w:color="auto"/>
              <w:bottom w:val="nil"/>
              <w:right w:val="nil"/>
            </w:tcBorders>
            <w:shd w:val="clear" w:color="auto" w:fill="auto"/>
            <w:noWrap/>
            <w:vAlign w:val="bottom"/>
            <w:hideMark/>
          </w:tcPr>
          <w:p w14:paraId="5A995B5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728.2*** (695.3, 761)</w:t>
            </w:r>
          </w:p>
        </w:tc>
        <w:tc>
          <w:tcPr>
            <w:tcW w:w="2006" w:type="dxa"/>
            <w:tcBorders>
              <w:top w:val="nil"/>
              <w:left w:val="nil"/>
              <w:bottom w:val="nil"/>
              <w:right w:val="nil"/>
            </w:tcBorders>
            <w:shd w:val="clear" w:color="auto" w:fill="auto"/>
            <w:noWrap/>
            <w:vAlign w:val="bottom"/>
            <w:hideMark/>
          </w:tcPr>
          <w:p w14:paraId="4851E75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-0.6*** (-0.9, -0.4)</w:t>
            </w:r>
          </w:p>
        </w:tc>
        <w:tc>
          <w:tcPr>
            <w:tcW w:w="2006" w:type="dxa"/>
            <w:tcBorders>
              <w:top w:val="nil"/>
              <w:left w:val="nil"/>
              <w:bottom w:val="nil"/>
              <w:right w:val="nil"/>
            </w:tcBorders>
            <w:shd w:val="clear" w:color="auto" w:fill="auto"/>
            <w:noWrap/>
            <w:vAlign w:val="bottom"/>
            <w:hideMark/>
          </w:tcPr>
          <w:p w14:paraId="0925643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129.3** (38.3, 220.3)</w:t>
            </w:r>
          </w:p>
        </w:tc>
        <w:tc>
          <w:tcPr>
            <w:tcW w:w="2006" w:type="dxa"/>
            <w:tcBorders>
              <w:top w:val="nil"/>
              <w:left w:val="nil"/>
              <w:bottom w:val="nil"/>
              <w:right w:val="nil"/>
            </w:tcBorders>
            <w:shd w:val="clear" w:color="auto" w:fill="auto"/>
            <w:noWrap/>
            <w:vAlign w:val="bottom"/>
            <w:hideMark/>
          </w:tcPr>
          <w:p w14:paraId="7A82DA8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19.8*** (9.1, 30.5)</w:t>
            </w:r>
          </w:p>
        </w:tc>
        <w:tc>
          <w:tcPr>
            <w:tcW w:w="2006" w:type="dxa"/>
            <w:tcBorders>
              <w:top w:val="nil"/>
              <w:left w:val="nil"/>
              <w:bottom w:val="nil"/>
              <w:right w:val="nil"/>
            </w:tcBorders>
            <w:shd w:val="clear" w:color="auto" w:fill="auto"/>
            <w:noWrap/>
            <w:vAlign w:val="bottom"/>
            <w:hideMark/>
          </w:tcPr>
          <w:p w14:paraId="0907A9D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426.3*** (321.8, 530.8)</w:t>
            </w:r>
          </w:p>
        </w:tc>
        <w:tc>
          <w:tcPr>
            <w:tcW w:w="2007" w:type="dxa"/>
            <w:tcBorders>
              <w:top w:val="nil"/>
              <w:left w:val="nil"/>
              <w:bottom w:val="nil"/>
              <w:right w:val="nil"/>
            </w:tcBorders>
            <w:shd w:val="clear" w:color="auto" w:fill="auto"/>
            <w:noWrap/>
            <w:vAlign w:val="bottom"/>
            <w:hideMark/>
          </w:tcPr>
          <w:p w14:paraId="060A992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DD0367" w:rsidRPr="00A80562" w14:paraId="1539A7EB" w14:textId="77777777" w:rsidTr="00DD0367">
        <w:trPr>
          <w:trHeight w:val="257"/>
        </w:trPr>
        <w:tc>
          <w:tcPr>
            <w:tcW w:w="236" w:type="dxa"/>
            <w:tcBorders>
              <w:top w:val="nil"/>
              <w:left w:val="nil"/>
              <w:bottom w:val="nil"/>
              <w:right w:val="nil"/>
            </w:tcBorders>
            <w:shd w:val="clear" w:color="auto" w:fill="auto"/>
            <w:noWrap/>
            <w:vAlign w:val="bottom"/>
            <w:hideMark/>
          </w:tcPr>
          <w:p w14:paraId="760B3E84"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286A4624"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Crisis Teams</w:t>
            </w:r>
          </w:p>
        </w:tc>
        <w:tc>
          <w:tcPr>
            <w:tcW w:w="2006" w:type="dxa"/>
            <w:tcBorders>
              <w:top w:val="nil"/>
              <w:left w:val="single" w:sz="4" w:space="0" w:color="auto"/>
              <w:bottom w:val="nil"/>
              <w:right w:val="nil"/>
            </w:tcBorders>
            <w:shd w:val="clear" w:color="000000" w:fill="F2F2F2"/>
            <w:noWrap/>
            <w:vAlign w:val="bottom"/>
            <w:hideMark/>
          </w:tcPr>
          <w:p w14:paraId="1011940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37.9*** (30.7, 45.1)</w:t>
            </w:r>
          </w:p>
        </w:tc>
        <w:tc>
          <w:tcPr>
            <w:tcW w:w="2006" w:type="dxa"/>
            <w:tcBorders>
              <w:top w:val="nil"/>
              <w:left w:val="nil"/>
              <w:bottom w:val="nil"/>
              <w:right w:val="nil"/>
            </w:tcBorders>
            <w:shd w:val="clear" w:color="000000" w:fill="F2F2F2"/>
            <w:noWrap/>
            <w:vAlign w:val="bottom"/>
            <w:hideMark/>
          </w:tcPr>
          <w:p w14:paraId="0D692FF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0.1)</w:t>
            </w:r>
          </w:p>
        </w:tc>
        <w:tc>
          <w:tcPr>
            <w:tcW w:w="2006" w:type="dxa"/>
            <w:tcBorders>
              <w:top w:val="nil"/>
              <w:left w:val="nil"/>
              <w:bottom w:val="nil"/>
              <w:right w:val="nil"/>
            </w:tcBorders>
            <w:shd w:val="clear" w:color="000000" w:fill="F2F2F2"/>
            <w:noWrap/>
            <w:vAlign w:val="bottom"/>
            <w:hideMark/>
          </w:tcPr>
          <w:p w14:paraId="17627CB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-26.1* (-49, -3.2)</w:t>
            </w:r>
          </w:p>
        </w:tc>
        <w:tc>
          <w:tcPr>
            <w:tcW w:w="2006" w:type="dxa"/>
            <w:tcBorders>
              <w:top w:val="nil"/>
              <w:left w:val="nil"/>
              <w:bottom w:val="nil"/>
              <w:right w:val="nil"/>
            </w:tcBorders>
            <w:shd w:val="clear" w:color="000000" w:fill="F2F2F2"/>
            <w:noWrap/>
            <w:vAlign w:val="bottom"/>
            <w:hideMark/>
          </w:tcPr>
          <w:p w14:paraId="385630D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2.2** (0.6, 3.8)</w:t>
            </w:r>
          </w:p>
        </w:tc>
        <w:tc>
          <w:tcPr>
            <w:tcW w:w="2006" w:type="dxa"/>
            <w:tcBorders>
              <w:top w:val="nil"/>
              <w:left w:val="nil"/>
              <w:bottom w:val="nil"/>
              <w:right w:val="nil"/>
            </w:tcBorders>
            <w:shd w:val="clear" w:color="000000" w:fill="F2F2F2"/>
            <w:noWrap/>
            <w:vAlign w:val="bottom"/>
            <w:hideMark/>
          </w:tcPr>
          <w:p w14:paraId="5D9DB90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6.5 (-6.2, 19.2)</w:t>
            </w:r>
          </w:p>
        </w:tc>
        <w:tc>
          <w:tcPr>
            <w:tcW w:w="2007" w:type="dxa"/>
            <w:tcBorders>
              <w:top w:val="nil"/>
              <w:left w:val="nil"/>
              <w:bottom w:val="nil"/>
              <w:right w:val="nil"/>
            </w:tcBorders>
            <w:shd w:val="clear" w:color="000000" w:fill="F2F2F2"/>
            <w:noWrap/>
            <w:vAlign w:val="bottom"/>
            <w:hideMark/>
          </w:tcPr>
          <w:p w14:paraId="06D0D9A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406A7F97" w14:textId="77777777" w:rsidTr="00DD0367">
        <w:trPr>
          <w:trHeight w:val="257"/>
        </w:trPr>
        <w:tc>
          <w:tcPr>
            <w:tcW w:w="236" w:type="dxa"/>
            <w:tcBorders>
              <w:top w:val="nil"/>
              <w:left w:val="nil"/>
              <w:bottom w:val="nil"/>
              <w:right w:val="nil"/>
            </w:tcBorders>
            <w:shd w:val="clear" w:color="auto" w:fill="auto"/>
            <w:noWrap/>
            <w:vAlign w:val="bottom"/>
            <w:hideMark/>
          </w:tcPr>
          <w:p w14:paraId="5FEB9F36"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6D47C756"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Psychiatric Liaison</w:t>
            </w:r>
          </w:p>
        </w:tc>
        <w:tc>
          <w:tcPr>
            <w:tcW w:w="2006" w:type="dxa"/>
            <w:tcBorders>
              <w:top w:val="nil"/>
              <w:left w:val="single" w:sz="4" w:space="0" w:color="auto"/>
              <w:bottom w:val="nil"/>
              <w:right w:val="nil"/>
            </w:tcBorders>
            <w:shd w:val="clear" w:color="auto" w:fill="auto"/>
            <w:noWrap/>
            <w:vAlign w:val="bottom"/>
            <w:hideMark/>
          </w:tcPr>
          <w:p w14:paraId="75B71D9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60.7*** (54.5, 66.9)</w:t>
            </w:r>
          </w:p>
        </w:tc>
        <w:tc>
          <w:tcPr>
            <w:tcW w:w="2006" w:type="dxa"/>
            <w:tcBorders>
              <w:top w:val="nil"/>
              <w:left w:val="nil"/>
              <w:bottom w:val="nil"/>
              <w:right w:val="nil"/>
            </w:tcBorders>
            <w:shd w:val="clear" w:color="auto" w:fill="auto"/>
            <w:noWrap/>
            <w:vAlign w:val="bottom"/>
            <w:hideMark/>
          </w:tcPr>
          <w:p w14:paraId="0CF6DA5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(-0.1, 0)</w:t>
            </w:r>
          </w:p>
        </w:tc>
        <w:tc>
          <w:tcPr>
            <w:tcW w:w="2006" w:type="dxa"/>
            <w:tcBorders>
              <w:top w:val="nil"/>
              <w:left w:val="nil"/>
              <w:bottom w:val="nil"/>
              <w:right w:val="nil"/>
            </w:tcBorders>
            <w:shd w:val="clear" w:color="auto" w:fill="auto"/>
            <w:noWrap/>
            <w:vAlign w:val="bottom"/>
            <w:hideMark/>
          </w:tcPr>
          <w:p w14:paraId="7522DCC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-20.3 (-55.9, 15.3)</w:t>
            </w:r>
          </w:p>
        </w:tc>
        <w:tc>
          <w:tcPr>
            <w:tcW w:w="2006" w:type="dxa"/>
            <w:tcBorders>
              <w:top w:val="nil"/>
              <w:left w:val="nil"/>
              <w:bottom w:val="nil"/>
              <w:right w:val="nil"/>
            </w:tcBorders>
            <w:shd w:val="clear" w:color="auto" w:fill="auto"/>
            <w:noWrap/>
            <w:vAlign w:val="bottom"/>
            <w:hideMark/>
          </w:tcPr>
          <w:p w14:paraId="557D69D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1.5 (-2, 5)</w:t>
            </w:r>
          </w:p>
        </w:tc>
        <w:tc>
          <w:tcPr>
            <w:tcW w:w="2006" w:type="dxa"/>
            <w:tcBorders>
              <w:top w:val="nil"/>
              <w:left w:val="nil"/>
              <w:bottom w:val="nil"/>
              <w:right w:val="nil"/>
            </w:tcBorders>
            <w:shd w:val="clear" w:color="auto" w:fill="auto"/>
            <w:noWrap/>
            <w:vAlign w:val="bottom"/>
            <w:hideMark/>
          </w:tcPr>
          <w:p w14:paraId="4752D83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 (-23.1, 27.1)</w:t>
            </w:r>
          </w:p>
        </w:tc>
        <w:tc>
          <w:tcPr>
            <w:tcW w:w="2007" w:type="dxa"/>
            <w:tcBorders>
              <w:top w:val="nil"/>
              <w:left w:val="nil"/>
              <w:bottom w:val="nil"/>
              <w:right w:val="nil"/>
            </w:tcBorders>
            <w:shd w:val="clear" w:color="auto" w:fill="auto"/>
            <w:noWrap/>
            <w:vAlign w:val="bottom"/>
            <w:hideMark/>
          </w:tcPr>
          <w:p w14:paraId="503C9D4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4CD7BF50" w14:textId="77777777" w:rsidTr="00DD0367">
        <w:trPr>
          <w:trHeight w:val="257"/>
        </w:trPr>
        <w:tc>
          <w:tcPr>
            <w:tcW w:w="3261" w:type="dxa"/>
            <w:gridSpan w:val="2"/>
            <w:tcBorders>
              <w:top w:val="nil"/>
              <w:left w:val="nil"/>
              <w:bottom w:val="single" w:sz="4" w:space="0" w:color="auto"/>
              <w:right w:val="nil"/>
            </w:tcBorders>
            <w:shd w:val="clear" w:color="auto" w:fill="auto"/>
            <w:noWrap/>
            <w:vAlign w:val="bottom"/>
            <w:hideMark/>
          </w:tcPr>
          <w:p w14:paraId="50AD92A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Inpatient admissions:</w:t>
            </w:r>
          </w:p>
        </w:tc>
        <w:tc>
          <w:tcPr>
            <w:tcW w:w="2006" w:type="dxa"/>
            <w:tcBorders>
              <w:top w:val="nil"/>
              <w:left w:val="single" w:sz="4" w:space="0" w:color="auto"/>
              <w:bottom w:val="single" w:sz="4" w:space="0" w:color="auto"/>
              <w:right w:val="nil"/>
            </w:tcBorders>
            <w:shd w:val="clear" w:color="auto" w:fill="auto"/>
            <w:noWrap/>
            <w:vAlign w:val="bottom"/>
            <w:hideMark/>
          </w:tcPr>
          <w:p w14:paraId="2DE0FA5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2AF0F9B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79A8524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4968FFC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5C293F8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7" w:type="dxa"/>
            <w:tcBorders>
              <w:top w:val="nil"/>
              <w:left w:val="nil"/>
              <w:bottom w:val="single" w:sz="4" w:space="0" w:color="auto"/>
              <w:right w:val="nil"/>
            </w:tcBorders>
            <w:shd w:val="clear" w:color="auto" w:fill="auto"/>
            <w:noWrap/>
            <w:vAlign w:val="bottom"/>
            <w:hideMark/>
          </w:tcPr>
          <w:p w14:paraId="3577B7E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DD0367" w:rsidRPr="00A80562" w14:paraId="6AFE9745" w14:textId="77777777" w:rsidTr="00DD0367">
        <w:trPr>
          <w:trHeight w:val="257"/>
        </w:trPr>
        <w:tc>
          <w:tcPr>
            <w:tcW w:w="236" w:type="dxa"/>
            <w:tcBorders>
              <w:top w:val="nil"/>
              <w:left w:val="nil"/>
              <w:bottom w:val="nil"/>
              <w:right w:val="nil"/>
            </w:tcBorders>
            <w:shd w:val="clear" w:color="auto" w:fill="auto"/>
            <w:noWrap/>
            <w:vAlign w:val="bottom"/>
            <w:hideMark/>
          </w:tcPr>
          <w:p w14:paraId="0BD32D18"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3F759AB4"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Total admissions</w:t>
            </w:r>
          </w:p>
        </w:tc>
        <w:tc>
          <w:tcPr>
            <w:tcW w:w="2006" w:type="dxa"/>
            <w:tcBorders>
              <w:top w:val="nil"/>
              <w:left w:val="single" w:sz="4" w:space="0" w:color="auto"/>
              <w:bottom w:val="nil"/>
              <w:right w:val="nil"/>
            </w:tcBorders>
            <w:shd w:val="clear" w:color="000000" w:fill="F2F2F2"/>
            <w:noWrap/>
            <w:vAlign w:val="bottom"/>
            <w:hideMark/>
          </w:tcPr>
          <w:p w14:paraId="1DBCD2F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16.11*** (13.74, 18.49)</w:t>
            </w:r>
          </w:p>
        </w:tc>
        <w:tc>
          <w:tcPr>
            <w:tcW w:w="2006" w:type="dxa"/>
            <w:tcBorders>
              <w:top w:val="nil"/>
              <w:left w:val="nil"/>
              <w:bottom w:val="nil"/>
              <w:right w:val="nil"/>
            </w:tcBorders>
            <w:shd w:val="clear" w:color="000000" w:fill="F2F2F2"/>
            <w:noWrap/>
            <w:vAlign w:val="bottom"/>
            <w:hideMark/>
          </w:tcPr>
          <w:p w14:paraId="6FF5427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 (-0.03, 0.01)</w:t>
            </w:r>
          </w:p>
        </w:tc>
        <w:tc>
          <w:tcPr>
            <w:tcW w:w="2006" w:type="dxa"/>
            <w:tcBorders>
              <w:top w:val="nil"/>
              <w:left w:val="nil"/>
              <w:bottom w:val="nil"/>
              <w:right w:val="nil"/>
            </w:tcBorders>
            <w:shd w:val="clear" w:color="000000" w:fill="F2F2F2"/>
            <w:noWrap/>
            <w:vAlign w:val="bottom"/>
            <w:hideMark/>
          </w:tcPr>
          <w:p w14:paraId="2F02A93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-4.2 (-9.89, 1.49)</w:t>
            </w:r>
          </w:p>
        </w:tc>
        <w:tc>
          <w:tcPr>
            <w:tcW w:w="2006" w:type="dxa"/>
            <w:tcBorders>
              <w:top w:val="nil"/>
              <w:left w:val="nil"/>
              <w:bottom w:val="nil"/>
              <w:right w:val="nil"/>
            </w:tcBorders>
            <w:shd w:val="clear" w:color="000000" w:fill="F2F2F2"/>
            <w:noWrap/>
            <w:vAlign w:val="bottom"/>
            <w:hideMark/>
          </w:tcPr>
          <w:p w14:paraId="142182D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0.21 (-0.41, 0.83)</w:t>
            </w:r>
          </w:p>
        </w:tc>
        <w:tc>
          <w:tcPr>
            <w:tcW w:w="2006" w:type="dxa"/>
            <w:tcBorders>
              <w:top w:val="nil"/>
              <w:left w:val="nil"/>
              <w:bottom w:val="nil"/>
              <w:right w:val="nil"/>
            </w:tcBorders>
            <w:shd w:val="clear" w:color="000000" w:fill="F2F2F2"/>
            <w:noWrap/>
            <w:vAlign w:val="bottom"/>
            <w:hideMark/>
          </w:tcPr>
          <w:p w14:paraId="64A6056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-1.03 (-6.85, 4.79)</w:t>
            </w:r>
          </w:p>
        </w:tc>
        <w:tc>
          <w:tcPr>
            <w:tcW w:w="2007" w:type="dxa"/>
            <w:tcBorders>
              <w:top w:val="nil"/>
              <w:left w:val="nil"/>
              <w:bottom w:val="nil"/>
              <w:right w:val="nil"/>
            </w:tcBorders>
            <w:shd w:val="clear" w:color="000000" w:fill="F2F2F2"/>
            <w:noWrap/>
            <w:vAlign w:val="bottom"/>
            <w:hideMark/>
          </w:tcPr>
          <w:p w14:paraId="5029B48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5C9F6423" w14:textId="77777777" w:rsidTr="00DD0367">
        <w:trPr>
          <w:trHeight w:val="257"/>
        </w:trPr>
        <w:tc>
          <w:tcPr>
            <w:tcW w:w="236" w:type="dxa"/>
            <w:tcBorders>
              <w:top w:val="nil"/>
              <w:left w:val="nil"/>
              <w:bottom w:val="nil"/>
              <w:right w:val="nil"/>
            </w:tcBorders>
            <w:shd w:val="clear" w:color="auto" w:fill="auto"/>
            <w:noWrap/>
            <w:vAlign w:val="bottom"/>
            <w:hideMark/>
          </w:tcPr>
          <w:p w14:paraId="43FE2D2C"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0917DB9C"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First admissions</w:t>
            </w:r>
          </w:p>
        </w:tc>
        <w:tc>
          <w:tcPr>
            <w:tcW w:w="2006" w:type="dxa"/>
            <w:tcBorders>
              <w:top w:val="nil"/>
              <w:left w:val="single" w:sz="4" w:space="0" w:color="auto"/>
              <w:bottom w:val="nil"/>
              <w:right w:val="nil"/>
            </w:tcBorders>
            <w:shd w:val="clear" w:color="auto" w:fill="auto"/>
            <w:noWrap/>
            <w:vAlign w:val="bottom"/>
            <w:hideMark/>
          </w:tcPr>
          <w:p w14:paraId="7350B55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7.02*** (3.92, 10.12)</w:t>
            </w:r>
          </w:p>
        </w:tc>
        <w:tc>
          <w:tcPr>
            <w:tcW w:w="2006" w:type="dxa"/>
            <w:tcBorders>
              <w:top w:val="nil"/>
              <w:left w:val="nil"/>
              <w:bottom w:val="nil"/>
              <w:right w:val="nil"/>
            </w:tcBorders>
            <w:shd w:val="clear" w:color="auto" w:fill="auto"/>
            <w:noWrap/>
            <w:vAlign w:val="bottom"/>
            <w:hideMark/>
          </w:tcPr>
          <w:p w14:paraId="7A4A3B0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 (-0.01, 0.03)</w:t>
            </w:r>
          </w:p>
        </w:tc>
        <w:tc>
          <w:tcPr>
            <w:tcW w:w="2006" w:type="dxa"/>
            <w:tcBorders>
              <w:top w:val="nil"/>
              <w:left w:val="nil"/>
              <w:bottom w:val="nil"/>
              <w:right w:val="nil"/>
            </w:tcBorders>
            <w:shd w:val="clear" w:color="auto" w:fill="auto"/>
            <w:noWrap/>
            <w:vAlign w:val="bottom"/>
            <w:hideMark/>
          </w:tcPr>
          <w:p w14:paraId="0CC8373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-3.19 (-6.71, 0.34)</w:t>
            </w:r>
          </w:p>
        </w:tc>
        <w:tc>
          <w:tcPr>
            <w:tcW w:w="2006" w:type="dxa"/>
            <w:tcBorders>
              <w:top w:val="nil"/>
              <w:left w:val="nil"/>
              <w:bottom w:val="nil"/>
              <w:right w:val="nil"/>
            </w:tcBorders>
            <w:shd w:val="clear" w:color="auto" w:fill="auto"/>
            <w:noWrap/>
            <w:vAlign w:val="bottom"/>
            <w:hideMark/>
          </w:tcPr>
          <w:p w14:paraId="77FB1C8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0.14 (-0.23, 0.51)</w:t>
            </w:r>
          </w:p>
        </w:tc>
        <w:tc>
          <w:tcPr>
            <w:tcW w:w="2006" w:type="dxa"/>
            <w:tcBorders>
              <w:top w:val="nil"/>
              <w:left w:val="nil"/>
              <w:bottom w:val="nil"/>
              <w:right w:val="nil"/>
            </w:tcBorders>
            <w:shd w:val="clear" w:color="auto" w:fill="auto"/>
            <w:noWrap/>
            <w:vAlign w:val="bottom"/>
            <w:hideMark/>
          </w:tcPr>
          <w:p w14:paraId="7783832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-1.09 (-4.42, 2.24)</w:t>
            </w:r>
          </w:p>
        </w:tc>
        <w:tc>
          <w:tcPr>
            <w:tcW w:w="2007" w:type="dxa"/>
            <w:tcBorders>
              <w:top w:val="nil"/>
              <w:left w:val="nil"/>
              <w:bottom w:val="nil"/>
              <w:right w:val="nil"/>
            </w:tcBorders>
            <w:shd w:val="clear" w:color="auto" w:fill="auto"/>
            <w:noWrap/>
            <w:vAlign w:val="bottom"/>
            <w:hideMark/>
          </w:tcPr>
          <w:p w14:paraId="0B4B238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4F931810" w14:textId="77777777" w:rsidTr="00DD0367">
        <w:trPr>
          <w:trHeight w:val="257"/>
        </w:trPr>
        <w:tc>
          <w:tcPr>
            <w:tcW w:w="236" w:type="dxa"/>
            <w:tcBorders>
              <w:top w:val="nil"/>
              <w:left w:val="nil"/>
              <w:bottom w:val="nil"/>
              <w:right w:val="nil"/>
            </w:tcBorders>
            <w:shd w:val="clear" w:color="auto" w:fill="auto"/>
            <w:noWrap/>
            <w:vAlign w:val="bottom"/>
            <w:hideMark/>
          </w:tcPr>
          <w:p w14:paraId="69D167FB"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218EFD26"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Admissions to acute/PICU wards</w:t>
            </w:r>
          </w:p>
        </w:tc>
        <w:tc>
          <w:tcPr>
            <w:tcW w:w="2006" w:type="dxa"/>
            <w:tcBorders>
              <w:top w:val="nil"/>
              <w:left w:val="single" w:sz="4" w:space="0" w:color="auto"/>
              <w:bottom w:val="nil"/>
              <w:right w:val="nil"/>
            </w:tcBorders>
            <w:shd w:val="clear" w:color="000000" w:fill="F2F2F2"/>
            <w:noWrap/>
            <w:vAlign w:val="bottom"/>
            <w:hideMark/>
          </w:tcPr>
          <w:p w14:paraId="0592630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10.94*** (9.64, 12.23)</w:t>
            </w:r>
          </w:p>
        </w:tc>
        <w:tc>
          <w:tcPr>
            <w:tcW w:w="2006" w:type="dxa"/>
            <w:tcBorders>
              <w:top w:val="nil"/>
              <w:left w:val="nil"/>
              <w:bottom w:val="nil"/>
              <w:right w:val="nil"/>
            </w:tcBorders>
            <w:shd w:val="clear" w:color="000000" w:fill="F2F2F2"/>
            <w:noWrap/>
            <w:vAlign w:val="bottom"/>
            <w:hideMark/>
          </w:tcPr>
          <w:p w14:paraId="5BEE2E0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(-0.01, 0.01)</w:t>
            </w:r>
          </w:p>
        </w:tc>
        <w:tc>
          <w:tcPr>
            <w:tcW w:w="2006" w:type="dxa"/>
            <w:tcBorders>
              <w:top w:val="nil"/>
              <w:left w:val="nil"/>
              <w:bottom w:val="nil"/>
              <w:right w:val="nil"/>
            </w:tcBorders>
            <w:shd w:val="clear" w:color="000000" w:fill="F2F2F2"/>
            <w:noWrap/>
            <w:vAlign w:val="bottom"/>
            <w:hideMark/>
          </w:tcPr>
          <w:p w14:paraId="5B67BF1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-3.39 (-7.62, 0.84)</w:t>
            </w:r>
          </w:p>
        </w:tc>
        <w:tc>
          <w:tcPr>
            <w:tcW w:w="2006" w:type="dxa"/>
            <w:tcBorders>
              <w:top w:val="nil"/>
              <w:left w:val="nil"/>
              <w:bottom w:val="nil"/>
              <w:right w:val="nil"/>
            </w:tcBorders>
            <w:shd w:val="clear" w:color="000000" w:fill="F2F2F2"/>
            <w:noWrap/>
            <w:vAlign w:val="bottom"/>
            <w:hideMark/>
          </w:tcPr>
          <w:p w14:paraId="361BCB2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0.19 (-0.29, 0.66)</w:t>
            </w:r>
          </w:p>
        </w:tc>
        <w:tc>
          <w:tcPr>
            <w:tcW w:w="2006" w:type="dxa"/>
            <w:tcBorders>
              <w:top w:val="nil"/>
              <w:left w:val="nil"/>
              <w:bottom w:val="nil"/>
              <w:right w:val="nil"/>
            </w:tcBorders>
            <w:shd w:val="clear" w:color="000000" w:fill="F2F2F2"/>
            <w:noWrap/>
            <w:vAlign w:val="bottom"/>
            <w:hideMark/>
          </w:tcPr>
          <w:p w14:paraId="634E38B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-0.61 (-5.08, 3.86)</w:t>
            </w:r>
          </w:p>
        </w:tc>
        <w:tc>
          <w:tcPr>
            <w:tcW w:w="2007" w:type="dxa"/>
            <w:tcBorders>
              <w:top w:val="nil"/>
              <w:left w:val="nil"/>
              <w:bottom w:val="nil"/>
              <w:right w:val="nil"/>
            </w:tcBorders>
            <w:shd w:val="clear" w:color="000000" w:fill="F2F2F2"/>
            <w:noWrap/>
            <w:vAlign w:val="bottom"/>
            <w:hideMark/>
          </w:tcPr>
          <w:p w14:paraId="4AE1B2B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5FF0F54F" w14:textId="77777777" w:rsidTr="00DD0367">
        <w:trPr>
          <w:trHeight w:val="257"/>
        </w:trPr>
        <w:tc>
          <w:tcPr>
            <w:tcW w:w="236" w:type="dxa"/>
            <w:tcBorders>
              <w:top w:val="nil"/>
              <w:left w:val="nil"/>
              <w:bottom w:val="nil"/>
              <w:right w:val="nil"/>
            </w:tcBorders>
            <w:shd w:val="clear" w:color="auto" w:fill="auto"/>
            <w:noWrap/>
            <w:vAlign w:val="bottom"/>
            <w:hideMark/>
          </w:tcPr>
          <w:p w14:paraId="590EED03"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2CA765B5"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 who were discharged in last 30 days</w:t>
            </w:r>
          </w:p>
        </w:tc>
        <w:tc>
          <w:tcPr>
            <w:tcW w:w="2006" w:type="dxa"/>
            <w:tcBorders>
              <w:top w:val="nil"/>
              <w:left w:val="single" w:sz="4" w:space="0" w:color="auto"/>
              <w:bottom w:val="nil"/>
              <w:right w:val="nil"/>
            </w:tcBorders>
            <w:shd w:val="clear" w:color="auto" w:fill="auto"/>
            <w:noWrap/>
            <w:vAlign w:val="bottom"/>
            <w:hideMark/>
          </w:tcPr>
          <w:p w14:paraId="2CF58D8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7.69*** (5.95, 9.42)</w:t>
            </w:r>
          </w:p>
        </w:tc>
        <w:tc>
          <w:tcPr>
            <w:tcW w:w="2006" w:type="dxa"/>
            <w:tcBorders>
              <w:top w:val="nil"/>
              <w:left w:val="nil"/>
              <w:bottom w:val="nil"/>
              <w:right w:val="nil"/>
            </w:tcBorders>
            <w:shd w:val="clear" w:color="auto" w:fill="auto"/>
            <w:noWrap/>
            <w:vAlign w:val="bottom"/>
            <w:hideMark/>
          </w:tcPr>
          <w:p w14:paraId="63430D1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 (-0.03, 0)</w:t>
            </w:r>
          </w:p>
        </w:tc>
        <w:tc>
          <w:tcPr>
            <w:tcW w:w="2006" w:type="dxa"/>
            <w:tcBorders>
              <w:top w:val="nil"/>
              <w:left w:val="nil"/>
              <w:bottom w:val="nil"/>
              <w:right w:val="nil"/>
            </w:tcBorders>
            <w:shd w:val="clear" w:color="auto" w:fill="auto"/>
            <w:noWrap/>
            <w:vAlign w:val="bottom"/>
            <w:hideMark/>
          </w:tcPr>
          <w:p w14:paraId="1E5938A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-2.58* (-4.97, -0.19)</w:t>
            </w:r>
          </w:p>
        </w:tc>
        <w:tc>
          <w:tcPr>
            <w:tcW w:w="2006" w:type="dxa"/>
            <w:tcBorders>
              <w:top w:val="nil"/>
              <w:left w:val="nil"/>
              <w:bottom w:val="nil"/>
              <w:right w:val="nil"/>
            </w:tcBorders>
            <w:shd w:val="clear" w:color="auto" w:fill="auto"/>
            <w:noWrap/>
            <w:vAlign w:val="bottom"/>
            <w:hideMark/>
          </w:tcPr>
          <w:p w14:paraId="5FDEC1E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0.03 (-0.2, 0.26)</w:t>
            </w:r>
          </w:p>
        </w:tc>
        <w:tc>
          <w:tcPr>
            <w:tcW w:w="2006" w:type="dxa"/>
            <w:tcBorders>
              <w:top w:val="nil"/>
              <w:left w:val="nil"/>
              <w:bottom w:val="nil"/>
              <w:right w:val="nil"/>
            </w:tcBorders>
            <w:shd w:val="clear" w:color="auto" w:fill="auto"/>
            <w:noWrap/>
            <w:vAlign w:val="bottom"/>
            <w:hideMark/>
          </w:tcPr>
          <w:p w14:paraId="7FC1519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-2.13 (-4.96, 0.7)</w:t>
            </w:r>
          </w:p>
        </w:tc>
        <w:tc>
          <w:tcPr>
            <w:tcW w:w="2007" w:type="dxa"/>
            <w:tcBorders>
              <w:top w:val="nil"/>
              <w:left w:val="nil"/>
              <w:bottom w:val="nil"/>
              <w:right w:val="nil"/>
            </w:tcBorders>
            <w:shd w:val="clear" w:color="auto" w:fill="auto"/>
            <w:noWrap/>
            <w:vAlign w:val="bottom"/>
            <w:hideMark/>
          </w:tcPr>
          <w:p w14:paraId="36651C0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3652AD12" w14:textId="77777777" w:rsidTr="00DD0367">
        <w:trPr>
          <w:trHeight w:val="257"/>
        </w:trPr>
        <w:tc>
          <w:tcPr>
            <w:tcW w:w="236" w:type="dxa"/>
            <w:tcBorders>
              <w:top w:val="nil"/>
              <w:left w:val="nil"/>
              <w:bottom w:val="nil"/>
              <w:right w:val="nil"/>
            </w:tcBorders>
            <w:shd w:val="clear" w:color="auto" w:fill="auto"/>
            <w:noWrap/>
            <w:vAlign w:val="bottom"/>
            <w:hideMark/>
          </w:tcPr>
          <w:p w14:paraId="39FFBD74"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2313D83E"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Total bed days</w:t>
            </w:r>
          </w:p>
        </w:tc>
        <w:tc>
          <w:tcPr>
            <w:tcW w:w="2006" w:type="dxa"/>
            <w:tcBorders>
              <w:top w:val="nil"/>
              <w:left w:val="single" w:sz="4" w:space="0" w:color="auto"/>
              <w:bottom w:val="nil"/>
              <w:right w:val="nil"/>
            </w:tcBorders>
            <w:shd w:val="clear" w:color="000000" w:fill="F2F2F2"/>
            <w:noWrap/>
            <w:vAlign w:val="bottom"/>
            <w:hideMark/>
          </w:tcPr>
          <w:p w14:paraId="4B5B98D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1253.1*** (1191.2, 1315)</w:t>
            </w:r>
          </w:p>
        </w:tc>
        <w:tc>
          <w:tcPr>
            <w:tcW w:w="2006" w:type="dxa"/>
            <w:tcBorders>
              <w:top w:val="nil"/>
              <w:left w:val="nil"/>
              <w:bottom w:val="nil"/>
              <w:right w:val="nil"/>
            </w:tcBorders>
            <w:shd w:val="clear" w:color="000000" w:fill="F2F2F2"/>
            <w:noWrap/>
            <w:vAlign w:val="bottom"/>
            <w:hideMark/>
          </w:tcPr>
          <w:p w14:paraId="1403538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-1.3*** (-1.9, -0.8)</w:t>
            </w:r>
          </w:p>
        </w:tc>
        <w:tc>
          <w:tcPr>
            <w:tcW w:w="2006" w:type="dxa"/>
            <w:tcBorders>
              <w:top w:val="nil"/>
              <w:left w:val="nil"/>
              <w:bottom w:val="nil"/>
              <w:right w:val="nil"/>
            </w:tcBorders>
            <w:shd w:val="clear" w:color="000000" w:fill="F2F2F2"/>
            <w:noWrap/>
            <w:vAlign w:val="bottom"/>
            <w:hideMark/>
          </w:tcPr>
          <w:p w14:paraId="5EA88A0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-1.7 (-54, 50.5)</w:t>
            </w:r>
          </w:p>
        </w:tc>
        <w:tc>
          <w:tcPr>
            <w:tcW w:w="2006" w:type="dxa"/>
            <w:tcBorders>
              <w:top w:val="nil"/>
              <w:left w:val="nil"/>
              <w:bottom w:val="nil"/>
              <w:right w:val="nil"/>
            </w:tcBorders>
            <w:shd w:val="clear" w:color="000000" w:fill="F2F2F2"/>
            <w:noWrap/>
            <w:vAlign w:val="bottom"/>
            <w:hideMark/>
          </w:tcPr>
          <w:p w14:paraId="02C437E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0.2 (-12.2, 12.6)</w:t>
            </w:r>
          </w:p>
        </w:tc>
        <w:tc>
          <w:tcPr>
            <w:tcW w:w="2006" w:type="dxa"/>
            <w:tcBorders>
              <w:top w:val="nil"/>
              <w:left w:val="nil"/>
              <w:bottom w:val="nil"/>
              <w:right w:val="nil"/>
            </w:tcBorders>
            <w:shd w:val="clear" w:color="000000" w:fill="F2F2F2"/>
            <w:noWrap/>
            <w:vAlign w:val="bottom"/>
            <w:hideMark/>
          </w:tcPr>
          <w:p w14:paraId="3CA0D74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0.9 (-185.5, 187.3)</w:t>
            </w:r>
          </w:p>
        </w:tc>
        <w:tc>
          <w:tcPr>
            <w:tcW w:w="2007" w:type="dxa"/>
            <w:tcBorders>
              <w:top w:val="nil"/>
              <w:left w:val="nil"/>
              <w:bottom w:val="nil"/>
              <w:right w:val="nil"/>
            </w:tcBorders>
            <w:shd w:val="clear" w:color="000000" w:fill="F2F2F2"/>
            <w:noWrap/>
            <w:vAlign w:val="bottom"/>
            <w:hideMark/>
          </w:tcPr>
          <w:p w14:paraId="016FBA8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5C9B7EE5" w14:textId="77777777" w:rsidTr="00DD0367">
        <w:trPr>
          <w:trHeight w:val="257"/>
        </w:trPr>
        <w:tc>
          <w:tcPr>
            <w:tcW w:w="236" w:type="dxa"/>
            <w:tcBorders>
              <w:top w:val="nil"/>
              <w:left w:val="nil"/>
              <w:bottom w:val="nil"/>
              <w:right w:val="nil"/>
            </w:tcBorders>
            <w:shd w:val="clear" w:color="auto" w:fill="auto"/>
            <w:noWrap/>
            <w:vAlign w:val="bottom"/>
            <w:hideMark/>
          </w:tcPr>
          <w:p w14:paraId="1CC66CF3"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034E6A51"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Unique inpatients</w:t>
            </w:r>
          </w:p>
        </w:tc>
        <w:tc>
          <w:tcPr>
            <w:tcW w:w="2006" w:type="dxa"/>
            <w:tcBorders>
              <w:top w:val="nil"/>
              <w:left w:val="single" w:sz="4" w:space="0" w:color="auto"/>
              <w:bottom w:val="nil"/>
              <w:right w:val="nil"/>
            </w:tcBorders>
            <w:shd w:val="clear" w:color="auto" w:fill="auto"/>
            <w:noWrap/>
            <w:vAlign w:val="bottom"/>
            <w:hideMark/>
          </w:tcPr>
          <w:p w14:paraId="7251563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194.4*** (185, 203.8)</w:t>
            </w:r>
          </w:p>
        </w:tc>
        <w:tc>
          <w:tcPr>
            <w:tcW w:w="2006" w:type="dxa"/>
            <w:tcBorders>
              <w:top w:val="nil"/>
              <w:left w:val="nil"/>
              <w:bottom w:val="nil"/>
              <w:right w:val="nil"/>
            </w:tcBorders>
            <w:shd w:val="clear" w:color="auto" w:fill="auto"/>
            <w:noWrap/>
            <w:vAlign w:val="bottom"/>
            <w:hideMark/>
          </w:tcPr>
          <w:p w14:paraId="3564EC4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-0.2*** (-0.3, -0.1)</w:t>
            </w:r>
          </w:p>
        </w:tc>
        <w:tc>
          <w:tcPr>
            <w:tcW w:w="2006" w:type="dxa"/>
            <w:tcBorders>
              <w:top w:val="nil"/>
              <w:left w:val="nil"/>
              <w:bottom w:val="nil"/>
              <w:right w:val="nil"/>
            </w:tcBorders>
            <w:shd w:val="clear" w:color="auto" w:fill="auto"/>
            <w:noWrap/>
            <w:vAlign w:val="bottom"/>
            <w:hideMark/>
          </w:tcPr>
          <w:p w14:paraId="7BC8184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-6.9 (-68.6, 54.8)</w:t>
            </w:r>
          </w:p>
        </w:tc>
        <w:tc>
          <w:tcPr>
            <w:tcW w:w="2006" w:type="dxa"/>
            <w:tcBorders>
              <w:top w:val="nil"/>
              <w:left w:val="nil"/>
              <w:bottom w:val="nil"/>
              <w:right w:val="nil"/>
            </w:tcBorders>
            <w:shd w:val="clear" w:color="auto" w:fill="auto"/>
            <w:noWrap/>
            <w:vAlign w:val="bottom"/>
            <w:hideMark/>
          </w:tcPr>
          <w:p w14:paraId="465780F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0.3 (-4.1, 4.6)</w:t>
            </w:r>
          </w:p>
        </w:tc>
        <w:tc>
          <w:tcPr>
            <w:tcW w:w="2006" w:type="dxa"/>
            <w:tcBorders>
              <w:top w:val="nil"/>
              <w:left w:val="nil"/>
              <w:bottom w:val="nil"/>
              <w:right w:val="nil"/>
            </w:tcBorders>
            <w:shd w:val="clear" w:color="auto" w:fill="auto"/>
            <w:noWrap/>
            <w:vAlign w:val="bottom"/>
            <w:hideMark/>
          </w:tcPr>
          <w:p w14:paraId="25FBF15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-2.7 (-29, 23.6)</w:t>
            </w:r>
          </w:p>
        </w:tc>
        <w:tc>
          <w:tcPr>
            <w:tcW w:w="2007" w:type="dxa"/>
            <w:tcBorders>
              <w:top w:val="nil"/>
              <w:left w:val="nil"/>
              <w:bottom w:val="nil"/>
              <w:right w:val="nil"/>
            </w:tcBorders>
            <w:shd w:val="clear" w:color="auto" w:fill="auto"/>
            <w:noWrap/>
            <w:vAlign w:val="bottom"/>
            <w:hideMark/>
          </w:tcPr>
          <w:p w14:paraId="4D65FCA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DD0367" w:rsidRPr="00A80562" w14:paraId="1C9CD24A" w14:textId="77777777" w:rsidTr="00DD0367">
        <w:trPr>
          <w:trHeight w:val="257"/>
        </w:trPr>
        <w:tc>
          <w:tcPr>
            <w:tcW w:w="236" w:type="dxa"/>
            <w:tcBorders>
              <w:top w:val="nil"/>
              <w:left w:val="nil"/>
              <w:bottom w:val="nil"/>
              <w:right w:val="nil"/>
            </w:tcBorders>
            <w:shd w:val="clear" w:color="auto" w:fill="auto"/>
            <w:noWrap/>
            <w:vAlign w:val="bottom"/>
            <w:hideMark/>
          </w:tcPr>
          <w:p w14:paraId="545FEF4E"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7F6C748D"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Inpatient length of stay</w:t>
            </w:r>
          </w:p>
        </w:tc>
        <w:tc>
          <w:tcPr>
            <w:tcW w:w="2006" w:type="dxa"/>
            <w:tcBorders>
              <w:top w:val="nil"/>
              <w:left w:val="single" w:sz="4" w:space="0" w:color="auto"/>
              <w:bottom w:val="nil"/>
              <w:right w:val="nil"/>
            </w:tcBorders>
            <w:shd w:val="clear" w:color="000000" w:fill="F2F2F2"/>
            <w:noWrap/>
            <w:vAlign w:val="bottom"/>
            <w:hideMark/>
          </w:tcPr>
          <w:p w14:paraId="7EC030A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90.8*** (83, 98.7)</w:t>
            </w:r>
          </w:p>
        </w:tc>
        <w:tc>
          <w:tcPr>
            <w:tcW w:w="2006" w:type="dxa"/>
            <w:tcBorders>
              <w:top w:val="nil"/>
              <w:left w:val="nil"/>
              <w:bottom w:val="nil"/>
              <w:right w:val="nil"/>
            </w:tcBorders>
            <w:shd w:val="clear" w:color="000000" w:fill="F2F2F2"/>
            <w:noWrap/>
            <w:vAlign w:val="bottom"/>
            <w:hideMark/>
          </w:tcPr>
          <w:p w14:paraId="2E17FC3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-0.2*** (-0.3, -0.2)</w:t>
            </w:r>
          </w:p>
        </w:tc>
        <w:tc>
          <w:tcPr>
            <w:tcW w:w="2006" w:type="dxa"/>
            <w:tcBorders>
              <w:top w:val="nil"/>
              <w:left w:val="nil"/>
              <w:bottom w:val="nil"/>
              <w:right w:val="nil"/>
            </w:tcBorders>
            <w:shd w:val="clear" w:color="000000" w:fill="F2F2F2"/>
            <w:noWrap/>
            <w:vAlign w:val="bottom"/>
            <w:hideMark/>
          </w:tcPr>
          <w:p w14:paraId="6934B48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3.4 (-7.8, 14.5)</w:t>
            </w:r>
          </w:p>
        </w:tc>
        <w:tc>
          <w:tcPr>
            <w:tcW w:w="2006" w:type="dxa"/>
            <w:tcBorders>
              <w:top w:val="nil"/>
              <w:left w:val="nil"/>
              <w:bottom w:val="nil"/>
              <w:right w:val="nil"/>
            </w:tcBorders>
            <w:shd w:val="clear" w:color="000000" w:fill="F2F2F2"/>
            <w:noWrap/>
            <w:vAlign w:val="bottom"/>
            <w:hideMark/>
          </w:tcPr>
          <w:p w14:paraId="25FFAA3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 (-1, 1.2)</w:t>
            </w:r>
          </w:p>
        </w:tc>
        <w:tc>
          <w:tcPr>
            <w:tcW w:w="2006" w:type="dxa"/>
            <w:tcBorders>
              <w:top w:val="nil"/>
              <w:left w:val="nil"/>
              <w:bottom w:val="nil"/>
              <w:right w:val="nil"/>
            </w:tcBorders>
            <w:shd w:val="clear" w:color="000000" w:fill="F2F2F2"/>
            <w:noWrap/>
            <w:vAlign w:val="bottom"/>
            <w:hideMark/>
          </w:tcPr>
          <w:p w14:paraId="5C31D8C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4.6 (-8.6, 17.9)</w:t>
            </w:r>
          </w:p>
        </w:tc>
        <w:tc>
          <w:tcPr>
            <w:tcW w:w="2007" w:type="dxa"/>
            <w:tcBorders>
              <w:top w:val="nil"/>
              <w:left w:val="nil"/>
              <w:bottom w:val="nil"/>
              <w:right w:val="nil"/>
            </w:tcBorders>
            <w:shd w:val="clear" w:color="000000" w:fill="F2F2F2"/>
            <w:noWrap/>
            <w:vAlign w:val="bottom"/>
            <w:hideMark/>
          </w:tcPr>
          <w:p w14:paraId="7F55E0C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060F30B3" w14:textId="77777777" w:rsidTr="00DD0367">
        <w:trPr>
          <w:trHeight w:val="257"/>
        </w:trPr>
        <w:tc>
          <w:tcPr>
            <w:tcW w:w="3261" w:type="dxa"/>
            <w:gridSpan w:val="2"/>
            <w:tcBorders>
              <w:top w:val="nil"/>
              <w:left w:val="nil"/>
              <w:bottom w:val="single" w:sz="4" w:space="0" w:color="auto"/>
              <w:right w:val="nil"/>
            </w:tcBorders>
            <w:shd w:val="clear" w:color="auto" w:fill="auto"/>
            <w:noWrap/>
            <w:vAlign w:val="bottom"/>
            <w:hideMark/>
          </w:tcPr>
          <w:p w14:paraId="473C29F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HoNOS assessments:</w:t>
            </w:r>
          </w:p>
        </w:tc>
        <w:tc>
          <w:tcPr>
            <w:tcW w:w="2006" w:type="dxa"/>
            <w:tcBorders>
              <w:top w:val="nil"/>
              <w:left w:val="single" w:sz="4" w:space="0" w:color="auto"/>
              <w:bottom w:val="single" w:sz="4" w:space="0" w:color="auto"/>
              <w:right w:val="nil"/>
            </w:tcBorders>
            <w:shd w:val="clear" w:color="auto" w:fill="auto"/>
            <w:noWrap/>
            <w:vAlign w:val="bottom"/>
            <w:hideMark/>
          </w:tcPr>
          <w:p w14:paraId="6A21B9D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2AE3959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77EFBBC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43043C1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1481A34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7" w:type="dxa"/>
            <w:tcBorders>
              <w:top w:val="nil"/>
              <w:left w:val="nil"/>
              <w:bottom w:val="single" w:sz="4" w:space="0" w:color="auto"/>
              <w:right w:val="nil"/>
            </w:tcBorders>
            <w:shd w:val="clear" w:color="auto" w:fill="auto"/>
            <w:noWrap/>
            <w:vAlign w:val="bottom"/>
            <w:hideMark/>
          </w:tcPr>
          <w:p w14:paraId="4C62D19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DD0367" w:rsidRPr="00A80562" w14:paraId="552761A3" w14:textId="77777777" w:rsidTr="00DD0367">
        <w:trPr>
          <w:trHeight w:val="257"/>
        </w:trPr>
        <w:tc>
          <w:tcPr>
            <w:tcW w:w="236" w:type="dxa"/>
            <w:tcBorders>
              <w:top w:val="nil"/>
              <w:left w:val="nil"/>
              <w:bottom w:val="nil"/>
              <w:right w:val="nil"/>
            </w:tcBorders>
            <w:shd w:val="clear" w:color="auto" w:fill="auto"/>
            <w:noWrap/>
            <w:vAlign w:val="bottom"/>
            <w:hideMark/>
          </w:tcPr>
          <w:p w14:paraId="0FCC0844"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2165C5E3"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Total assessments</w:t>
            </w:r>
          </w:p>
        </w:tc>
        <w:tc>
          <w:tcPr>
            <w:tcW w:w="2006" w:type="dxa"/>
            <w:tcBorders>
              <w:top w:val="nil"/>
              <w:left w:val="single" w:sz="4" w:space="0" w:color="auto"/>
              <w:bottom w:val="nil"/>
              <w:right w:val="nil"/>
            </w:tcBorders>
            <w:shd w:val="clear" w:color="000000" w:fill="F2F2F2"/>
            <w:noWrap/>
            <w:vAlign w:val="bottom"/>
            <w:hideMark/>
          </w:tcPr>
          <w:p w14:paraId="58655D3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195.93*** (185.78, 206.08)</w:t>
            </w:r>
          </w:p>
        </w:tc>
        <w:tc>
          <w:tcPr>
            <w:tcW w:w="2006" w:type="dxa"/>
            <w:tcBorders>
              <w:top w:val="nil"/>
              <w:left w:val="nil"/>
              <w:bottom w:val="nil"/>
              <w:right w:val="nil"/>
            </w:tcBorders>
            <w:shd w:val="clear" w:color="000000" w:fill="F2F2F2"/>
            <w:noWrap/>
            <w:vAlign w:val="bottom"/>
            <w:hideMark/>
          </w:tcPr>
          <w:p w14:paraId="43B7142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 (-0.08, 0.1)</w:t>
            </w:r>
          </w:p>
        </w:tc>
        <w:tc>
          <w:tcPr>
            <w:tcW w:w="2006" w:type="dxa"/>
            <w:tcBorders>
              <w:top w:val="nil"/>
              <w:left w:val="nil"/>
              <w:bottom w:val="nil"/>
              <w:right w:val="nil"/>
            </w:tcBorders>
            <w:shd w:val="clear" w:color="000000" w:fill="F2F2F2"/>
            <w:noWrap/>
            <w:vAlign w:val="bottom"/>
            <w:hideMark/>
          </w:tcPr>
          <w:p w14:paraId="618DD77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-30.78 (-81.38, 19.81)</w:t>
            </w:r>
          </w:p>
        </w:tc>
        <w:tc>
          <w:tcPr>
            <w:tcW w:w="2006" w:type="dxa"/>
            <w:tcBorders>
              <w:top w:val="nil"/>
              <w:left w:val="nil"/>
              <w:bottom w:val="nil"/>
              <w:right w:val="nil"/>
            </w:tcBorders>
            <w:shd w:val="clear" w:color="000000" w:fill="F2F2F2"/>
            <w:noWrap/>
            <w:vAlign w:val="bottom"/>
            <w:hideMark/>
          </w:tcPr>
          <w:p w14:paraId="198FD74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0.89 (-5.2, 6.98)</w:t>
            </w:r>
          </w:p>
        </w:tc>
        <w:tc>
          <w:tcPr>
            <w:tcW w:w="2006" w:type="dxa"/>
            <w:tcBorders>
              <w:top w:val="nil"/>
              <w:left w:val="nil"/>
              <w:bottom w:val="nil"/>
              <w:right w:val="nil"/>
            </w:tcBorders>
            <w:shd w:val="clear" w:color="000000" w:fill="F2F2F2"/>
            <w:noWrap/>
            <w:vAlign w:val="bottom"/>
            <w:hideMark/>
          </w:tcPr>
          <w:p w14:paraId="3E41CF7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-17.39 (-69, 34.22)</w:t>
            </w:r>
          </w:p>
        </w:tc>
        <w:tc>
          <w:tcPr>
            <w:tcW w:w="2007" w:type="dxa"/>
            <w:tcBorders>
              <w:top w:val="nil"/>
              <w:left w:val="nil"/>
              <w:bottom w:val="nil"/>
              <w:right w:val="nil"/>
            </w:tcBorders>
            <w:shd w:val="clear" w:color="000000" w:fill="F2F2F2"/>
            <w:noWrap/>
            <w:vAlign w:val="bottom"/>
            <w:hideMark/>
          </w:tcPr>
          <w:p w14:paraId="7DC04BC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DD0367" w:rsidRPr="00A80562" w14:paraId="771E2031" w14:textId="77777777" w:rsidTr="00DD0367">
        <w:trPr>
          <w:trHeight w:val="257"/>
        </w:trPr>
        <w:tc>
          <w:tcPr>
            <w:tcW w:w="236" w:type="dxa"/>
            <w:tcBorders>
              <w:top w:val="nil"/>
              <w:left w:val="nil"/>
              <w:bottom w:val="nil"/>
              <w:right w:val="nil"/>
            </w:tcBorders>
            <w:shd w:val="clear" w:color="auto" w:fill="auto"/>
            <w:noWrap/>
            <w:vAlign w:val="bottom"/>
            <w:hideMark/>
          </w:tcPr>
          <w:p w14:paraId="62D99656"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50693F34"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Initial assessments</w:t>
            </w:r>
          </w:p>
        </w:tc>
        <w:tc>
          <w:tcPr>
            <w:tcW w:w="2006" w:type="dxa"/>
            <w:tcBorders>
              <w:top w:val="nil"/>
              <w:left w:val="single" w:sz="4" w:space="0" w:color="auto"/>
              <w:bottom w:val="nil"/>
              <w:right w:val="nil"/>
            </w:tcBorders>
            <w:shd w:val="clear" w:color="auto" w:fill="auto"/>
            <w:noWrap/>
            <w:vAlign w:val="bottom"/>
            <w:hideMark/>
          </w:tcPr>
          <w:p w14:paraId="70AA7F2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97.26*** (91.91, 102.61)</w:t>
            </w:r>
          </w:p>
        </w:tc>
        <w:tc>
          <w:tcPr>
            <w:tcW w:w="2006" w:type="dxa"/>
            <w:tcBorders>
              <w:top w:val="nil"/>
              <w:left w:val="nil"/>
              <w:bottom w:val="nil"/>
              <w:right w:val="nil"/>
            </w:tcBorders>
            <w:shd w:val="clear" w:color="auto" w:fill="auto"/>
            <w:noWrap/>
            <w:vAlign w:val="bottom"/>
            <w:hideMark/>
          </w:tcPr>
          <w:p w14:paraId="57DE315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0.06** (0.02, 0.11)</w:t>
            </w:r>
          </w:p>
        </w:tc>
        <w:tc>
          <w:tcPr>
            <w:tcW w:w="2006" w:type="dxa"/>
            <w:tcBorders>
              <w:top w:val="nil"/>
              <w:left w:val="nil"/>
              <w:bottom w:val="nil"/>
              <w:right w:val="nil"/>
            </w:tcBorders>
            <w:shd w:val="clear" w:color="auto" w:fill="auto"/>
            <w:noWrap/>
            <w:vAlign w:val="bottom"/>
            <w:hideMark/>
          </w:tcPr>
          <w:p w14:paraId="0218062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-21.51 (-50.42, 7.4)</w:t>
            </w:r>
          </w:p>
        </w:tc>
        <w:tc>
          <w:tcPr>
            <w:tcW w:w="2006" w:type="dxa"/>
            <w:tcBorders>
              <w:top w:val="nil"/>
              <w:left w:val="nil"/>
              <w:bottom w:val="nil"/>
              <w:right w:val="nil"/>
            </w:tcBorders>
            <w:shd w:val="clear" w:color="auto" w:fill="auto"/>
            <w:noWrap/>
            <w:vAlign w:val="bottom"/>
            <w:hideMark/>
          </w:tcPr>
          <w:p w14:paraId="6EB1432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0.33 (-2.88, 3.53)</w:t>
            </w:r>
          </w:p>
        </w:tc>
        <w:tc>
          <w:tcPr>
            <w:tcW w:w="2006" w:type="dxa"/>
            <w:tcBorders>
              <w:top w:val="nil"/>
              <w:left w:val="nil"/>
              <w:bottom w:val="nil"/>
              <w:right w:val="nil"/>
            </w:tcBorders>
            <w:shd w:val="clear" w:color="auto" w:fill="auto"/>
            <w:noWrap/>
            <w:vAlign w:val="bottom"/>
            <w:hideMark/>
          </w:tcPr>
          <w:p w14:paraId="2169734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-16.62 (-42.37, 9.13)</w:t>
            </w:r>
          </w:p>
        </w:tc>
        <w:tc>
          <w:tcPr>
            <w:tcW w:w="2007" w:type="dxa"/>
            <w:tcBorders>
              <w:top w:val="nil"/>
              <w:left w:val="nil"/>
              <w:bottom w:val="nil"/>
              <w:right w:val="nil"/>
            </w:tcBorders>
            <w:shd w:val="clear" w:color="auto" w:fill="auto"/>
            <w:noWrap/>
            <w:vAlign w:val="bottom"/>
            <w:hideMark/>
          </w:tcPr>
          <w:p w14:paraId="65793CC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DD0367" w:rsidRPr="00A80562" w14:paraId="6A4E8599" w14:textId="77777777" w:rsidTr="00DD0367">
        <w:trPr>
          <w:trHeight w:val="257"/>
        </w:trPr>
        <w:tc>
          <w:tcPr>
            <w:tcW w:w="236" w:type="dxa"/>
            <w:tcBorders>
              <w:top w:val="nil"/>
              <w:left w:val="nil"/>
              <w:bottom w:val="nil"/>
              <w:right w:val="nil"/>
            </w:tcBorders>
            <w:shd w:val="clear" w:color="auto" w:fill="auto"/>
            <w:noWrap/>
            <w:vAlign w:val="bottom"/>
            <w:hideMark/>
          </w:tcPr>
          <w:p w14:paraId="59C5FFF2"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1BF8C267"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Ongoing assessments</w:t>
            </w:r>
          </w:p>
        </w:tc>
        <w:tc>
          <w:tcPr>
            <w:tcW w:w="2006" w:type="dxa"/>
            <w:tcBorders>
              <w:top w:val="nil"/>
              <w:left w:val="single" w:sz="4" w:space="0" w:color="auto"/>
              <w:bottom w:val="nil"/>
              <w:right w:val="nil"/>
            </w:tcBorders>
            <w:shd w:val="clear" w:color="000000" w:fill="F2F2F2"/>
            <w:noWrap/>
            <w:vAlign w:val="bottom"/>
            <w:hideMark/>
          </w:tcPr>
          <w:p w14:paraId="3146BAF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71.48*** (66.29, 76.66)</w:t>
            </w:r>
          </w:p>
        </w:tc>
        <w:tc>
          <w:tcPr>
            <w:tcW w:w="2006" w:type="dxa"/>
            <w:tcBorders>
              <w:top w:val="nil"/>
              <w:left w:val="nil"/>
              <w:bottom w:val="nil"/>
              <w:right w:val="nil"/>
            </w:tcBorders>
            <w:shd w:val="clear" w:color="000000" w:fill="F2F2F2"/>
            <w:noWrap/>
            <w:vAlign w:val="bottom"/>
            <w:hideMark/>
          </w:tcPr>
          <w:p w14:paraId="017E7B0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-0.05* (-0.09, 0)</w:t>
            </w:r>
          </w:p>
        </w:tc>
        <w:tc>
          <w:tcPr>
            <w:tcW w:w="2006" w:type="dxa"/>
            <w:tcBorders>
              <w:top w:val="nil"/>
              <w:left w:val="nil"/>
              <w:bottom w:val="nil"/>
              <w:right w:val="nil"/>
            </w:tcBorders>
            <w:shd w:val="clear" w:color="000000" w:fill="F2F2F2"/>
            <w:noWrap/>
            <w:vAlign w:val="bottom"/>
            <w:hideMark/>
          </w:tcPr>
          <w:p w14:paraId="6C41ABD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-0.39 (-22.89, 22.1)</w:t>
            </w:r>
          </w:p>
        </w:tc>
        <w:tc>
          <w:tcPr>
            <w:tcW w:w="2006" w:type="dxa"/>
            <w:tcBorders>
              <w:top w:val="nil"/>
              <w:left w:val="nil"/>
              <w:bottom w:val="nil"/>
              <w:right w:val="nil"/>
            </w:tcBorders>
            <w:shd w:val="clear" w:color="000000" w:fill="F2F2F2"/>
            <w:noWrap/>
            <w:vAlign w:val="bottom"/>
            <w:hideMark/>
          </w:tcPr>
          <w:p w14:paraId="2E69D56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0.43 (-2.29, 3.15)</w:t>
            </w:r>
          </w:p>
        </w:tc>
        <w:tc>
          <w:tcPr>
            <w:tcW w:w="2006" w:type="dxa"/>
            <w:tcBorders>
              <w:top w:val="nil"/>
              <w:left w:val="nil"/>
              <w:bottom w:val="nil"/>
              <w:right w:val="nil"/>
            </w:tcBorders>
            <w:shd w:val="clear" w:color="000000" w:fill="F2F2F2"/>
            <w:noWrap/>
            <w:vAlign w:val="bottom"/>
            <w:hideMark/>
          </w:tcPr>
          <w:p w14:paraId="2D2BEF3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6.05 (-17.89, 29.98)</w:t>
            </w:r>
          </w:p>
        </w:tc>
        <w:tc>
          <w:tcPr>
            <w:tcW w:w="2007" w:type="dxa"/>
            <w:tcBorders>
              <w:top w:val="nil"/>
              <w:left w:val="nil"/>
              <w:bottom w:val="nil"/>
              <w:right w:val="nil"/>
            </w:tcBorders>
            <w:shd w:val="clear" w:color="000000" w:fill="F2F2F2"/>
            <w:noWrap/>
            <w:vAlign w:val="bottom"/>
            <w:hideMark/>
          </w:tcPr>
          <w:p w14:paraId="0985BA7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DD0367" w:rsidRPr="00A80562" w14:paraId="5B55E2CD" w14:textId="77777777" w:rsidTr="00DD0367">
        <w:trPr>
          <w:trHeight w:val="257"/>
        </w:trPr>
        <w:tc>
          <w:tcPr>
            <w:tcW w:w="236" w:type="dxa"/>
            <w:tcBorders>
              <w:top w:val="nil"/>
              <w:left w:val="nil"/>
              <w:bottom w:val="nil"/>
              <w:right w:val="nil"/>
            </w:tcBorders>
            <w:shd w:val="clear" w:color="auto" w:fill="auto"/>
            <w:noWrap/>
            <w:vAlign w:val="bottom"/>
            <w:hideMark/>
          </w:tcPr>
          <w:p w14:paraId="616824C8"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73580391"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Discharge assessments</w:t>
            </w:r>
          </w:p>
        </w:tc>
        <w:tc>
          <w:tcPr>
            <w:tcW w:w="2006" w:type="dxa"/>
            <w:tcBorders>
              <w:top w:val="nil"/>
              <w:left w:val="single" w:sz="4" w:space="0" w:color="auto"/>
              <w:bottom w:val="nil"/>
              <w:right w:val="nil"/>
            </w:tcBorders>
            <w:shd w:val="clear" w:color="auto" w:fill="auto"/>
            <w:noWrap/>
            <w:vAlign w:val="bottom"/>
            <w:hideMark/>
          </w:tcPr>
          <w:p w14:paraId="128DB5A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26.79*** (23.61, 29.97)</w:t>
            </w:r>
          </w:p>
        </w:tc>
        <w:tc>
          <w:tcPr>
            <w:tcW w:w="2006" w:type="dxa"/>
            <w:tcBorders>
              <w:top w:val="nil"/>
              <w:left w:val="nil"/>
              <w:bottom w:val="nil"/>
              <w:right w:val="nil"/>
            </w:tcBorders>
            <w:shd w:val="clear" w:color="auto" w:fill="auto"/>
            <w:noWrap/>
            <w:vAlign w:val="bottom"/>
            <w:hideMark/>
          </w:tcPr>
          <w:p w14:paraId="617DC75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(-0.03, 0.03)</w:t>
            </w:r>
          </w:p>
        </w:tc>
        <w:tc>
          <w:tcPr>
            <w:tcW w:w="2006" w:type="dxa"/>
            <w:tcBorders>
              <w:top w:val="nil"/>
              <w:left w:val="nil"/>
              <w:bottom w:val="nil"/>
              <w:right w:val="nil"/>
            </w:tcBorders>
            <w:shd w:val="clear" w:color="auto" w:fill="auto"/>
            <w:noWrap/>
            <w:vAlign w:val="bottom"/>
            <w:hideMark/>
          </w:tcPr>
          <w:p w14:paraId="3154427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-9.7 (-20.52, 1.12)</w:t>
            </w:r>
          </w:p>
        </w:tc>
        <w:tc>
          <w:tcPr>
            <w:tcW w:w="2006" w:type="dxa"/>
            <w:tcBorders>
              <w:top w:val="nil"/>
              <w:left w:val="nil"/>
              <w:bottom w:val="nil"/>
              <w:right w:val="nil"/>
            </w:tcBorders>
            <w:shd w:val="clear" w:color="auto" w:fill="auto"/>
            <w:noWrap/>
            <w:vAlign w:val="bottom"/>
            <w:hideMark/>
          </w:tcPr>
          <w:p w14:paraId="0887D45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0.16 (-1.45, 1.76)</w:t>
            </w:r>
          </w:p>
        </w:tc>
        <w:tc>
          <w:tcPr>
            <w:tcW w:w="2006" w:type="dxa"/>
            <w:tcBorders>
              <w:top w:val="nil"/>
              <w:left w:val="nil"/>
              <w:bottom w:val="nil"/>
              <w:right w:val="nil"/>
            </w:tcBorders>
            <w:shd w:val="clear" w:color="auto" w:fill="auto"/>
            <w:noWrap/>
            <w:vAlign w:val="bottom"/>
            <w:hideMark/>
          </w:tcPr>
          <w:p w14:paraId="5DE9A4A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-7.37 (-25.09, 10.35)</w:t>
            </w:r>
          </w:p>
        </w:tc>
        <w:tc>
          <w:tcPr>
            <w:tcW w:w="2007" w:type="dxa"/>
            <w:tcBorders>
              <w:top w:val="nil"/>
              <w:left w:val="nil"/>
              <w:bottom w:val="nil"/>
              <w:right w:val="nil"/>
            </w:tcBorders>
            <w:shd w:val="clear" w:color="auto" w:fill="auto"/>
            <w:noWrap/>
            <w:vAlign w:val="bottom"/>
            <w:hideMark/>
          </w:tcPr>
          <w:p w14:paraId="675FA55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623DA61F" w14:textId="77777777" w:rsidTr="00DD0367">
        <w:trPr>
          <w:trHeight w:val="257"/>
        </w:trPr>
        <w:tc>
          <w:tcPr>
            <w:tcW w:w="3261" w:type="dxa"/>
            <w:gridSpan w:val="2"/>
            <w:tcBorders>
              <w:top w:val="nil"/>
              <w:left w:val="nil"/>
              <w:bottom w:val="single" w:sz="4" w:space="0" w:color="auto"/>
              <w:right w:val="nil"/>
            </w:tcBorders>
            <w:shd w:val="clear" w:color="auto" w:fill="auto"/>
            <w:noWrap/>
            <w:vAlign w:val="bottom"/>
            <w:hideMark/>
          </w:tcPr>
          <w:p w14:paraId="08EAAC2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HoNOS scores:</w:t>
            </w:r>
          </w:p>
        </w:tc>
        <w:tc>
          <w:tcPr>
            <w:tcW w:w="2006" w:type="dxa"/>
            <w:tcBorders>
              <w:top w:val="nil"/>
              <w:left w:val="single" w:sz="4" w:space="0" w:color="auto"/>
              <w:bottom w:val="single" w:sz="4" w:space="0" w:color="auto"/>
              <w:right w:val="nil"/>
            </w:tcBorders>
            <w:shd w:val="clear" w:color="auto" w:fill="auto"/>
            <w:noWrap/>
            <w:vAlign w:val="bottom"/>
            <w:hideMark/>
          </w:tcPr>
          <w:p w14:paraId="2DDB8AF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5A7013E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18B878C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77FD7D4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52BBB54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7" w:type="dxa"/>
            <w:tcBorders>
              <w:top w:val="nil"/>
              <w:left w:val="nil"/>
              <w:bottom w:val="single" w:sz="4" w:space="0" w:color="auto"/>
              <w:right w:val="nil"/>
            </w:tcBorders>
            <w:shd w:val="clear" w:color="auto" w:fill="auto"/>
            <w:noWrap/>
            <w:vAlign w:val="bottom"/>
            <w:hideMark/>
          </w:tcPr>
          <w:p w14:paraId="06255BC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DD0367" w:rsidRPr="00A80562" w14:paraId="132BF9A1" w14:textId="77777777" w:rsidTr="00DD0367">
        <w:trPr>
          <w:trHeight w:val="257"/>
        </w:trPr>
        <w:tc>
          <w:tcPr>
            <w:tcW w:w="236" w:type="dxa"/>
            <w:tcBorders>
              <w:top w:val="nil"/>
              <w:left w:val="nil"/>
              <w:bottom w:val="nil"/>
              <w:right w:val="nil"/>
            </w:tcBorders>
            <w:shd w:val="clear" w:color="auto" w:fill="auto"/>
            <w:noWrap/>
            <w:vAlign w:val="bottom"/>
            <w:hideMark/>
          </w:tcPr>
          <w:p w14:paraId="721AD723"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0ABC5ECB"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total score</w:t>
            </w:r>
          </w:p>
        </w:tc>
        <w:tc>
          <w:tcPr>
            <w:tcW w:w="2006" w:type="dxa"/>
            <w:tcBorders>
              <w:top w:val="nil"/>
              <w:left w:val="single" w:sz="4" w:space="0" w:color="auto"/>
              <w:bottom w:val="nil"/>
              <w:right w:val="nil"/>
            </w:tcBorders>
            <w:shd w:val="clear" w:color="000000" w:fill="F2F2F2"/>
            <w:noWrap/>
            <w:vAlign w:val="bottom"/>
            <w:hideMark/>
          </w:tcPr>
          <w:p w14:paraId="778D35A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12.166*** (12.028, 12.304)</w:t>
            </w:r>
          </w:p>
        </w:tc>
        <w:tc>
          <w:tcPr>
            <w:tcW w:w="2006" w:type="dxa"/>
            <w:tcBorders>
              <w:top w:val="nil"/>
              <w:left w:val="nil"/>
              <w:bottom w:val="nil"/>
              <w:right w:val="nil"/>
            </w:tcBorders>
            <w:shd w:val="clear" w:color="000000" w:fill="F2F2F2"/>
            <w:noWrap/>
            <w:vAlign w:val="bottom"/>
            <w:hideMark/>
          </w:tcPr>
          <w:p w14:paraId="7F4F884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-0.006*** (-0.007, -0.005)</w:t>
            </w:r>
          </w:p>
        </w:tc>
        <w:tc>
          <w:tcPr>
            <w:tcW w:w="2006" w:type="dxa"/>
            <w:tcBorders>
              <w:top w:val="nil"/>
              <w:left w:val="nil"/>
              <w:bottom w:val="nil"/>
              <w:right w:val="nil"/>
            </w:tcBorders>
            <w:shd w:val="clear" w:color="000000" w:fill="F2F2F2"/>
            <w:noWrap/>
            <w:vAlign w:val="bottom"/>
            <w:hideMark/>
          </w:tcPr>
          <w:p w14:paraId="292BF28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-0.209 (-0.435, 0.017)</w:t>
            </w:r>
          </w:p>
        </w:tc>
        <w:tc>
          <w:tcPr>
            <w:tcW w:w="2006" w:type="dxa"/>
            <w:tcBorders>
              <w:top w:val="nil"/>
              <w:left w:val="nil"/>
              <w:bottom w:val="nil"/>
              <w:right w:val="nil"/>
            </w:tcBorders>
            <w:shd w:val="clear" w:color="000000" w:fill="F2F2F2"/>
            <w:noWrap/>
            <w:vAlign w:val="bottom"/>
            <w:hideMark/>
          </w:tcPr>
          <w:p w14:paraId="1603B35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0.06*** (0.033, 0.087)</w:t>
            </w:r>
          </w:p>
        </w:tc>
        <w:tc>
          <w:tcPr>
            <w:tcW w:w="2006" w:type="dxa"/>
            <w:tcBorders>
              <w:top w:val="nil"/>
              <w:left w:val="nil"/>
              <w:bottom w:val="nil"/>
              <w:right w:val="nil"/>
            </w:tcBorders>
            <w:shd w:val="clear" w:color="000000" w:fill="F2F2F2"/>
            <w:noWrap/>
            <w:vAlign w:val="bottom"/>
            <w:hideMark/>
          </w:tcPr>
          <w:p w14:paraId="2704782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0.687*** (0.373, 1.001)</w:t>
            </w:r>
          </w:p>
        </w:tc>
        <w:tc>
          <w:tcPr>
            <w:tcW w:w="2007" w:type="dxa"/>
            <w:tcBorders>
              <w:top w:val="nil"/>
              <w:left w:val="nil"/>
              <w:bottom w:val="nil"/>
              <w:right w:val="nil"/>
            </w:tcBorders>
            <w:shd w:val="clear" w:color="000000" w:fill="F2F2F2"/>
            <w:noWrap/>
            <w:vAlign w:val="bottom"/>
            <w:hideMark/>
          </w:tcPr>
          <w:p w14:paraId="7181948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45098A19"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19144F4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Overactive, aggressive, disruptive or agitated behaviour</w:t>
            </w:r>
          </w:p>
        </w:tc>
        <w:tc>
          <w:tcPr>
            <w:tcW w:w="2006" w:type="dxa"/>
            <w:tcBorders>
              <w:top w:val="nil"/>
              <w:left w:val="single" w:sz="4" w:space="0" w:color="auto"/>
              <w:bottom w:val="nil"/>
              <w:right w:val="nil"/>
            </w:tcBorders>
            <w:shd w:val="clear" w:color="auto" w:fill="auto"/>
            <w:noWrap/>
            <w:vAlign w:val="bottom"/>
            <w:hideMark/>
          </w:tcPr>
          <w:p w14:paraId="3B31728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7303F09F"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7932F174"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3265EC59"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0B28D9E4"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393BC536" w14:textId="77777777" w:rsidR="00DD0367" w:rsidRPr="00A80562" w:rsidRDefault="00DD0367" w:rsidP="00DD0367">
            <w:pPr>
              <w:spacing w:after="0" w:line="240" w:lineRule="auto"/>
              <w:jc w:val="left"/>
              <w:rPr>
                <w:rFonts w:eastAsia="Times New Roman"/>
                <w:lang w:eastAsia="en-GB"/>
              </w:rPr>
            </w:pPr>
          </w:p>
        </w:tc>
      </w:tr>
      <w:tr w:rsidR="00DD0367" w:rsidRPr="00A80562" w14:paraId="4AC689C2" w14:textId="77777777" w:rsidTr="00DD0367">
        <w:trPr>
          <w:trHeight w:val="257"/>
        </w:trPr>
        <w:tc>
          <w:tcPr>
            <w:tcW w:w="236" w:type="dxa"/>
            <w:tcBorders>
              <w:top w:val="nil"/>
              <w:left w:val="nil"/>
              <w:bottom w:val="nil"/>
              <w:right w:val="nil"/>
            </w:tcBorders>
            <w:shd w:val="clear" w:color="auto" w:fill="auto"/>
            <w:noWrap/>
            <w:vAlign w:val="bottom"/>
            <w:hideMark/>
          </w:tcPr>
          <w:p w14:paraId="1A03C6FD"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1DF58C96"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701F249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47.93*** (46.93, 48.92)</w:t>
            </w:r>
          </w:p>
        </w:tc>
        <w:tc>
          <w:tcPr>
            <w:tcW w:w="2006" w:type="dxa"/>
            <w:tcBorders>
              <w:top w:val="nil"/>
              <w:left w:val="nil"/>
              <w:bottom w:val="nil"/>
              <w:right w:val="nil"/>
            </w:tcBorders>
            <w:shd w:val="clear" w:color="000000" w:fill="F2F2F2"/>
            <w:noWrap/>
            <w:vAlign w:val="bottom"/>
            <w:hideMark/>
          </w:tcPr>
          <w:p w14:paraId="75CAB2D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 (-0.02, 0)</w:t>
            </w:r>
          </w:p>
        </w:tc>
        <w:tc>
          <w:tcPr>
            <w:tcW w:w="2006" w:type="dxa"/>
            <w:tcBorders>
              <w:top w:val="nil"/>
              <w:left w:val="nil"/>
              <w:bottom w:val="nil"/>
              <w:right w:val="nil"/>
            </w:tcBorders>
            <w:shd w:val="clear" w:color="000000" w:fill="F2F2F2"/>
            <w:noWrap/>
            <w:vAlign w:val="bottom"/>
            <w:hideMark/>
          </w:tcPr>
          <w:p w14:paraId="7C3C4FD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0.42 (-1.21, 2.05)</w:t>
            </w:r>
          </w:p>
        </w:tc>
        <w:tc>
          <w:tcPr>
            <w:tcW w:w="2006" w:type="dxa"/>
            <w:tcBorders>
              <w:top w:val="nil"/>
              <w:left w:val="nil"/>
              <w:bottom w:val="nil"/>
              <w:right w:val="nil"/>
            </w:tcBorders>
            <w:shd w:val="clear" w:color="000000" w:fill="F2F2F2"/>
            <w:noWrap/>
            <w:vAlign w:val="bottom"/>
            <w:hideMark/>
          </w:tcPr>
          <w:p w14:paraId="30D0455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0.16 (-0.03, 0.35)</w:t>
            </w:r>
          </w:p>
        </w:tc>
        <w:tc>
          <w:tcPr>
            <w:tcW w:w="2006" w:type="dxa"/>
            <w:tcBorders>
              <w:top w:val="nil"/>
              <w:left w:val="nil"/>
              <w:bottom w:val="nil"/>
              <w:right w:val="nil"/>
            </w:tcBorders>
            <w:shd w:val="clear" w:color="000000" w:fill="F2F2F2"/>
            <w:noWrap/>
            <w:vAlign w:val="bottom"/>
            <w:hideMark/>
          </w:tcPr>
          <w:p w14:paraId="41022BF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2.81* (0.55, 5.07)</w:t>
            </w:r>
          </w:p>
        </w:tc>
        <w:tc>
          <w:tcPr>
            <w:tcW w:w="2007" w:type="dxa"/>
            <w:tcBorders>
              <w:top w:val="nil"/>
              <w:left w:val="nil"/>
              <w:bottom w:val="nil"/>
              <w:right w:val="nil"/>
            </w:tcBorders>
            <w:shd w:val="clear" w:color="000000" w:fill="F2F2F2"/>
            <w:noWrap/>
            <w:vAlign w:val="bottom"/>
            <w:hideMark/>
          </w:tcPr>
          <w:p w14:paraId="0B5EB15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217DC308" w14:textId="77777777" w:rsidTr="00DD0367">
        <w:trPr>
          <w:trHeight w:val="257"/>
        </w:trPr>
        <w:tc>
          <w:tcPr>
            <w:tcW w:w="236" w:type="dxa"/>
            <w:tcBorders>
              <w:top w:val="nil"/>
              <w:left w:val="nil"/>
              <w:bottom w:val="nil"/>
              <w:right w:val="nil"/>
            </w:tcBorders>
            <w:shd w:val="clear" w:color="auto" w:fill="auto"/>
            <w:noWrap/>
            <w:vAlign w:val="bottom"/>
            <w:hideMark/>
          </w:tcPr>
          <w:p w14:paraId="3D9FBCEE"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341FCE0E"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4330AF8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0.896*** (0.872, 0.919)</w:t>
            </w:r>
          </w:p>
        </w:tc>
        <w:tc>
          <w:tcPr>
            <w:tcW w:w="2006" w:type="dxa"/>
            <w:tcBorders>
              <w:top w:val="nil"/>
              <w:left w:val="nil"/>
              <w:bottom w:val="nil"/>
              <w:right w:val="nil"/>
            </w:tcBorders>
            <w:shd w:val="clear" w:color="auto" w:fill="auto"/>
            <w:noWrap/>
            <w:vAlign w:val="bottom"/>
            <w:hideMark/>
          </w:tcPr>
          <w:p w14:paraId="3DCA899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-0.001*** (-0.001, 0)</w:t>
            </w:r>
          </w:p>
        </w:tc>
        <w:tc>
          <w:tcPr>
            <w:tcW w:w="2006" w:type="dxa"/>
            <w:tcBorders>
              <w:top w:val="nil"/>
              <w:left w:val="nil"/>
              <w:bottom w:val="nil"/>
              <w:right w:val="nil"/>
            </w:tcBorders>
            <w:shd w:val="clear" w:color="auto" w:fill="auto"/>
            <w:noWrap/>
            <w:vAlign w:val="bottom"/>
            <w:hideMark/>
          </w:tcPr>
          <w:p w14:paraId="1E0E0F0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-0.09*** (-0.129, -0.052)</w:t>
            </w:r>
          </w:p>
        </w:tc>
        <w:tc>
          <w:tcPr>
            <w:tcW w:w="2006" w:type="dxa"/>
            <w:tcBorders>
              <w:top w:val="nil"/>
              <w:left w:val="nil"/>
              <w:bottom w:val="nil"/>
              <w:right w:val="nil"/>
            </w:tcBorders>
            <w:shd w:val="clear" w:color="auto" w:fill="auto"/>
            <w:noWrap/>
            <w:vAlign w:val="bottom"/>
            <w:hideMark/>
          </w:tcPr>
          <w:p w14:paraId="1C631B7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0.015*** (0.01, 0.019)</w:t>
            </w:r>
          </w:p>
        </w:tc>
        <w:tc>
          <w:tcPr>
            <w:tcW w:w="2006" w:type="dxa"/>
            <w:tcBorders>
              <w:top w:val="nil"/>
              <w:left w:val="nil"/>
              <w:bottom w:val="nil"/>
              <w:right w:val="nil"/>
            </w:tcBorders>
            <w:shd w:val="clear" w:color="auto" w:fill="auto"/>
            <w:noWrap/>
            <w:vAlign w:val="bottom"/>
            <w:hideMark/>
          </w:tcPr>
          <w:p w14:paraId="2122811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0.133*** (0.08, 0.186)</w:t>
            </w:r>
          </w:p>
        </w:tc>
        <w:tc>
          <w:tcPr>
            <w:tcW w:w="2007" w:type="dxa"/>
            <w:tcBorders>
              <w:top w:val="nil"/>
              <w:left w:val="nil"/>
              <w:bottom w:val="nil"/>
              <w:right w:val="nil"/>
            </w:tcBorders>
            <w:shd w:val="clear" w:color="auto" w:fill="auto"/>
            <w:noWrap/>
            <w:vAlign w:val="bottom"/>
            <w:hideMark/>
          </w:tcPr>
          <w:p w14:paraId="43BF6B2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53200473"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70AFCEE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Non-accidental self-injury</w:t>
            </w:r>
          </w:p>
        </w:tc>
        <w:tc>
          <w:tcPr>
            <w:tcW w:w="2006" w:type="dxa"/>
            <w:tcBorders>
              <w:top w:val="nil"/>
              <w:left w:val="single" w:sz="4" w:space="0" w:color="auto"/>
              <w:bottom w:val="nil"/>
              <w:right w:val="nil"/>
            </w:tcBorders>
            <w:shd w:val="clear" w:color="auto" w:fill="auto"/>
            <w:noWrap/>
            <w:vAlign w:val="bottom"/>
            <w:hideMark/>
          </w:tcPr>
          <w:p w14:paraId="23A1CC0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111C633D"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0917CDF7"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7145360C"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073768D8"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73BDCAF5" w14:textId="77777777" w:rsidR="00DD0367" w:rsidRPr="00A80562" w:rsidRDefault="00DD0367" w:rsidP="00DD0367">
            <w:pPr>
              <w:spacing w:after="0" w:line="240" w:lineRule="auto"/>
              <w:jc w:val="left"/>
              <w:rPr>
                <w:rFonts w:eastAsia="Times New Roman"/>
                <w:lang w:eastAsia="en-GB"/>
              </w:rPr>
            </w:pPr>
          </w:p>
        </w:tc>
      </w:tr>
      <w:tr w:rsidR="00DD0367" w:rsidRPr="00A80562" w14:paraId="04FAF7AB" w14:textId="77777777" w:rsidTr="00DD0367">
        <w:trPr>
          <w:trHeight w:val="257"/>
        </w:trPr>
        <w:tc>
          <w:tcPr>
            <w:tcW w:w="236" w:type="dxa"/>
            <w:tcBorders>
              <w:top w:val="nil"/>
              <w:left w:val="nil"/>
              <w:bottom w:val="nil"/>
              <w:right w:val="nil"/>
            </w:tcBorders>
            <w:shd w:val="clear" w:color="auto" w:fill="auto"/>
            <w:noWrap/>
            <w:vAlign w:val="bottom"/>
            <w:hideMark/>
          </w:tcPr>
          <w:p w14:paraId="0E579BE7"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5204A484"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17282D4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25.95*** (25.01, 26.9)</w:t>
            </w:r>
          </w:p>
        </w:tc>
        <w:tc>
          <w:tcPr>
            <w:tcW w:w="2006" w:type="dxa"/>
            <w:tcBorders>
              <w:top w:val="nil"/>
              <w:left w:val="nil"/>
              <w:bottom w:val="nil"/>
              <w:right w:val="nil"/>
            </w:tcBorders>
            <w:shd w:val="clear" w:color="000000" w:fill="F2F2F2"/>
            <w:noWrap/>
            <w:vAlign w:val="bottom"/>
            <w:hideMark/>
          </w:tcPr>
          <w:p w14:paraId="7B5CCD2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0.03*** (0.02, 0.04)</w:t>
            </w:r>
          </w:p>
        </w:tc>
        <w:tc>
          <w:tcPr>
            <w:tcW w:w="2006" w:type="dxa"/>
            <w:tcBorders>
              <w:top w:val="nil"/>
              <w:left w:val="nil"/>
              <w:bottom w:val="nil"/>
              <w:right w:val="nil"/>
            </w:tcBorders>
            <w:shd w:val="clear" w:color="000000" w:fill="F2F2F2"/>
            <w:noWrap/>
            <w:vAlign w:val="bottom"/>
            <w:hideMark/>
          </w:tcPr>
          <w:p w14:paraId="323780B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1.07 (-0.47, 2.62)</w:t>
            </w:r>
          </w:p>
        </w:tc>
        <w:tc>
          <w:tcPr>
            <w:tcW w:w="2006" w:type="dxa"/>
            <w:tcBorders>
              <w:top w:val="nil"/>
              <w:left w:val="nil"/>
              <w:bottom w:val="nil"/>
              <w:right w:val="nil"/>
            </w:tcBorders>
            <w:shd w:val="clear" w:color="000000" w:fill="F2F2F2"/>
            <w:noWrap/>
            <w:vAlign w:val="bottom"/>
            <w:hideMark/>
          </w:tcPr>
          <w:p w14:paraId="1652298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-0.09 (-0.28, 0.09)</w:t>
            </w:r>
          </w:p>
        </w:tc>
        <w:tc>
          <w:tcPr>
            <w:tcW w:w="2006" w:type="dxa"/>
            <w:tcBorders>
              <w:top w:val="nil"/>
              <w:left w:val="nil"/>
              <w:bottom w:val="nil"/>
              <w:right w:val="nil"/>
            </w:tcBorders>
            <w:shd w:val="clear" w:color="000000" w:fill="F2F2F2"/>
            <w:noWrap/>
            <w:vAlign w:val="bottom"/>
            <w:hideMark/>
          </w:tcPr>
          <w:p w14:paraId="690FDE3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-0.34 (-2.48, 1.81)</w:t>
            </w:r>
          </w:p>
        </w:tc>
        <w:tc>
          <w:tcPr>
            <w:tcW w:w="2007" w:type="dxa"/>
            <w:tcBorders>
              <w:top w:val="nil"/>
              <w:left w:val="nil"/>
              <w:bottom w:val="nil"/>
              <w:right w:val="nil"/>
            </w:tcBorders>
            <w:shd w:val="clear" w:color="000000" w:fill="F2F2F2"/>
            <w:noWrap/>
            <w:vAlign w:val="bottom"/>
            <w:hideMark/>
          </w:tcPr>
          <w:p w14:paraId="20CD747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51C97125" w14:textId="77777777" w:rsidTr="00DD0367">
        <w:trPr>
          <w:trHeight w:val="257"/>
        </w:trPr>
        <w:tc>
          <w:tcPr>
            <w:tcW w:w="236" w:type="dxa"/>
            <w:tcBorders>
              <w:top w:val="nil"/>
              <w:left w:val="nil"/>
              <w:bottom w:val="nil"/>
              <w:right w:val="nil"/>
            </w:tcBorders>
            <w:shd w:val="clear" w:color="auto" w:fill="auto"/>
            <w:noWrap/>
            <w:vAlign w:val="bottom"/>
            <w:hideMark/>
          </w:tcPr>
          <w:p w14:paraId="2AFC1232"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2352CF0C"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3ADDD2C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0.517*** (0.496, 0.538)</w:t>
            </w:r>
          </w:p>
        </w:tc>
        <w:tc>
          <w:tcPr>
            <w:tcW w:w="2006" w:type="dxa"/>
            <w:tcBorders>
              <w:top w:val="nil"/>
              <w:left w:val="nil"/>
              <w:bottom w:val="nil"/>
              <w:right w:val="nil"/>
            </w:tcBorders>
            <w:shd w:val="clear" w:color="auto" w:fill="auto"/>
            <w:noWrap/>
            <w:vAlign w:val="bottom"/>
            <w:hideMark/>
          </w:tcPr>
          <w:p w14:paraId="6AEB165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0.001)</w:t>
            </w:r>
          </w:p>
        </w:tc>
        <w:tc>
          <w:tcPr>
            <w:tcW w:w="2006" w:type="dxa"/>
            <w:tcBorders>
              <w:top w:val="nil"/>
              <w:left w:val="nil"/>
              <w:bottom w:val="nil"/>
              <w:right w:val="nil"/>
            </w:tcBorders>
            <w:shd w:val="clear" w:color="auto" w:fill="auto"/>
            <w:noWrap/>
            <w:vAlign w:val="bottom"/>
            <w:hideMark/>
          </w:tcPr>
          <w:p w14:paraId="57C42A5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-0.04* (-0.074, -0.006)</w:t>
            </w:r>
          </w:p>
        </w:tc>
        <w:tc>
          <w:tcPr>
            <w:tcW w:w="2006" w:type="dxa"/>
            <w:tcBorders>
              <w:top w:val="nil"/>
              <w:left w:val="nil"/>
              <w:bottom w:val="nil"/>
              <w:right w:val="nil"/>
            </w:tcBorders>
            <w:shd w:val="clear" w:color="auto" w:fill="auto"/>
            <w:noWrap/>
            <w:vAlign w:val="bottom"/>
            <w:hideMark/>
          </w:tcPr>
          <w:p w14:paraId="1B98603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0.005* (0.001, 0.009)</w:t>
            </w:r>
          </w:p>
        </w:tc>
        <w:tc>
          <w:tcPr>
            <w:tcW w:w="2006" w:type="dxa"/>
            <w:tcBorders>
              <w:top w:val="nil"/>
              <w:left w:val="nil"/>
              <w:bottom w:val="nil"/>
              <w:right w:val="nil"/>
            </w:tcBorders>
            <w:shd w:val="clear" w:color="auto" w:fill="auto"/>
            <w:noWrap/>
            <w:vAlign w:val="bottom"/>
            <w:hideMark/>
          </w:tcPr>
          <w:p w14:paraId="3FB0AC7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0.032 (-0.015, 0.079)</w:t>
            </w:r>
          </w:p>
        </w:tc>
        <w:tc>
          <w:tcPr>
            <w:tcW w:w="2007" w:type="dxa"/>
            <w:tcBorders>
              <w:top w:val="nil"/>
              <w:left w:val="nil"/>
              <w:bottom w:val="nil"/>
              <w:right w:val="nil"/>
            </w:tcBorders>
            <w:shd w:val="clear" w:color="auto" w:fill="auto"/>
            <w:noWrap/>
            <w:vAlign w:val="bottom"/>
            <w:hideMark/>
          </w:tcPr>
          <w:p w14:paraId="77D56D2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7DF45F4B"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38067B9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Problem-drinking or drug-taking</w:t>
            </w:r>
          </w:p>
        </w:tc>
        <w:tc>
          <w:tcPr>
            <w:tcW w:w="2006" w:type="dxa"/>
            <w:tcBorders>
              <w:top w:val="nil"/>
              <w:left w:val="single" w:sz="4" w:space="0" w:color="auto"/>
              <w:bottom w:val="nil"/>
              <w:right w:val="nil"/>
            </w:tcBorders>
            <w:shd w:val="clear" w:color="auto" w:fill="auto"/>
            <w:noWrap/>
            <w:vAlign w:val="bottom"/>
            <w:hideMark/>
          </w:tcPr>
          <w:p w14:paraId="6BBF75C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2B16B9D9"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21E4903A"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587DC51B"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6BFF73F3"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421014A2" w14:textId="77777777" w:rsidR="00DD0367" w:rsidRPr="00A80562" w:rsidRDefault="00DD0367" w:rsidP="00DD0367">
            <w:pPr>
              <w:spacing w:after="0" w:line="240" w:lineRule="auto"/>
              <w:jc w:val="left"/>
              <w:rPr>
                <w:rFonts w:eastAsia="Times New Roman"/>
                <w:lang w:eastAsia="en-GB"/>
              </w:rPr>
            </w:pPr>
          </w:p>
        </w:tc>
      </w:tr>
      <w:tr w:rsidR="00DD0367" w:rsidRPr="00A80562" w14:paraId="7A2BD89B" w14:textId="77777777" w:rsidTr="00DD0367">
        <w:trPr>
          <w:trHeight w:val="257"/>
        </w:trPr>
        <w:tc>
          <w:tcPr>
            <w:tcW w:w="236" w:type="dxa"/>
            <w:tcBorders>
              <w:top w:val="nil"/>
              <w:left w:val="nil"/>
              <w:bottom w:val="nil"/>
              <w:right w:val="nil"/>
            </w:tcBorders>
            <w:shd w:val="clear" w:color="auto" w:fill="auto"/>
            <w:noWrap/>
            <w:vAlign w:val="bottom"/>
            <w:hideMark/>
          </w:tcPr>
          <w:p w14:paraId="22F8B549"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3A4F80DF"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170FAC3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23.1*** (22.23, 23.97)</w:t>
            </w:r>
          </w:p>
        </w:tc>
        <w:tc>
          <w:tcPr>
            <w:tcW w:w="2006" w:type="dxa"/>
            <w:tcBorders>
              <w:top w:val="nil"/>
              <w:left w:val="nil"/>
              <w:bottom w:val="nil"/>
              <w:right w:val="nil"/>
            </w:tcBorders>
            <w:shd w:val="clear" w:color="000000" w:fill="F2F2F2"/>
            <w:noWrap/>
            <w:vAlign w:val="bottom"/>
            <w:hideMark/>
          </w:tcPr>
          <w:p w14:paraId="4F4DFB6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 (0, 0.01)</w:t>
            </w:r>
          </w:p>
        </w:tc>
        <w:tc>
          <w:tcPr>
            <w:tcW w:w="2006" w:type="dxa"/>
            <w:tcBorders>
              <w:top w:val="nil"/>
              <w:left w:val="nil"/>
              <w:bottom w:val="nil"/>
              <w:right w:val="nil"/>
            </w:tcBorders>
            <w:shd w:val="clear" w:color="000000" w:fill="F2F2F2"/>
            <w:noWrap/>
            <w:vAlign w:val="bottom"/>
            <w:hideMark/>
          </w:tcPr>
          <w:p w14:paraId="7DB2F80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-0.95 (-2.37, 0.47)</w:t>
            </w:r>
          </w:p>
        </w:tc>
        <w:tc>
          <w:tcPr>
            <w:tcW w:w="2006" w:type="dxa"/>
            <w:tcBorders>
              <w:top w:val="nil"/>
              <w:left w:val="nil"/>
              <w:bottom w:val="nil"/>
              <w:right w:val="nil"/>
            </w:tcBorders>
            <w:shd w:val="clear" w:color="000000" w:fill="F2F2F2"/>
            <w:noWrap/>
            <w:vAlign w:val="bottom"/>
            <w:hideMark/>
          </w:tcPr>
          <w:p w14:paraId="55E1512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0.06 (-0.1, 0.23)</w:t>
            </w:r>
          </w:p>
        </w:tc>
        <w:tc>
          <w:tcPr>
            <w:tcW w:w="2006" w:type="dxa"/>
            <w:tcBorders>
              <w:top w:val="nil"/>
              <w:left w:val="nil"/>
              <w:bottom w:val="nil"/>
              <w:right w:val="nil"/>
            </w:tcBorders>
            <w:shd w:val="clear" w:color="000000" w:fill="F2F2F2"/>
            <w:noWrap/>
            <w:vAlign w:val="bottom"/>
            <w:hideMark/>
          </w:tcPr>
          <w:p w14:paraId="3FF2F25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 (-1.96, 1.98)</w:t>
            </w:r>
          </w:p>
        </w:tc>
        <w:tc>
          <w:tcPr>
            <w:tcW w:w="2007" w:type="dxa"/>
            <w:tcBorders>
              <w:top w:val="nil"/>
              <w:left w:val="nil"/>
              <w:bottom w:val="nil"/>
              <w:right w:val="nil"/>
            </w:tcBorders>
            <w:shd w:val="clear" w:color="000000" w:fill="F2F2F2"/>
            <w:noWrap/>
            <w:vAlign w:val="bottom"/>
            <w:hideMark/>
          </w:tcPr>
          <w:p w14:paraId="66482E7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399DC3B4" w14:textId="77777777" w:rsidTr="00DD0367">
        <w:trPr>
          <w:trHeight w:val="257"/>
        </w:trPr>
        <w:tc>
          <w:tcPr>
            <w:tcW w:w="236" w:type="dxa"/>
            <w:tcBorders>
              <w:top w:val="nil"/>
              <w:left w:val="nil"/>
              <w:bottom w:val="nil"/>
              <w:right w:val="nil"/>
            </w:tcBorders>
            <w:shd w:val="clear" w:color="auto" w:fill="auto"/>
            <w:noWrap/>
            <w:vAlign w:val="bottom"/>
            <w:hideMark/>
          </w:tcPr>
          <w:p w14:paraId="7F21ADC9"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4A150569"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237D5DB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0.469*** (0.45, 0.488)</w:t>
            </w:r>
          </w:p>
        </w:tc>
        <w:tc>
          <w:tcPr>
            <w:tcW w:w="2006" w:type="dxa"/>
            <w:tcBorders>
              <w:top w:val="nil"/>
              <w:left w:val="nil"/>
              <w:bottom w:val="nil"/>
              <w:right w:val="nil"/>
            </w:tcBorders>
            <w:shd w:val="clear" w:color="auto" w:fill="auto"/>
            <w:noWrap/>
            <w:vAlign w:val="bottom"/>
            <w:hideMark/>
          </w:tcPr>
          <w:p w14:paraId="1B80334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06" w:type="dxa"/>
            <w:tcBorders>
              <w:top w:val="nil"/>
              <w:left w:val="nil"/>
              <w:bottom w:val="nil"/>
              <w:right w:val="nil"/>
            </w:tcBorders>
            <w:shd w:val="clear" w:color="auto" w:fill="auto"/>
            <w:noWrap/>
            <w:vAlign w:val="bottom"/>
            <w:hideMark/>
          </w:tcPr>
          <w:p w14:paraId="203B2A4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-0.086*** (-0.117, -0.055)</w:t>
            </w:r>
          </w:p>
        </w:tc>
        <w:tc>
          <w:tcPr>
            <w:tcW w:w="2006" w:type="dxa"/>
            <w:tcBorders>
              <w:top w:val="nil"/>
              <w:left w:val="nil"/>
              <w:bottom w:val="nil"/>
              <w:right w:val="nil"/>
            </w:tcBorders>
            <w:shd w:val="clear" w:color="auto" w:fill="auto"/>
            <w:noWrap/>
            <w:vAlign w:val="bottom"/>
            <w:hideMark/>
          </w:tcPr>
          <w:p w14:paraId="18D2456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0.008*** (0.004, 0.011)</w:t>
            </w:r>
          </w:p>
        </w:tc>
        <w:tc>
          <w:tcPr>
            <w:tcW w:w="2006" w:type="dxa"/>
            <w:tcBorders>
              <w:top w:val="nil"/>
              <w:left w:val="nil"/>
              <w:bottom w:val="nil"/>
              <w:right w:val="nil"/>
            </w:tcBorders>
            <w:shd w:val="clear" w:color="auto" w:fill="auto"/>
            <w:noWrap/>
            <w:vAlign w:val="bottom"/>
            <w:hideMark/>
          </w:tcPr>
          <w:p w14:paraId="55BC74A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0.027 (-0.016, 0.069)</w:t>
            </w:r>
          </w:p>
        </w:tc>
        <w:tc>
          <w:tcPr>
            <w:tcW w:w="2007" w:type="dxa"/>
            <w:tcBorders>
              <w:top w:val="nil"/>
              <w:left w:val="nil"/>
              <w:bottom w:val="nil"/>
              <w:right w:val="nil"/>
            </w:tcBorders>
            <w:shd w:val="clear" w:color="auto" w:fill="auto"/>
            <w:noWrap/>
            <w:vAlign w:val="bottom"/>
            <w:hideMark/>
          </w:tcPr>
          <w:p w14:paraId="39D4F3E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22FEEDFF"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7469A19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Cognitive problems</w:t>
            </w:r>
          </w:p>
        </w:tc>
        <w:tc>
          <w:tcPr>
            <w:tcW w:w="2006" w:type="dxa"/>
            <w:tcBorders>
              <w:top w:val="nil"/>
              <w:left w:val="single" w:sz="4" w:space="0" w:color="auto"/>
              <w:bottom w:val="nil"/>
              <w:right w:val="nil"/>
            </w:tcBorders>
            <w:shd w:val="clear" w:color="auto" w:fill="auto"/>
            <w:noWrap/>
            <w:vAlign w:val="bottom"/>
            <w:hideMark/>
          </w:tcPr>
          <w:p w14:paraId="1369D9F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5EDC32D8"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40977F4E"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0EFBB053"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68A82396"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156A1D9E" w14:textId="77777777" w:rsidR="00DD0367" w:rsidRPr="00A80562" w:rsidRDefault="00DD0367" w:rsidP="00DD0367">
            <w:pPr>
              <w:spacing w:after="0" w:line="240" w:lineRule="auto"/>
              <w:jc w:val="left"/>
              <w:rPr>
                <w:rFonts w:eastAsia="Times New Roman"/>
                <w:lang w:eastAsia="en-GB"/>
              </w:rPr>
            </w:pPr>
          </w:p>
        </w:tc>
      </w:tr>
      <w:tr w:rsidR="00DD0367" w:rsidRPr="00A80562" w14:paraId="284C7533" w14:textId="77777777" w:rsidTr="00DD0367">
        <w:trPr>
          <w:trHeight w:val="257"/>
        </w:trPr>
        <w:tc>
          <w:tcPr>
            <w:tcW w:w="236" w:type="dxa"/>
            <w:tcBorders>
              <w:top w:val="nil"/>
              <w:left w:val="nil"/>
              <w:bottom w:val="nil"/>
              <w:right w:val="nil"/>
            </w:tcBorders>
            <w:shd w:val="clear" w:color="auto" w:fill="auto"/>
            <w:noWrap/>
            <w:vAlign w:val="bottom"/>
            <w:hideMark/>
          </w:tcPr>
          <w:p w14:paraId="28FD20F0"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11E54DBD"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24E4082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46.06*** (44.29, 47.84)</w:t>
            </w:r>
          </w:p>
        </w:tc>
        <w:tc>
          <w:tcPr>
            <w:tcW w:w="2006" w:type="dxa"/>
            <w:tcBorders>
              <w:top w:val="nil"/>
              <w:left w:val="nil"/>
              <w:bottom w:val="nil"/>
              <w:right w:val="nil"/>
            </w:tcBorders>
            <w:shd w:val="clear" w:color="000000" w:fill="F2F2F2"/>
            <w:noWrap/>
            <w:vAlign w:val="bottom"/>
            <w:hideMark/>
          </w:tcPr>
          <w:p w14:paraId="5B18A3D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-0.04*** (-0.05, -0.02)</w:t>
            </w:r>
          </w:p>
        </w:tc>
        <w:tc>
          <w:tcPr>
            <w:tcW w:w="2006" w:type="dxa"/>
            <w:tcBorders>
              <w:top w:val="nil"/>
              <w:left w:val="nil"/>
              <w:bottom w:val="nil"/>
              <w:right w:val="nil"/>
            </w:tcBorders>
            <w:shd w:val="clear" w:color="000000" w:fill="F2F2F2"/>
            <w:noWrap/>
            <w:vAlign w:val="bottom"/>
            <w:hideMark/>
          </w:tcPr>
          <w:p w14:paraId="5B53593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-5.43*** (-6.82, -4.03)</w:t>
            </w:r>
          </w:p>
        </w:tc>
        <w:tc>
          <w:tcPr>
            <w:tcW w:w="2006" w:type="dxa"/>
            <w:tcBorders>
              <w:top w:val="nil"/>
              <w:left w:val="nil"/>
              <w:bottom w:val="nil"/>
              <w:right w:val="nil"/>
            </w:tcBorders>
            <w:shd w:val="clear" w:color="000000" w:fill="F2F2F2"/>
            <w:noWrap/>
            <w:vAlign w:val="bottom"/>
            <w:hideMark/>
          </w:tcPr>
          <w:p w14:paraId="2793279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0.55*** (0.34, 0.76)</w:t>
            </w:r>
          </w:p>
        </w:tc>
        <w:tc>
          <w:tcPr>
            <w:tcW w:w="2006" w:type="dxa"/>
            <w:tcBorders>
              <w:top w:val="nil"/>
              <w:left w:val="nil"/>
              <w:bottom w:val="nil"/>
              <w:right w:val="nil"/>
            </w:tcBorders>
            <w:shd w:val="clear" w:color="000000" w:fill="F2F2F2"/>
            <w:noWrap/>
            <w:vAlign w:val="bottom"/>
            <w:hideMark/>
          </w:tcPr>
          <w:p w14:paraId="5363A38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2.85 (-0.06, 5.77)</w:t>
            </w:r>
          </w:p>
        </w:tc>
        <w:tc>
          <w:tcPr>
            <w:tcW w:w="2007" w:type="dxa"/>
            <w:tcBorders>
              <w:top w:val="nil"/>
              <w:left w:val="nil"/>
              <w:bottom w:val="nil"/>
              <w:right w:val="nil"/>
            </w:tcBorders>
            <w:shd w:val="clear" w:color="000000" w:fill="F2F2F2"/>
            <w:noWrap/>
            <w:vAlign w:val="bottom"/>
            <w:hideMark/>
          </w:tcPr>
          <w:p w14:paraId="3086392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(2, 0, 1)</w:t>
            </w:r>
          </w:p>
        </w:tc>
      </w:tr>
      <w:tr w:rsidR="00DD0367" w:rsidRPr="00A80562" w14:paraId="6161E280" w14:textId="77777777" w:rsidTr="00DD0367">
        <w:trPr>
          <w:trHeight w:val="257"/>
        </w:trPr>
        <w:tc>
          <w:tcPr>
            <w:tcW w:w="236" w:type="dxa"/>
            <w:tcBorders>
              <w:top w:val="nil"/>
              <w:left w:val="nil"/>
              <w:bottom w:val="nil"/>
              <w:right w:val="nil"/>
            </w:tcBorders>
            <w:shd w:val="clear" w:color="auto" w:fill="auto"/>
            <w:noWrap/>
            <w:vAlign w:val="bottom"/>
            <w:hideMark/>
          </w:tcPr>
          <w:p w14:paraId="1838F70D"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5C6A792D"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7BB789D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0.944*** (0.907, 0.98)</w:t>
            </w:r>
          </w:p>
        </w:tc>
        <w:tc>
          <w:tcPr>
            <w:tcW w:w="2006" w:type="dxa"/>
            <w:tcBorders>
              <w:top w:val="nil"/>
              <w:left w:val="nil"/>
              <w:bottom w:val="nil"/>
              <w:right w:val="nil"/>
            </w:tcBorders>
            <w:shd w:val="clear" w:color="auto" w:fill="auto"/>
            <w:noWrap/>
            <w:vAlign w:val="bottom"/>
            <w:hideMark/>
          </w:tcPr>
          <w:p w14:paraId="4B2EE1E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06" w:type="dxa"/>
            <w:tcBorders>
              <w:top w:val="nil"/>
              <w:left w:val="nil"/>
              <w:bottom w:val="nil"/>
              <w:right w:val="nil"/>
            </w:tcBorders>
            <w:shd w:val="clear" w:color="auto" w:fill="auto"/>
            <w:noWrap/>
            <w:vAlign w:val="bottom"/>
            <w:hideMark/>
          </w:tcPr>
          <w:p w14:paraId="609E3A8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-0.091*** (-0.125, -0.057)</w:t>
            </w:r>
          </w:p>
        </w:tc>
        <w:tc>
          <w:tcPr>
            <w:tcW w:w="2006" w:type="dxa"/>
            <w:tcBorders>
              <w:top w:val="nil"/>
              <w:left w:val="nil"/>
              <w:bottom w:val="nil"/>
              <w:right w:val="nil"/>
            </w:tcBorders>
            <w:shd w:val="clear" w:color="auto" w:fill="auto"/>
            <w:noWrap/>
            <w:vAlign w:val="bottom"/>
            <w:hideMark/>
          </w:tcPr>
          <w:p w14:paraId="3139444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0.012*** (0.007, 0.017)</w:t>
            </w:r>
          </w:p>
        </w:tc>
        <w:tc>
          <w:tcPr>
            <w:tcW w:w="2006" w:type="dxa"/>
            <w:tcBorders>
              <w:top w:val="nil"/>
              <w:left w:val="nil"/>
              <w:bottom w:val="nil"/>
              <w:right w:val="nil"/>
            </w:tcBorders>
            <w:shd w:val="clear" w:color="auto" w:fill="auto"/>
            <w:noWrap/>
            <w:vAlign w:val="bottom"/>
            <w:hideMark/>
          </w:tcPr>
          <w:p w14:paraId="7CFD712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0.088** (0.027, 0.149)</w:t>
            </w:r>
          </w:p>
        </w:tc>
        <w:tc>
          <w:tcPr>
            <w:tcW w:w="2007" w:type="dxa"/>
            <w:tcBorders>
              <w:top w:val="nil"/>
              <w:left w:val="nil"/>
              <w:bottom w:val="nil"/>
              <w:right w:val="nil"/>
            </w:tcBorders>
            <w:shd w:val="clear" w:color="auto" w:fill="auto"/>
            <w:noWrap/>
            <w:vAlign w:val="bottom"/>
            <w:hideMark/>
          </w:tcPr>
          <w:p w14:paraId="21EB77D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3A7C5371"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033B2F7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Physical illness or disability or disability problems</w:t>
            </w:r>
          </w:p>
        </w:tc>
        <w:tc>
          <w:tcPr>
            <w:tcW w:w="2006" w:type="dxa"/>
            <w:tcBorders>
              <w:top w:val="nil"/>
              <w:left w:val="single" w:sz="4" w:space="0" w:color="auto"/>
              <w:bottom w:val="nil"/>
              <w:right w:val="nil"/>
            </w:tcBorders>
            <w:shd w:val="clear" w:color="auto" w:fill="auto"/>
            <w:noWrap/>
            <w:vAlign w:val="bottom"/>
            <w:hideMark/>
          </w:tcPr>
          <w:p w14:paraId="10983EA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3BA8210D"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3C08C9C9"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38320A99"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72CD5C9B"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4B669C05" w14:textId="77777777" w:rsidR="00DD0367" w:rsidRPr="00A80562" w:rsidRDefault="00DD0367" w:rsidP="00DD0367">
            <w:pPr>
              <w:spacing w:after="0" w:line="240" w:lineRule="auto"/>
              <w:jc w:val="left"/>
              <w:rPr>
                <w:rFonts w:eastAsia="Times New Roman"/>
                <w:lang w:eastAsia="en-GB"/>
              </w:rPr>
            </w:pPr>
          </w:p>
        </w:tc>
      </w:tr>
      <w:tr w:rsidR="00DD0367" w:rsidRPr="00A80562" w14:paraId="76F3AF96" w14:textId="77777777" w:rsidTr="00DD0367">
        <w:trPr>
          <w:trHeight w:val="257"/>
        </w:trPr>
        <w:tc>
          <w:tcPr>
            <w:tcW w:w="236" w:type="dxa"/>
            <w:tcBorders>
              <w:top w:val="nil"/>
              <w:left w:val="nil"/>
              <w:bottom w:val="nil"/>
              <w:right w:val="nil"/>
            </w:tcBorders>
            <w:shd w:val="clear" w:color="auto" w:fill="auto"/>
            <w:noWrap/>
            <w:vAlign w:val="bottom"/>
            <w:hideMark/>
          </w:tcPr>
          <w:p w14:paraId="4E99F7E8"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03C861AB"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39577D3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50.33*** (48.3, 52.36)</w:t>
            </w:r>
          </w:p>
        </w:tc>
        <w:tc>
          <w:tcPr>
            <w:tcW w:w="2006" w:type="dxa"/>
            <w:tcBorders>
              <w:top w:val="nil"/>
              <w:left w:val="nil"/>
              <w:bottom w:val="nil"/>
              <w:right w:val="nil"/>
            </w:tcBorders>
            <w:shd w:val="clear" w:color="000000" w:fill="F2F2F2"/>
            <w:noWrap/>
            <w:vAlign w:val="bottom"/>
            <w:hideMark/>
          </w:tcPr>
          <w:p w14:paraId="6C6A90B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 (-0.03, 0)</w:t>
            </w:r>
          </w:p>
        </w:tc>
        <w:tc>
          <w:tcPr>
            <w:tcW w:w="2006" w:type="dxa"/>
            <w:tcBorders>
              <w:top w:val="nil"/>
              <w:left w:val="nil"/>
              <w:bottom w:val="nil"/>
              <w:right w:val="nil"/>
            </w:tcBorders>
            <w:shd w:val="clear" w:color="000000" w:fill="F2F2F2"/>
            <w:noWrap/>
            <w:vAlign w:val="bottom"/>
            <w:hideMark/>
          </w:tcPr>
          <w:p w14:paraId="4F3FE85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-0.46 (-4.12, 3.2)</w:t>
            </w:r>
          </w:p>
        </w:tc>
        <w:tc>
          <w:tcPr>
            <w:tcW w:w="2006" w:type="dxa"/>
            <w:tcBorders>
              <w:top w:val="nil"/>
              <w:left w:val="nil"/>
              <w:bottom w:val="nil"/>
              <w:right w:val="nil"/>
            </w:tcBorders>
            <w:shd w:val="clear" w:color="000000" w:fill="F2F2F2"/>
            <w:noWrap/>
            <w:vAlign w:val="bottom"/>
            <w:hideMark/>
          </w:tcPr>
          <w:p w14:paraId="61C0723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0.03 (-0.26, 0.31)</w:t>
            </w:r>
          </w:p>
        </w:tc>
        <w:tc>
          <w:tcPr>
            <w:tcW w:w="2006" w:type="dxa"/>
            <w:tcBorders>
              <w:top w:val="nil"/>
              <w:left w:val="nil"/>
              <w:bottom w:val="nil"/>
              <w:right w:val="nil"/>
            </w:tcBorders>
            <w:shd w:val="clear" w:color="000000" w:fill="F2F2F2"/>
            <w:noWrap/>
            <w:vAlign w:val="bottom"/>
            <w:hideMark/>
          </w:tcPr>
          <w:p w14:paraId="2EEAC5C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-0.05 (-2.77, 2.68)</w:t>
            </w:r>
          </w:p>
        </w:tc>
        <w:tc>
          <w:tcPr>
            <w:tcW w:w="2007" w:type="dxa"/>
            <w:tcBorders>
              <w:top w:val="nil"/>
              <w:left w:val="nil"/>
              <w:bottom w:val="nil"/>
              <w:right w:val="nil"/>
            </w:tcBorders>
            <w:shd w:val="clear" w:color="000000" w:fill="F2F2F2"/>
            <w:noWrap/>
            <w:vAlign w:val="bottom"/>
            <w:hideMark/>
          </w:tcPr>
          <w:p w14:paraId="7FB251A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DD0367" w:rsidRPr="00A80562" w14:paraId="420F548B" w14:textId="77777777" w:rsidTr="00DD0367">
        <w:trPr>
          <w:trHeight w:val="257"/>
        </w:trPr>
        <w:tc>
          <w:tcPr>
            <w:tcW w:w="236" w:type="dxa"/>
            <w:tcBorders>
              <w:top w:val="nil"/>
              <w:left w:val="nil"/>
              <w:bottom w:val="nil"/>
              <w:right w:val="nil"/>
            </w:tcBorders>
            <w:shd w:val="clear" w:color="auto" w:fill="auto"/>
            <w:noWrap/>
            <w:vAlign w:val="bottom"/>
            <w:hideMark/>
          </w:tcPr>
          <w:p w14:paraId="7DA3FC9B"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171ED4E6"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14DA488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1.071*** (1.044, 1.097)</w:t>
            </w:r>
          </w:p>
        </w:tc>
        <w:tc>
          <w:tcPr>
            <w:tcW w:w="2006" w:type="dxa"/>
            <w:tcBorders>
              <w:top w:val="nil"/>
              <w:left w:val="nil"/>
              <w:bottom w:val="nil"/>
              <w:right w:val="nil"/>
            </w:tcBorders>
            <w:shd w:val="clear" w:color="auto" w:fill="auto"/>
            <w:noWrap/>
            <w:vAlign w:val="bottom"/>
            <w:hideMark/>
          </w:tcPr>
          <w:p w14:paraId="151C6B9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-0.001*** (-0.001, 0)</w:t>
            </w:r>
          </w:p>
        </w:tc>
        <w:tc>
          <w:tcPr>
            <w:tcW w:w="2006" w:type="dxa"/>
            <w:tcBorders>
              <w:top w:val="nil"/>
              <w:left w:val="nil"/>
              <w:bottom w:val="nil"/>
              <w:right w:val="nil"/>
            </w:tcBorders>
            <w:shd w:val="clear" w:color="auto" w:fill="auto"/>
            <w:noWrap/>
            <w:vAlign w:val="bottom"/>
            <w:hideMark/>
          </w:tcPr>
          <w:p w14:paraId="7E5904F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-0.091** (-0.161, -0.022)</w:t>
            </w:r>
          </w:p>
        </w:tc>
        <w:tc>
          <w:tcPr>
            <w:tcW w:w="2006" w:type="dxa"/>
            <w:tcBorders>
              <w:top w:val="nil"/>
              <w:left w:val="nil"/>
              <w:bottom w:val="nil"/>
              <w:right w:val="nil"/>
            </w:tcBorders>
            <w:shd w:val="clear" w:color="auto" w:fill="auto"/>
            <w:noWrap/>
            <w:vAlign w:val="bottom"/>
            <w:hideMark/>
          </w:tcPr>
          <w:p w14:paraId="3820EBB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0.012*** (0.006, 0.018)</w:t>
            </w:r>
          </w:p>
        </w:tc>
        <w:tc>
          <w:tcPr>
            <w:tcW w:w="2006" w:type="dxa"/>
            <w:tcBorders>
              <w:top w:val="nil"/>
              <w:left w:val="nil"/>
              <w:bottom w:val="nil"/>
              <w:right w:val="nil"/>
            </w:tcBorders>
            <w:shd w:val="clear" w:color="auto" w:fill="auto"/>
            <w:noWrap/>
            <w:vAlign w:val="bottom"/>
            <w:hideMark/>
          </w:tcPr>
          <w:p w14:paraId="61FEF5B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0.084*** (0.045, 0.123)</w:t>
            </w:r>
          </w:p>
        </w:tc>
        <w:tc>
          <w:tcPr>
            <w:tcW w:w="2007" w:type="dxa"/>
            <w:tcBorders>
              <w:top w:val="nil"/>
              <w:left w:val="nil"/>
              <w:bottom w:val="nil"/>
              <w:right w:val="nil"/>
            </w:tcBorders>
            <w:shd w:val="clear" w:color="auto" w:fill="auto"/>
            <w:noWrap/>
            <w:vAlign w:val="bottom"/>
            <w:hideMark/>
          </w:tcPr>
          <w:p w14:paraId="0D243B9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(2, 0, 0)</w:t>
            </w:r>
          </w:p>
        </w:tc>
      </w:tr>
      <w:tr w:rsidR="00DD0367" w:rsidRPr="00A80562" w14:paraId="10F3F914"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612B2AE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Problems associated with hallucinations and delusions</w:t>
            </w:r>
          </w:p>
        </w:tc>
        <w:tc>
          <w:tcPr>
            <w:tcW w:w="2006" w:type="dxa"/>
            <w:tcBorders>
              <w:top w:val="nil"/>
              <w:left w:val="single" w:sz="4" w:space="0" w:color="auto"/>
              <w:bottom w:val="nil"/>
              <w:right w:val="nil"/>
            </w:tcBorders>
            <w:shd w:val="clear" w:color="auto" w:fill="auto"/>
            <w:noWrap/>
            <w:vAlign w:val="bottom"/>
            <w:hideMark/>
          </w:tcPr>
          <w:p w14:paraId="501A4BB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1BD79D39"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39B76335"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4B65B761"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1838D6E3"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5798835A" w14:textId="77777777" w:rsidR="00DD0367" w:rsidRPr="00A80562" w:rsidRDefault="00DD0367" w:rsidP="00DD0367">
            <w:pPr>
              <w:spacing w:after="0" w:line="240" w:lineRule="auto"/>
              <w:jc w:val="left"/>
              <w:rPr>
                <w:rFonts w:eastAsia="Times New Roman"/>
                <w:lang w:eastAsia="en-GB"/>
              </w:rPr>
            </w:pPr>
          </w:p>
        </w:tc>
      </w:tr>
      <w:tr w:rsidR="00DD0367" w:rsidRPr="00A80562" w14:paraId="033A8438" w14:textId="77777777" w:rsidTr="00DD0367">
        <w:trPr>
          <w:trHeight w:val="257"/>
        </w:trPr>
        <w:tc>
          <w:tcPr>
            <w:tcW w:w="236" w:type="dxa"/>
            <w:tcBorders>
              <w:top w:val="nil"/>
              <w:left w:val="nil"/>
              <w:bottom w:val="nil"/>
              <w:right w:val="nil"/>
            </w:tcBorders>
            <w:shd w:val="clear" w:color="auto" w:fill="auto"/>
            <w:noWrap/>
            <w:vAlign w:val="bottom"/>
            <w:hideMark/>
          </w:tcPr>
          <w:p w14:paraId="7AA71E86"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784AE599"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6C57269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28.35*** (27.3, 29.41)</w:t>
            </w:r>
          </w:p>
        </w:tc>
        <w:tc>
          <w:tcPr>
            <w:tcW w:w="2006" w:type="dxa"/>
            <w:tcBorders>
              <w:top w:val="nil"/>
              <w:left w:val="nil"/>
              <w:bottom w:val="nil"/>
              <w:right w:val="nil"/>
            </w:tcBorders>
            <w:shd w:val="clear" w:color="000000" w:fill="F2F2F2"/>
            <w:noWrap/>
            <w:vAlign w:val="bottom"/>
            <w:hideMark/>
          </w:tcPr>
          <w:p w14:paraId="666FC95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(-0.01, 0.01)</w:t>
            </w:r>
          </w:p>
        </w:tc>
        <w:tc>
          <w:tcPr>
            <w:tcW w:w="2006" w:type="dxa"/>
            <w:tcBorders>
              <w:top w:val="nil"/>
              <w:left w:val="nil"/>
              <w:bottom w:val="nil"/>
              <w:right w:val="nil"/>
            </w:tcBorders>
            <w:shd w:val="clear" w:color="000000" w:fill="F2F2F2"/>
            <w:noWrap/>
            <w:vAlign w:val="bottom"/>
            <w:hideMark/>
          </w:tcPr>
          <w:p w14:paraId="698B024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2.89** (0.97, 4.81)</w:t>
            </w:r>
          </w:p>
        </w:tc>
        <w:tc>
          <w:tcPr>
            <w:tcW w:w="2006" w:type="dxa"/>
            <w:tcBorders>
              <w:top w:val="nil"/>
              <w:left w:val="nil"/>
              <w:bottom w:val="nil"/>
              <w:right w:val="nil"/>
            </w:tcBorders>
            <w:shd w:val="clear" w:color="000000" w:fill="F2F2F2"/>
            <w:noWrap/>
            <w:vAlign w:val="bottom"/>
            <w:hideMark/>
          </w:tcPr>
          <w:p w14:paraId="14E2BC6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-0.03 (-0.22, 0.16)</w:t>
            </w:r>
          </w:p>
        </w:tc>
        <w:tc>
          <w:tcPr>
            <w:tcW w:w="2006" w:type="dxa"/>
            <w:tcBorders>
              <w:top w:val="nil"/>
              <w:left w:val="nil"/>
              <w:bottom w:val="nil"/>
              <w:right w:val="nil"/>
            </w:tcBorders>
            <w:shd w:val="clear" w:color="000000" w:fill="F2F2F2"/>
            <w:noWrap/>
            <w:vAlign w:val="bottom"/>
            <w:hideMark/>
          </w:tcPr>
          <w:p w14:paraId="5961884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2.48** (0.95, 4.01)</w:t>
            </w:r>
          </w:p>
        </w:tc>
        <w:tc>
          <w:tcPr>
            <w:tcW w:w="2007" w:type="dxa"/>
            <w:tcBorders>
              <w:top w:val="nil"/>
              <w:left w:val="nil"/>
              <w:bottom w:val="nil"/>
              <w:right w:val="nil"/>
            </w:tcBorders>
            <w:shd w:val="clear" w:color="000000" w:fill="F2F2F2"/>
            <w:noWrap/>
            <w:vAlign w:val="bottom"/>
            <w:hideMark/>
          </w:tcPr>
          <w:p w14:paraId="0DB566E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DD0367" w:rsidRPr="00A80562" w14:paraId="5EEB5BD6" w14:textId="77777777" w:rsidTr="00DD0367">
        <w:trPr>
          <w:trHeight w:val="257"/>
        </w:trPr>
        <w:tc>
          <w:tcPr>
            <w:tcW w:w="236" w:type="dxa"/>
            <w:tcBorders>
              <w:top w:val="nil"/>
              <w:left w:val="nil"/>
              <w:bottom w:val="nil"/>
              <w:right w:val="nil"/>
            </w:tcBorders>
            <w:shd w:val="clear" w:color="auto" w:fill="auto"/>
            <w:noWrap/>
            <w:vAlign w:val="bottom"/>
            <w:hideMark/>
          </w:tcPr>
          <w:p w14:paraId="76EEFDF4"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499180E3"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6E0A6FF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0.618*** (0.595, 0.641)</w:t>
            </w:r>
          </w:p>
        </w:tc>
        <w:tc>
          <w:tcPr>
            <w:tcW w:w="2006" w:type="dxa"/>
            <w:tcBorders>
              <w:top w:val="nil"/>
              <w:left w:val="nil"/>
              <w:bottom w:val="nil"/>
              <w:right w:val="nil"/>
            </w:tcBorders>
            <w:shd w:val="clear" w:color="auto" w:fill="auto"/>
            <w:noWrap/>
            <w:vAlign w:val="bottom"/>
            <w:hideMark/>
          </w:tcPr>
          <w:p w14:paraId="2177097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06" w:type="dxa"/>
            <w:tcBorders>
              <w:top w:val="nil"/>
              <w:left w:val="nil"/>
              <w:bottom w:val="nil"/>
              <w:right w:val="nil"/>
            </w:tcBorders>
            <w:shd w:val="clear" w:color="auto" w:fill="auto"/>
            <w:noWrap/>
            <w:vAlign w:val="bottom"/>
            <w:hideMark/>
          </w:tcPr>
          <w:p w14:paraId="6EB3CC7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0.03 (-0.007, 0.068)</w:t>
            </w:r>
          </w:p>
        </w:tc>
        <w:tc>
          <w:tcPr>
            <w:tcW w:w="2006" w:type="dxa"/>
            <w:tcBorders>
              <w:top w:val="nil"/>
              <w:left w:val="nil"/>
              <w:bottom w:val="nil"/>
              <w:right w:val="nil"/>
            </w:tcBorders>
            <w:shd w:val="clear" w:color="auto" w:fill="auto"/>
            <w:noWrap/>
            <w:vAlign w:val="bottom"/>
            <w:hideMark/>
          </w:tcPr>
          <w:p w14:paraId="02B7B2B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0.003 (-0.001, 0.008)</w:t>
            </w:r>
          </w:p>
        </w:tc>
        <w:tc>
          <w:tcPr>
            <w:tcW w:w="2006" w:type="dxa"/>
            <w:tcBorders>
              <w:top w:val="nil"/>
              <w:left w:val="nil"/>
              <w:bottom w:val="nil"/>
              <w:right w:val="nil"/>
            </w:tcBorders>
            <w:shd w:val="clear" w:color="auto" w:fill="auto"/>
            <w:noWrap/>
            <w:vAlign w:val="bottom"/>
            <w:hideMark/>
          </w:tcPr>
          <w:p w14:paraId="5C500D6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0.08** (0.028, 0.132)</w:t>
            </w:r>
          </w:p>
        </w:tc>
        <w:tc>
          <w:tcPr>
            <w:tcW w:w="2007" w:type="dxa"/>
            <w:tcBorders>
              <w:top w:val="nil"/>
              <w:left w:val="nil"/>
              <w:bottom w:val="nil"/>
              <w:right w:val="nil"/>
            </w:tcBorders>
            <w:shd w:val="clear" w:color="auto" w:fill="auto"/>
            <w:noWrap/>
            <w:vAlign w:val="bottom"/>
            <w:hideMark/>
          </w:tcPr>
          <w:p w14:paraId="061E994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0A7AEC9B"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062F042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Problems with depressed mood</w:t>
            </w:r>
          </w:p>
        </w:tc>
        <w:tc>
          <w:tcPr>
            <w:tcW w:w="2006" w:type="dxa"/>
            <w:tcBorders>
              <w:top w:val="nil"/>
              <w:left w:val="single" w:sz="4" w:space="0" w:color="auto"/>
              <w:bottom w:val="nil"/>
              <w:right w:val="nil"/>
            </w:tcBorders>
            <w:shd w:val="clear" w:color="auto" w:fill="auto"/>
            <w:noWrap/>
            <w:vAlign w:val="bottom"/>
            <w:hideMark/>
          </w:tcPr>
          <w:p w14:paraId="54BFE73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61173EDE"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53D3A277"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790C8492"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7046D0F8"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67CBA4B7" w14:textId="77777777" w:rsidR="00DD0367" w:rsidRPr="00A80562" w:rsidRDefault="00DD0367" w:rsidP="00DD0367">
            <w:pPr>
              <w:spacing w:after="0" w:line="240" w:lineRule="auto"/>
              <w:jc w:val="left"/>
              <w:rPr>
                <w:rFonts w:eastAsia="Times New Roman"/>
                <w:lang w:eastAsia="en-GB"/>
              </w:rPr>
            </w:pPr>
          </w:p>
        </w:tc>
      </w:tr>
      <w:tr w:rsidR="00DD0367" w:rsidRPr="00A80562" w14:paraId="549A9632" w14:textId="77777777" w:rsidTr="00DD0367">
        <w:trPr>
          <w:trHeight w:val="257"/>
        </w:trPr>
        <w:tc>
          <w:tcPr>
            <w:tcW w:w="236" w:type="dxa"/>
            <w:tcBorders>
              <w:top w:val="nil"/>
              <w:left w:val="nil"/>
              <w:bottom w:val="nil"/>
              <w:right w:val="nil"/>
            </w:tcBorders>
            <w:shd w:val="clear" w:color="auto" w:fill="auto"/>
            <w:noWrap/>
            <w:vAlign w:val="bottom"/>
            <w:hideMark/>
          </w:tcPr>
          <w:p w14:paraId="28D3ADE8"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5BC36E94"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737600A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75.64*** (74.83, 76.44)</w:t>
            </w:r>
          </w:p>
        </w:tc>
        <w:tc>
          <w:tcPr>
            <w:tcW w:w="2006" w:type="dxa"/>
            <w:tcBorders>
              <w:top w:val="nil"/>
              <w:left w:val="nil"/>
              <w:bottom w:val="nil"/>
              <w:right w:val="nil"/>
            </w:tcBorders>
            <w:shd w:val="clear" w:color="000000" w:fill="F2F2F2"/>
            <w:noWrap/>
            <w:vAlign w:val="bottom"/>
            <w:hideMark/>
          </w:tcPr>
          <w:p w14:paraId="1104CFA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0.02*** (0.01, 0.03)</w:t>
            </w:r>
          </w:p>
        </w:tc>
        <w:tc>
          <w:tcPr>
            <w:tcW w:w="2006" w:type="dxa"/>
            <w:tcBorders>
              <w:top w:val="nil"/>
              <w:left w:val="nil"/>
              <w:bottom w:val="nil"/>
              <w:right w:val="nil"/>
            </w:tcBorders>
            <w:shd w:val="clear" w:color="000000" w:fill="F2F2F2"/>
            <w:noWrap/>
            <w:vAlign w:val="bottom"/>
            <w:hideMark/>
          </w:tcPr>
          <w:p w14:paraId="00A0102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2.02** (0.7, 3.34)</w:t>
            </w:r>
          </w:p>
        </w:tc>
        <w:tc>
          <w:tcPr>
            <w:tcW w:w="2006" w:type="dxa"/>
            <w:tcBorders>
              <w:top w:val="nil"/>
              <w:left w:val="nil"/>
              <w:bottom w:val="nil"/>
              <w:right w:val="nil"/>
            </w:tcBorders>
            <w:shd w:val="clear" w:color="000000" w:fill="F2F2F2"/>
            <w:noWrap/>
            <w:vAlign w:val="bottom"/>
            <w:hideMark/>
          </w:tcPr>
          <w:p w14:paraId="1798FFD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-0.19* (-0.35, -0.04)</w:t>
            </w:r>
          </w:p>
        </w:tc>
        <w:tc>
          <w:tcPr>
            <w:tcW w:w="2006" w:type="dxa"/>
            <w:tcBorders>
              <w:top w:val="nil"/>
              <w:left w:val="nil"/>
              <w:bottom w:val="nil"/>
              <w:right w:val="nil"/>
            </w:tcBorders>
            <w:shd w:val="clear" w:color="000000" w:fill="F2F2F2"/>
            <w:noWrap/>
            <w:vAlign w:val="bottom"/>
            <w:hideMark/>
          </w:tcPr>
          <w:p w14:paraId="639A9F4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-0.9 (-2.74, 0.93)</w:t>
            </w:r>
          </w:p>
        </w:tc>
        <w:tc>
          <w:tcPr>
            <w:tcW w:w="2007" w:type="dxa"/>
            <w:tcBorders>
              <w:top w:val="nil"/>
              <w:left w:val="nil"/>
              <w:bottom w:val="nil"/>
              <w:right w:val="nil"/>
            </w:tcBorders>
            <w:shd w:val="clear" w:color="000000" w:fill="F2F2F2"/>
            <w:noWrap/>
            <w:vAlign w:val="bottom"/>
            <w:hideMark/>
          </w:tcPr>
          <w:p w14:paraId="3DDCA45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133B10E3" w14:textId="77777777" w:rsidTr="00DD0367">
        <w:trPr>
          <w:trHeight w:val="257"/>
        </w:trPr>
        <w:tc>
          <w:tcPr>
            <w:tcW w:w="236" w:type="dxa"/>
            <w:tcBorders>
              <w:top w:val="nil"/>
              <w:left w:val="nil"/>
              <w:bottom w:val="nil"/>
              <w:right w:val="nil"/>
            </w:tcBorders>
            <w:shd w:val="clear" w:color="auto" w:fill="auto"/>
            <w:noWrap/>
            <w:vAlign w:val="bottom"/>
            <w:hideMark/>
          </w:tcPr>
          <w:p w14:paraId="4980D328"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6E317AF2"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7B4698C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1.613*** (1.591, 1.636)</w:t>
            </w:r>
          </w:p>
        </w:tc>
        <w:tc>
          <w:tcPr>
            <w:tcW w:w="2006" w:type="dxa"/>
            <w:tcBorders>
              <w:top w:val="nil"/>
              <w:left w:val="nil"/>
              <w:bottom w:val="nil"/>
              <w:right w:val="nil"/>
            </w:tcBorders>
            <w:shd w:val="clear" w:color="auto" w:fill="auto"/>
            <w:noWrap/>
            <w:vAlign w:val="bottom"/>
            <w:hideMark/>
          </w:tcPr>
          <w:p w14:paraId="5E6149F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06" w:type="dxa"/>
            <w:tcBorders>
              <w:top w:val="nil"/>
              <w:left w:val="nil"/>
              <w:bottom w:val="nil"/>
              <w:right w:val="nil"/>
            </w:tcBorders>
            <w:shd w:val="clear" w:color="auto" w:fill="auto"/>
            <w:noWrap/>
            <w:vAlign w:val="bottom"/>
            <w:hideMark/>
          </w:tcPr>
          <w:p w14:paraId="5560547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0.006 (-0.031, 0.043)</w:t>
            </w:r>
          </w:p>
        </w:tc>
        <w:tc>
          <w:tcPr>
            <w:tcW w:w="2006" w:type="dxa"/>
            <w:tcBorders>
              <w:top w:val="nil"/>
              <w:left w:val="nil"/>
              <w:bottom w:val="nil"/>
              <w:right w:val="nil"/>
            </w:tcBorders>
            <w:shd w:val="clear" w:color="auto" w:fill="auto"/>
            <w:noWrap/>
            <w:vAlign w:val="bottom"/>
            <w:hideMark/>
          </w:tcPr>
          <w:p w14:paraId="6B942B3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-0.001 (-0.005, 0.004)</w:t>
            </w:r>
          </w:p>
        </w:tc>
        <w:tc>
          <w:tcPr>
            <w:tcW w:w="2006" w:type="dxa"/>
            <w:tcBorders>
              <w:top w:val="nil"/>
              <w:left w:val="nil"/>
              <w:bottom w:val="nil"/>
              <w:right w:val="nil"/>
            </w:tcBorders>
            <w:shd w:val="clear" w:color="auto" w:fill="auto"/>
            <w:noWrap/>
            <w:vAlign w:val="bottom"/>
            <w:hideMark/>
          </w:tcPr>
          <w:p w14:paraId="2E4BF29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-0.004 (-0.055, 0.048)</w:t>
            </w:r>
          </w:p>
        </w:tc>
        <w:tc>
          <w:tcPr>
            <w:tcW w:w="2007" w:type="dxa"/>
            <w:tcBorders>
              <w:top w:val="nil"/>
              <w:left w:val="nil"/>
              <w:bottom w:val="nil"/>
              <w:right w:val="nil"/>
            </w:tcBorders>
            <w:shd w:val="clear" w:color="auto" w:fill="auto"/>
            <w:noWrap/>
            <w:vAlign w:val="bottom"/>
            <w:hideMark/>
          </w:tcPr>
          <w:p w14:paraId="32A5870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5A988953"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5C037E0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Other mental and behavioural problems</w:t>
            </w:r>
          </w:p>
        </w:tc>
        <w:tc>
          <w:tcPr>
            <w:tcW w:w="2006" w:type="dxa"/>
            <w:tcBorders>
              <w:top w:val="nil"/>
              <w:left w:val="single" w:sz="4" w:space="0" w:color="auto"/>
              <w:bottom w:val="nil"/>
              <w:right w:val="nil"/>
            </w:tcBorders>
            <w:shd w:val="clear" w:color="auto" w:fill="auto"/>
            <w:noWrap/>
            <w:vAlign w:val="bottom"/>
            <w:hideMark/>
          </w:tcPr>
          <w:p w14:paraId="0D078B4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75779C87"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08BCD08C"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4E9934BE"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66894B77"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3C210A65" w14:textId="77777777" w:rsidR="00DD0367" w:rsidRPr="00A80562" w:rsidRDefault="00DD0367" w:rsidP="00DD0367">
            <w:pPr>
              <w:spacing w:after="0" w:line="240" w:lineRule="auto"/>
              <w:jc w:val="left"/>
              <w:rPr>
                <w:rFonts w:eastAsia="Times New Roman"/>
                <w:lang w:eastAsia="en-GB"/>
              </w:rPr>
            </w:pPr>
          </w:p>
        </w:tc>
      </w:tr>
      <w:tr w:rsidR="00DD0367" w:rsidRPr="00A80562" w14:paraId="65EDC2D1" w14:textId="77777777" w:rsidTr="00DD0367">
        <w:trPr>
          <w:trHeight w:val="257"/>
        </w:trPr>
        <w:tc>
          <w:tcPr>
            <w:tcW w:w="236" w:type="dxa"/>
            <w:tcBorders>
              <w:top w:val="nil"/>
              <w:left w:val="nil"/>
              <w:bottom w:val="nil"/>
              <w:right w:val="nil"/>
            </w:tcBorders>
            <w:shd w:val="clear" w:color="auto" w:fill="auto"/>
            <w:noWrap/>
            <w:vAlign w:val="bottom"/>
            <w:hideMark/>
          </w:tcPr>
          <w:p w14:paraId="28D91DAE"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2C545E99"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3BBDEAE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77.88*** (77.17, 78.6)</w:t>
            </w:r>
          </w:p>
        </w:tc>
        <w:tc>
          <w:tcPr>
            <w:tcW w:w="2006" w:type="dxa"/>
            <w:tcBorders>
              <w:top w:val="nil"/>
              <w:left w:val="nil"/>
              <w:bottom w:val="nil"/>
              <w:right w:val="nil"/>
            </w:tcBorders>
            <w:shd w:val="clear" w:color="000000" w:fill="F2F2F2"/>
            <w:noWrap/>
            <w:vAlign w:val="bottom"/>
            <w:hideMark/>
          </w:tcPr>
          <w:p w14:paraId="7FE85E4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0.03*** (0.02, 0.04)</w:t>
            </w:r>
          </w:p>
        </w:tc>
        <w:tc>
          <w:tcPr>
            <w:tcW w:w="2006" w:type="dxa"/>
            <w:tcBorders>
              <w:top w:val="nil"/>
              <w:left w:val="nil"/>
              <w:bottom w:val="nil"/>
              <w:right w:val="nil"/>
            </w:tcBorders>
            <w:shd w:val="clear" w:color="000000" w:fill="F2F2F2"/>
            <w:noWrap/>
            <w:vAlign w:val="bottom"/>
            <w:hideMark/>
          </w:tcPr>
          <w:p w14:paraId="1076A26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1.87** (0.7, 3.04)</w:t>
            </w:r>
          </w:p>
        </w:tc>
        <w:tc>
          <w:tcPr>
            <w:tcW w:w="2006" w:type="dxa"/>
            <w:tcBorders>
              <w:top w:val="nil"/>
              <w:left w:val="nil"/>
              <w:bottom w:val="nil"/>
              <w:right w:val="nil"/>
            </w:tcBorders>
            <w:shd w:val="clear" w:color="000000" w:fill="F2F2F2"/>
            <w:noWrap/>
            <w:vAlign w:val="bottom"/>
            <w:hideMark/>
          </w:tcPr>
          <w:p w14:paraId="324097E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-0.25*** (-0.38, -0.11)</w:t>
            </w:r>
          </w:p>
        </w:tc>
        <w:tc>
          <w:tcPr>
            <w:tcW w:w="2006" w:type="dxa"/>
            <w:tcBorders>
              <w:top w:val="nil"/>
              <w:left w:val="nil"/>
              <w:bottom w:val="nil"/>
              <w:right w:val="nil"/>
            </w:tcBorders>
            <w:shd w:val="clear" w:color="000000" w:fill="F2F2F2"/>
            <w:noWrap/>
            <w:vAlign w:val="bottom"/>
            <w:hideMark/>
          </w:tcPr>
          <w:p w14:paraId="730FDD3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-1.82* (-3.44, -0.19)</w:t>
            </w:r>
          </w:p>
        </w:tc>
        <w:tc>
          <w:tcPr>
            <w:tcW w:w="2007" w:type="dxa"/>
            <w:tcBorders>
              <w:top w:val="nil"/>
              <w:left w:val="nil"/>
              <w:bottom w:val="nil"/>
              <w:right w:val="nil"/>
            </w:tcBorders>
            <w:shd w:val="clear" w:color="000000" w:fill="F2F2F2"/>
            <w:noWrap/>
            <w:vAlign w:val="bottom"/>
            <w:hideMark/>
          </w:tcPr>
          <w:p w14:paraId="42A5991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0F3EBEDC" w14:textId="77777777" w:rsidTr="00DD0367">
        <w:trPr>
          <w:trHeight w:val="257"/>
        </w:trPr>
        <w:tc>
          <w:tcPr>
            <w:tcW w:w="236" w:type="dxa"/>
            <w:tcBorders>
              <w:top w:val="nil"/>
              <w:left w:val="nil"/>
              <w:bottom w:val="nil"/>
              <w:right w:val="nil"/>
            </w:tcBorders>
            <w:shd w:val="clear" w:color="auto" w:fill="auto"/>
            <w:noWrap/>
            <w:vAlign w:val="bottom"/>
            <w:hideMark/>
          </w:tcPr>
          <w:p w14:paraId="6D57BB1E"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59B25D04"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2AA74AA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1.859*** (1.834, 1.885)</w:t>
            </w:r>
          </w:p>
        </w:tc>
        <w:tc>
          <w:tcPr>
            <w:tcW w:w="2006" w:type="dxa"/>
            <w:tcBorders>
              <w:top w:val="nil"/>
              <w:left w:val="nil"/>
              <w:bottom w:val="nil"/>
              <w:right w:val="nil"/>
            </w:tcBorders>
            <w:shd w:val="clear" w:color="auto" w:fill="auto"/>
            <w:noWrap/>
            <w:vAlign w:val="bottom"/>
            <w:hideMark/>
          </w:tcPr>
          <w:p w14:paraId="6EE8C21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06" w:type="dxa"/>
            <w:tcBorders>
              <w:top w:val="nil"/>
              <w:left w:val="nil"/>
              <w:bottom w:val="nil"/>
              <w:right w:val="nil"/>
            </w:tcBorders>
            <w:shd w:val="clear" w:color="auto" w:fill="auto"/>
            <w:noWrap/>
            <w:vAlign w:val="bottom"/>
            <w:hideMark/>
          </w:tcPr>
          <w:p w14:paraId="726AADC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-0.066** (-0.108, -0.024)</w:t>
            </w:r>
          </w:p>
        </w:tc>
        <w:tc>
          <w:tcPr>
            <w:tcW w:w="2006" w:type="dxa"/>
            <w:tcBorders>
              <w:top w:val="nil"/>
              <w:left w:val="nil"/>
              <w:bottom w:val="nil"/>
              <w:right w:val="nil"/>
            </w:tcBorders>
            <w:shd w:val="clear" w:color="auto" w:fill="auto"/>
            <w:noWrap/>
            <w:vAlign w:val="bottom"/>
            <w:hideMark/>
          </w:tcPr>
          <w:p w14:paraId="0199281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0.007** (0.002, 0.012)</w:t>
            </w:r>
          </w:p>
        </w:tc>
        <w:tc>
          <w:tcPr>
            <w:tcW w:w="2006" w:type="dxa"/>
            <w:tcBorders>
              <w:top w:val="nil"/>
              <w:left w:val="nil"/>
              <w:bottom w:val="nil"/>
              <w:right w:val="nil"/>
            </w:tcBorders>
            <w:shd w:val="clear" w:color="auto" w:fill="auto"/>
            <w:noWrap/>
            <w:vAlign w:val="bottom"/>
            <w:hideMark/>
          </w:tcPr>
          <w:p w14:paraId="6BA31BB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0.034 (-0.024, 0.092)</w:t>
            </w:r>
          </w:p>
        </w:tc>
        <w:tc>
          <w:tcPr>
            <w:tcW w:w="2007" w:type="dxa"/>
            <w:tcBorders>
              <w:top w:val="nil"/>
              <w:left w:val="nil"/>
              <w:bottom w:val="nil"/>
              <w:right w:val="nil"/>
            </w:tcBorders>
            <w:shd w:val="clear" w:color="auto" w:fill="auto"/>
            <w:noWrap/>
            <w:vAlign w:val="bottom"/>
            <w:hideMark/>
          </w:tcPr>
          <w:p w14:paraId="6B6B523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3410B603"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752CC98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Problems with relationships:</w:t>
            </w:r>
          </w:p>
        </w:tc>
        <w:tc>
          <w:tcPr>
            <w:tcW w:w="2006" w:type="dxa"/>
            <w:tcBorders>
              <w:top w:val="nil"/>
              <w:left w:val="single" w:sz="4" w:space="0" w:color="auto"/>
              <w:bottom w:val="nil"/>
              <w:right w:val="nil"/>
            </w:tcBorders>
            <w:shd w:val="clear" w:color="auto" w:fill="auto"/>
            <w:noWrap/>
            <w:vAlign w:val="bottom"/>
            <w:hideMark/>
          </w:tcPr>
          <w:p w14:paraId="523BFE1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628F54C0"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2FB343E2"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0B4011CB"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33F7404F"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2F6AECF1" w14:textId="77777777" w:rsidR="00DD0367" w:rsidRPr="00A80562" w:rsidRDefault="00DD0367" w:rsidP="00DD0367">
            <w:pPr>
              <w:spacing w:after="0" w:line="240" w:lineRule="auto"/>
              <w:jc w:val="left"/>
              <w:rPr>
                <w:rFonts w:eastAsia="Times New Roman"/>
                <w:lang w:eastAsia="en-GB"/>
              </w:rPr>
            </w:pPr>
          </w:p>
        </w:tc>
      </w:tr>
      <w:tr w:rsidR="00DD0367" w:rsidRPr="00A80562" w14:paraId="3CD46F2E" w14:textId="77777777" w:rsidTr="00DD0367">
        <w:trPr>
          <w:trHeight w:val="257"/>
        </w:trPr>
        <w:tc>
          <w:tcPr>
            <w:tcW w:w="236" w:type="dxa"/>
            <w:tcBorders>
              <w:top w:val="nil"/>
              <w:left w:val="nil"/>
              <w:bottom w:val="nil"/>
              <w:right w:val="nil"/>
            </w:tcBorders>
            <w:shd w:val="clear" w:color="auto" w:fill="auto"/>
            <w:noWrap/>
            <w:vAlign w:val="bottom"/>
            <w:hideMark/>
          </w:tcPr>
          <w:p w14:paraId="0023707A"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6A9EB48F"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6581D3A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63.09*** (61.93, 64.24)</w:t>
            </w:r>
          </w:p>
        </w:tc>
        <w:tc>
          <w:tcPr>
            <w:tcW w:w="2006" w:type="dxa"/>
            <w:tcBorders>
              <w:top w:val="nil"/>
              <w:left w:val="nil"/>
              <w:bottom w:val="nil"/>
              <w:right w:val="nil"/>
            </w:tcBorders>
            <w:shd w:val="clear" w:color="000000" w:fill="F2F2F2"/>
            <w:noWrap/>
            <w:vAlign w:val="bottom"/>
            <w:hideMark/>
          </w:tcPr>
          <w:p w14:paraId="40A17FA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-0.02*** (-0.03, -0.01)</w:t>
            </w:r>
          </w:p>
        </w:tc>
        <w:tc>
          <w:tcPr>
            <w:tcW w:w="2006" w:type="dxa"/>
            <w:tcBorders>
              <w:top w:val="nil"/>
              <w:left w:val="nil"/>
              <w:bottom w:val="nil"/>
              <w:right w:val="nil"/>
            </w:tcBorders>
            <w:shd w:val="clear" w:color="000000" w:fill="F2F2F2"/>
            <w:noWrap/>
            <w:vAlign w:val="bottom"/>
            <w:hideMark/>
          </w:tcPr>
          <w:p w14:paraId="0EAA857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11.16*** (9.27, 13.06)</w:t>
            </w:r>
          </w:p>
        </w:tc>
        <w:tc>
          <w:tcPr>
            <w:tcW w:w="2006" w:type="dxa"/>
            <w:tcBorders>
              <w:top w:val="nil"/>
              <w:left w:val="nil"/>
              <w:bottom w:val="nil"/>
              <w:right w:val="nil"/>
            </w:tcBorders>
            <w:shd w:val="clear" w:color="000000" w:fill="F2F2F2"/>
            <w:noWrap/>
            <w:vAlign w:val="bottom"/>
            <w:hideMark/>
          </w:tcPr>
          <w:p w14:paraId="3ECF7D6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-0.81*** (-1.04, -0.59)</w:t>
            </w:r>
          </w:p>
        </w:tc>
        <w:tc>
          <w:tcPr>
            <w:tcW w:w="2006" w:type="dxa"/>
            <w:tcBorders>
              <w:top w:val="nil"/>
              <w:left w:val="nil"/>
              <w:bottom w:val="nil"/>
              <w:right w:val="nil"/>
            </w:tcBorders>
            <w:shd w:val="clear" w:color="000000" w:fill="F2F2F2"/>
            <w:noWrap/>
            <w:vAlign w:val="bottom"/>
            <w:hideMark/>
          </w:tcPr>
          <w:p w14:paraId="390B8BD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-1.02 (-3.65, 1.6)</w:t>
            </w:r>
          </w:p>
        </w:tc>
        <w:tc>
          <w:tcPr>
            <w:tcW w:w="2007" w:type="dxa"/>
            <w:tcBorders>
              <w:top w:val="nil"/>
              <w:left w:val="nil"/>
              <w:bottom w:val="nil"/>
              <w:right w:val="nil"/>
            </w:tcBorders>
            <w:shd w:val="clear" w:color="000000" w:fill="F2F2F2"/>
            <w:noWrap/>
            <w:vAlign w:val="bottom"/>
            <w:hideMark/>
          </w:tcPr>
          <w:p w14:paraId="0B00E81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0F230A64" w14:textId="77777777" w:rsidTr="00DD0367">
        <w:trPr>
          <w:trHeight w:val="257"/>
        </w:trPr>
        <w:tc>
          <w:tcPr>
            <w:tcW w:w="236" w:type="dxa"/>
            <w:tcBorders>
              <w:top w:val="nil"/>
              <w:left w:val="nil"/>
              <w:bottom w:val="nil"/>
              <w:right w:val="nil"/>
            </w:tcBorders>
            <w:shd w:val="clear" w:color="auto" w:fill="auto"/>
            <w:noWrap/>
            <w:vAlign w:val="bottom"/>
            <w:hideMark/>
          </w:tcPr>
          <w:p w14:paraId="3CBA13B9"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49937C25"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3A0E6C6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1.293*** (1.265, 1.32)</w:t>
            </w:r>
          </w:p>
        </w:tc>
        <w:tc>
          <w:tcPr>
            <w:tcW w:w="2006" w:type="dxa"/>
            <w:tcBorders>
              <w:top w:val="nil"/>
              <w:left w:val="nil"/>
              <w:bottom w:val="nil"/>
              <w:right w:val="nil"/>
            </w:tcBorders>
            <w:shd w:val="clear" w:color="auto" w:fill="auto"/>
            <w:noWrap/>
            <w:vAlign w:val="bottom"/>
            <w:hideMark/>
          </w:tcPr>
          <w:p w14:paraId="5661D13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06" w:type="dxa"/>
            <w:tcBorders>
              <w:top w:val="nil"/>
              <w:left w:val="nil"/>
              <w:bottom w:val="nil"/>
              <w:right w:val="nil"/>
            </w:tcBorders>
            <w:shd w:val="clear" w:color="auto" w:fill="auto"/>
            <w:noWrap/>
            <w:vAlign w:val="bottom"/>
            <w:hideMark/>
          </w:tcPr>
          <w:p w14:paraId="01A4C38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0.15*** (0.105, 0.195)</w:t>
            </w:r>
          </w:p>
        </w:tc>
        <w:tc>
          <w:tcPr>
            <w:tcW w:w="2006" w:type="dxa"/>
            <w:tcBorders>
              <w:top w:val="nil"/>
              <w:left w:val="nil"/>
              <w:bottom w:val="nil"/>
              <w:right w:val="nil"/>
            </w:tcBorders>
            <w:shd w:val="clear" w:color="auto" w:fill="auto"/>
            <w:noWrap/>
            <w:vAlign w:val="bottom"/>
            <w:hideMark/>
          </w:tcPr>
          <w:p w14:paraId="28ED54D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-0.014*** (-0.019, -0.009)</w:t>
            </w:r>
          </w:p>
        </w:tc>
        <w:tc>
          <w:tcPr>
            <w:tcW w:w="2006" w:type="dxa"/>
            <w:tcBorders>
              <w:top w:val="nil"/>
              <w:left w:val="nil"/>
              <w:bottom w:val="nil"/>
              <w:right w:val="nil"/>
            </w:tcBorders>
            <w:shd w:val="clear" w:color="auto" w:fill="auto"/>
            <w:noWrap/>
            <w:vAlign w:val="bottom"/>
            <w:hideMark/>
          </w:tcPr>
          <w:p w14:paraId="33DC137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-0.058 (-0.121, 0.005)</w:t>
            </w:r>
          </w:p>
        </w:tc>
        <w:tc>
          <w:tcPr>
            <w:tcW w:w="2007" w:type="dxa"/>
            <w:tcBorders>
              <w:top w:val="nil"/>
              <w:left w:val="nil"/>
              <w:bottom w:val="nil"/>
              <w:right w:val="nil"/>
            </w:tcBorders>
            <w:shd w:val="clear" w:color="auto" w:fill="auto"/>
            <w:noWrap/>
            <w:vAlign w:val="bottom"/>
            <w:hideMark/>
          </w:tcPr>
          <w:p w14:paraId="1CE4C33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0E052AED"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4E52468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Problems with activities of daily living</w:t>
            </w:r>
          </w:p>
        </w:tc>
        <w:tc>
          <w:tcPr>
            <w:tcW w:w="2006" w:type="dxa"/>
            <w:tcBorders>
              <w:top w:val="nil"/>
              <w:left w:val="single" w:sz="4" w:space="0" w:color="auto"/>
              <w:bottom w:val="nil"/>
              <w:right w:val="nil"/>
            </w:tcBorders>
            <w:shd w:val="clear" w:color="auto" w:fill="auto"/>
            <w:noWrap/>
            <w:vAlign w:val="bottom"/>
            <w:hideMark/>
          </w:tcPr>
          <w:p w14:paraId="456880F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55289D08"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121D2E2D"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048127E7"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69E47B31"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7D57026E" w14:textId="77777777" w:rsidR="00DD0367" w:rsidRPr="00A80562" w:rsidRDefault="00DD0367" w:rsidP="00DD0367">
            <w:pPr>
              <w:spacing w:after="0" w:line="240" w:lineRule="auto"/>
              <w:jc w:val="left"/>
              <w:rPr>
                <w:rFonts w:eastAsia="Times New Roman"/>
                <w:lang w:eastAsia="en-GB"/>
              </w:rPr>
            </w:pPr>
          </w:p>
        </w:tc>
      </w:tr>
      <w:tr w:rsidR="00DD0367" w:rsidRPr="00A80562" w14:paraId="01B3CDD3" w14:textId="77777777" w:rsidTr="00DD0367">
        <w:trPr>
          <w:trHeight w:val="257"/>
        </w:trPr>
        <w:tc>
          <w:tcPr>
            <w:tcW w:w="236" w:type="dxa"/>
            <w:tcBorders>
              <w:top w:val="nil"/>
              <w:left w:val="nil"/>
              <w:bottom w:val="nil"/>
              <w:right w:val="nil"/>
            </w:tcBorders>
            <w:shd w:val="clear" w:color="auto" w:fill="auto"/>
            <w:noWrap/>
            <w:vAlign w:val="bottom"/>
            <w:hideMark/>
          </w:tcPr>
          <w:p w14:paraId="774C8E67"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4EFFEA1F"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4AC585E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61.44*** (60.51, 62.37)</w:t>
            </w:r>
          </w:p>
        </w:tc>
        <w:tc>
          <w:tcPr>
            <w:tcW w:w="2006" w:type="dxa"/>
            <w:tcBorders>
              <w:top w:val="nil"/>
              <w:left w:val="nil"/>
              <w:bottom w:val="nil"/>
              <w:right w:val="nil"/>
            </w:tcBorders>
            <w:shd w:val="clear" w:color="000000" w:fill="F2F2F2"/>
            <w:noWrap/>
            <w:vAlign w:val="bottom"/>
            <w:hideMark/>
          </w:tcPr>
          <w:p w14:paraId="16AE8BD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-0.05*** (-0.06, -0.05)</w:t>
            </w:r>
          </w:p>
        </w:tc>
        <w:tc>
          <w:tcPr>
            <w:tcW w:w="2006" w:type="dxa"/>
            <w:tcBorders>
              <w:top w:val="nil"/>
              <w:left w:val="nil"/>
              <w:bottom w:val="nil"/>
              <w:right w:val="nil"/>
            </w:tcBorders>
            <w:shd w:val="clear" w:color="000000" w:fill="F2F2F2"/>
            <w:noWrap/>
            <w:vAlign w:val="bottom"/>
            <w:hideMark/>
          </w:tcPr>
          <w:p w14:paraId="4137954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4.53*** (3.01, 6.05)</w:t>
            </w:r>
          </w:p>
        </w:tc>
        <w:tc>
          <w:tcPr>
            <w:tcW w:w="2006" w:type="dxa"/>
            <w:tcBorders>
              <w:top w:val="nil"/>
              <w:left w:val="nil"/>
              <w:bottom w:val="nil"/>
              <w:right w:val="nil"/>
            </w:tcBorders>
            <w:shd w:val="clear" w:color="000000" w:fill="F2F2F2"/>
            <w:noWrap/>
            <w:vAlign w:val="bottom"/>
            <w:hideMark/>
          </w:tcPr>
          <w:p w14:paraId="0C671E1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-0.07 (-0.25, 0.11)</w:t>
            </w:r>
          </w:p>
        </w:tc>
        <w:tc>
          <w:tcPr>
            <w:tcW w:w="2006" w:type="dxa"/>
            <w:tcBorders>
              <w:top w:val="nil"/>
              <w:left w:val="nil"/>
              <w:bottom w:val="nil"/>
              <w:right w:val="nil"/>
            </w:tcBorders>
            <w:shd w:val="clear" w:color="000000" w:fill="F2F2F2"/>
            <w:noWrap/>
            <w:vAlign w:val="bottom"/>
            <w:hideMark/>
          </w:tcPr>
          <w:p w14:paraId="6AFA028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3.55** (1.44, 5.66)</w:t>
            </w:r>
          </w:p>
        </w:tc>
        <w:tc>
          <w:tcPr>
            <w:tcW w:w="2007" w:type="dxa"/>
            <w:tcBorders>
              <w:top w:val="nil"/>
              <w:left w:val="nil"/>
              <w:bottom w:val="nil"/>
              <w:right w:val="nil"/>
            </w:tcBorders>
            <w:shd w:val="clear" w:color="000000" w:fill="F2F2F2"/>
            <w:noWrap/>
            <w:vAlign w:val="bottom"/>
            <w:hideMark/>
          </w:tcPr>
          <w:p w14:paraId="14404C1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6223AD29" w14:textId="77777777" w:rsidTr="00DD0367">
        <w:trPr>
          <w:trHeight w:val="257"/>
        </w:trPr>
        <w:tc>
          <w:tcPr>
            <w:tcW w:w="236" w:type="dxa"/>
            <w:tcBorders>
              <w:top w:val="nil"/>
              <w:left w:val="nil"/>
              <w:bottom w:val="nil"/>
              <w:right w:val="nil"/>
            </w:tcBorders>
            <w:shd w:val="clear" w:color="auto" w:fill="auto"/>
            <w:noWrap/>
            <w:vAlign w:val="bottom"/>
            <w:hideMark/>
          </w:tcPr>
          <w:p w14:paraId="69EBC55B"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14FF2CA0"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1C5FA43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1.217*** (1.195, 1.239)</w:t>
            </w:r>
          </w:p>
        </w:tc>
        <w:tc>
          <w:tcPr>
            <w:tcW w:w="2006" w:type="dxa"/>
            <w:tcBorders>
              <w:top w:val="nil"/>
              <w:left w:val="nil"/>
              <w:bottom w:val="nil"/>
              <w:right w:val="nil"/>
            </w:tcBorders>
            <w:shd w:val="clear" w:color="auto" w:fill="auto"/>
            <w:noWrap/>
            <w:vAlign w:val="bottom"/>
            <w:hideMark/>
          </w:tcPr>
          <w:p w14:paraId="1C2B53E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06" w:type="dxa"/>
            <w:tcBorders>
              <w:top w:val="nil"/>
              <w:left w:val="nil"/>
              <w:bottom w:val="nil"/>
              <w:right w:val="nil"/>
            </w:tcBorders>
            <w:shd w:val="clear" w:color="auto" w:fill="auto"/>
            <w:noWrap/>
            <w:vAlign w:val="bottom"/>
            <w:hideMark/>
          </w:tcPr>
          <w:p w14:paraId="453FA0A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-0.017 (-0.052, 0.019)</w:t>
            </w:r>
          </w:p>
        </w:tc>
        <w:tc>
          <w:tcPr>
            <w:tcW w:w="2006" w:type="dxa"/>
            <w:tcBorders>
              <w:top w:val="nil"/>
              <w:left w:val="nil"/>
              <w:bottom w:val="nil"/>
              <w:right w:val="nil"/>
            </w:tcBorders>
            <w:shd w:val="clear" w:color="auto" w:fill="auto"/>
            <w:noWrap/>
            <w:vAlign w:val="bottom"/>
            <w:hideMark/>
          </w:tcPr>
          <w:p w14:paraId="35034D0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0.009*** (0.004, 0.013)</w:t>
            </w:r>
          </w:p>
        </w:tc>
        <w:tc>
          <w:tcPr>
            <w:tcW w:w="2006" w:type="dxa"/>
            <w:tcBorders>
              <w:top w:val="nil"/>
              <w:left w:val="nil"/>
              <w:bottom w:val="nil"/>
              <w:right w:val="nil"/>
            </w:tcBorders>
            <w:shd w:val="clear" w:color="auto" w:fill="auto"/>
            <w:noWrap/>
            <w:vAlign w:val="bottom"/>
            <w:hideMark/>
          </w:tcPr>
          <w:p w14:paraId="5AAE28D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0.114*** (0.064, 0.163)</w:t>
            </w:r>
          </w:p>
        </w:tc>
        <w:tc>
          <w:tcPr>
            <w:tcW w:w="2007" w:type="dxa"/>
            <w:tcBorders>
              <w:top w:val="nil"/>
              <w:left w:val="nil"/>
              <w:bottom w:val="nil"/>
              <w:right w:val="nil"/>
            </w:tcBorders>
            <w:shd w:val="clear" w:color="auto" w:fill="auto"/>
            <w:noWrap/>
            <w:vAlign w:val="bottom"/>
            <w:hideMark/>
          </w:tcPr>
          <w:p w14:paraId="66623F4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37FBFD12"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0DB6FA9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Problems with living conditions</w:t>
            </w:r>
          </w:p>
        </w:tc>
        <w:tc>
          <w:tcPr>
            <w:tcW w:w="2006" w:type="dxa"/>
            <w:tcBorders>
              <w:top w:val="nil"/>
              <w:left w:val="single" w:sz="4" w:space="0" w:color="auto"/>
              <w:bottom w:val="nil"/>
              <w:right w:val="nil"/>
            </w:tcBorders>
            <w:shd w:val="clear" w:color="auto" w:fill="auto"/>
            <w:noWrap/>
            <w:vAlign w:val="bottom"/>
            <w:hideMark/>
          </w:tcPr>
          <w:p w14:paraId="3FB7BCD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06D412A5"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10DC0090"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630E45C3"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3597458C"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0753E16E" w14:textId="77777777" w:rsidR="00DD0367" w:rsidRPr="00A80562" w:rsidRDefault="00DD0367" w:rsidP="00DD0367">
            <w:pPr>
              <w:spacing w:after="0" w:line="240" w:lineRule="auto"/>
              <w:jc w:val="left"/>
              <w:rPr>
                <w:rFonts w:eastAsia="Times New Roman"/>
                <w:lang w:eastAsia="en-GB"/>
              </w:rPr>
            </w:pPr>
          </w:p>
        </w:tc>
      </w:tr>
      <w:tr w:rsidR="00DD0367" w:rsidRPr="00A80562" w14:paraId="140F505D" w14:textId="77777777" w:rsidTr="00DD0367">
        <w:trPr>
          <w:trHeight w:val="257"/>
        </w:trPr>
        <w:tc>
          <w:tcPr>
            <w:tcW w:w="236" w:type="dxa"/>
            <w:tcBorders>
              <w:top w:val="nil"/>
              <w:left w:val="nil"/>
              <w:bottom w:val="nil"/>
              <w:right w:val="nil"/>
            </w:tcBorders>
            <w:shd w:val="clear" w:color="auto" w:fill="auto"/>
            <w:noWrap/>
            <w:vAlign w:val="bottom"/>
            <w:hideMark/>
          </w:tcPr>
          <w:p w14:paraId="592879A6"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00CFB48B"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3B4DE6C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30.19*** (29.18, 31.19)</w:t>
            </w:r>
          </w:p>
        </w:tc>
        <w:tc>
          <w:tcPr>
            <w:tcW w:w="2006" w:type="dxa"/>
            <w:tcBorders>
              <w:top w:val="nil"/>
              <w:left w:val="nil"/>
              <w:bottom w:val="nil"/>
              <w:right w:val="nil"/>
            </w:tcBorders>
            <w:shd w:val="clear" w:color="000000" w:fill="F2F2F2"/>
            <w:noWrap/>
            <w:vAlign w:val="bottom"/>
            <w:hideMark/>
          </w:tcPr>
          <w:p w14:paraId="369C2A0E"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-0.02*** (-0.03, -0.02)</w:t>
            </w:r>
          </w:p>
        </w:tc>
        <w:tc>
          <w:tcPr>
            <w:tcW w:w="2006" w:type="dxa"/>
            <w:tcBorders>
              <w:top w:val="nil"/>
              <w:left w:val="nil"/>
              <w:bottom w:val="nil"/>
              <w:right w:val="nil"/>
            </w:tcBorders>
            <w:shd w:val="clear" w:color="000000" w:fill="F2F2F2"/>
            <w:noWrap/>
            <w:vAlign w:val="bottom"/>
            <w:hideMark/>
          </w:tcPr>
          <w:p w14:paraId="2006296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6.4*** (4.76, 8.03)</w:t>
            </w:r>
          </w:p>
        </w:tc>
        <w:tc>
          <w:tcPr>
            <w:tcW w:w="2006" w:type="dxa"/>
            <w:tcBorders>
              <w:top w:val="nil"/>
              <w:left w:val="nil"/>
              <w:bottom w:val="nil"/>
              <w:right w:val="nil"/>
            </w:tcBorders>
            <w:shd w:val="clear" w:color="000000" w:fill="F2F2F2"/>
            <w:noWrap/>
            <w:vAlign w:val="bottom"/>
            <w:hideMark/>
          </w:tcPr>
          <w:p w14:paraId="276E8DB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-0.45*** (-0.64, -0.25)</w:t>
            </w:r>
          </w:p>
        </w:tc>
        <w:tc>
          <w:tcPr>
            <w:tcW w:w="2006" w:type="dxa"/>
            <w:tcBorders>
              <w:top w:val="nil"/>
              <w:left w:val="nil"/>
              <w:bottom w:val="nil"/>
              <w:right w:val="nil"/>
            </w:tcBorders>
            <w:shd w:val="clear" w:color="000000" w:fill="F2F2F2"/>
            <w:noWrap/>
            <w:vAlign w:val="bottom"/>
            <w:hideMark/>
          </w:tcPr>
          <w:p w14:paraId="573E60C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-0.3 (-2.57, 1.98)</w:t>
            </w:r>
          </w:p>
        </w:tc>
        <w:tc>
          <w:tcPr>
            <w:tcW w:w="2007" w:type="dxa"/>
            <w:tcBorders>
              <w:top w:val="nil"/>
              <w:left w:val="nil"/>
              <w:bottom w:val="nil"/>
              <w:right w:val="nil"/>
            </w:tcBorders>
            <w:shd w:val="clear" w:color="000000" w:fill="F2F2F2"/>
            <w:noWrap/>
            <w:vAlign w:val="bottom"/>
            <w:hideMark/>
          </w:tcPr>
          <w:p w14:paraId="0F142D0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5F7F82F7" w14:textId="77777777" w:rsidTr="00DD0367">
        <w:trPr>
          <w:trHeight w:val="257"/>
        </w:trPr>
        <w:tc>
          <w:tcPr>
            <w:tcW w:w="236" w:type="dxa"/>
            <w:tcBorders>
              <w:top w:val="nil"/>
              <w:left w:val="nil"/>
              <w:bottom w:val="nil"/>
              <w:right w:val="nil"/>
            </w:tcBorders>
            <w:shd w:val="clear" w:color="auto" w:fill="auto"/>
            <w:noWrap/>
            <w:vAlign w:val="bottom"/>
            <w:hideMark/>
          </w:tcPr>
          <w:p w14:paraId="2A8AC0D3"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28142B9B"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28D9A1B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0.557*** (0.537, 0.577)</w:t>
            </w:r>
          </w:p>
        </w:tc>
        <w:tc>
          <w:tcPr>
            <w:tcW w:w="2006" w:type="dxa"/>
            <w:tcBorders>
              <w:top w:val="nil"/>
              <w:left w:val="nil"/>
              <w:bottom w:val="nil"/>
              <w:right w:val="nil"/>
            </w:tcBorders>
            <w:shd w:val="clear" w:color="auto" w:fill="auto"/>
            <w:noWrap/>
            <w:vAlign w:val="bottom"/>
            <w:hideMark/>
          </w:tcPr>
          <w:p w14:paraId="401CC89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-0.001*** (-0.001, 0)</w:t>
            </w:r>
          </w:p>
        </w:tc>
        <w:tc>
          <w:tcPr>
            <w:tcW w:w="2006" w:type="dxa"/>
            <w:tcBorders>
              <w:top w:val="nil"/>
              <w:left w:val="nil"/>
              <w:bottom w:val="nil"/>
              <w:right w:val="nil"/>
            </w:tcBorders>
            <w:shd w:val="clear" w:color="auto" w:fill="auto"/>
            <w:noWrap/>
            <w:vAlign w:val="bottom"/>
            <w:hideMark/>
          </w:tcPr>
          <w:p w14:paraId="2B48E33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0.076*** (0.044, 0.108)</w:t>
            </w:r>
          </w:p>
        </w:tc>
        <w:tc>
          <w:tcPr>
            <w:tcW w:w="2006" w:type="dxa"/>
            <w:tcBorders>
              <w:top w:val="nil"/>
              <w:left w:val="nil"/>
              <w:bottom w:val="nil"/>
              <w:right w:val="nil"/>
            </w:tcBorders>
            <w:shd w:val="clear" w:color="auto" w:fill="auto"/>
            <w:noWrap/>
            <w:vAlign w:val="bottom"/>
            <w:hideMark/>
          </w:tcPr>
          <w:p w14:paraId="26406C1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-0.005** (-0.009, -0.001)</w:t>
            </w:r>
          </w:p>
        </w:tc>
        <w:tc>
          <w:tcPr>
            <w:tcW w:w="2006" w:type="dxa"/>
            <w:tcBorders>
              <w:top w:val="nil"/>
              <w:left w:val="nil"/>
              <w:bottom w:val="nil"/>
              <w:right w:val="nil"/>
            </w:tcBorders>
            <w:shd w:val="clear" w:color="auto" w:fill="auto"/>
            <w:noWrap/>
            <w:vAlign w:val="bottom"/>
            <w:hideMark/>
          </w:tcPr>
          <w:p w14:paraId="107FD5C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-0.001 (-0.045, 0.044)</w:t>
            </w:r>
          </w:p>
        </w:tc>
        <w:tc>
          <w:tcPr>
            <w:tcW w:w="2007" w:type="dxa"/>
            <w:tcBorders>
              <w:top w:val="nil"/>
              <w:left w:val="nil"/>
              <w:bottom w:val="nil"/>
              <w:right w:val="nil"/>
            </w:tcBorders>
            <w:shd w:val="clear" w:color="auto" w:fill="auto"/>
            <w:noWrap/>
            <w:vAlign w:val="bottom"/>
            <w:hideMark/>
          </w:tcPr>
          <w:p w14:paraId="1337D1FD"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478276B3" w14:textId="77777777" w:rsidTr="00DD0367">
        <w:trPr>
          <w:trHeight w:val="257"/>
        </w:trPr>
        <w:tc>
          <w:tcPr>
            <w:tcW w:w="3261" w:type="dxa"/>
            <w:gridSpan w:val="2"/>
            <w:tcBorders>
              <w:top w:val="nil"/>
              <w:left w:val="nil"/>
              <w:bottom w:val="nil"/>
              <w:right w:val="nil"/>
            </w:tcBorders>
            <w:shd w:val="clear" w:color="auto" w:fill="auto"/>
            <w:noWrap/>
            <w:vAlign w:val="bottom"/>
            <w:hideMark/>
          </w:tcPr>
          <w:p w14:paraId="39D0367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Problems with occupation and activities</w:t>
            </w:r>
          </w:p>
        </w:tc>
        <w:tc>
          <w:tcPr>
            <w:tcW w:w="2006" w:type="dxa"/>
            <w:tcBorders>
              <w:top w:val="nil"/>
              <w:left w:val="single" w:sz="4" w:space="0" w:color="auto"/>
              <w:bottom w:val="nil"/>
              <w:right w:val="nil"/>
            </w:tcBorders>
            <w:shd w:val="clear" w:color="auto" w:fill="auto"/>
            <w:noWrap/>
            <w:vAlign w:val="bottom"/>
            <w:hideMark/>
          </w:tcPr>
          <w:p w14:paraId="03C5586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nil"/>
              <w:right w:val="nil"/>
            </w:tcBorders>
            <w:shd w:val="clear" w:color="auto" w:fill="auto"/>
            <w:noWrap/>
            <w:vAlign w:val="bottom"/>
            <w:hideMark/>
          </w:tcPr>
          <w:p w14:paraId="44DE4376" w14:textId="77777777" w:rsidR="00DD0367" w:rsidRPr="00A80562" w:rsidRDefault="00DD0367" w:rsidP="00DD0367">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1DCED4FE"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22CDE6EC" w14:textId="77777777" w:rsidR="00DD0367" w:rsidRPr="00A80562" w:rsidRDefault="00DD0367" w:rsidP="00DD0367">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5020AC9F" w14:textId="77777777" w:rsidR="00DD0367" w:rsidRPr="00A80562" w:rsidRDefault="00DD0367" w:rsidP="00DD0367">
            <w:pPr>
              <w:spacing w:after="0" w:line="240" w:lineRule="auto"/>
              <w:jc w:val="left"/>
              <w:rPr>
                <w:rFonts w:eastAsia="Times New Roman"/>
                <w:lang w:eastAsia="en-GB"/>
              </w:rPr>
            </w:pPr>
          </w:p>
        </w:tc>
        <w:tc>
          <w:tcPr>
            <w:tcW w:w="2007" w:type="dxa"/>
            <w:tcBorders>
              <w:top w:val="nil"/>
              <w:left w:val="nil"/>
              <w:bottom w:val="nil"/>
              <w:right w:val="nil"/>
            </w:tcBorders>
            <w:shd w:val="clear" w:color="auto" w:fill="auto"/>
            <w:noWrap/>
            <w:vAlign w:val="bottom"/>
            <w:hideMark/>
          </w:tcPr>
          <w:p w14:paraId="108B3525" w14:textId="77777777" w:rsidR="00DD0367" w:rsidRPr="00A80562" w:rsidRDefault="00DD0367" w:rsidP="00DD0367">
            <w:pPr>
              <w:spacing w:after="0" w:line="240" w:lineRule="auto"/>
              <w:jc w:val="left"/>
              <w:rPr>
                <w:rFonts w:eastAsia="Times New Roman"/>
                <w:lang w:eastAsia="en-GB"/>
              </w:rPr>
            </w:pPr>
          </w:p>
        </w:tc>
      </w:tr>
      <w:tr w:rsidR="00DD0367" w:rsidRPr="00A80562" w14:paraId="12B19442" w14:textId="77777777" w:rsidTr="00DD0367">
        <w:trPr>
          <w:trHeight w:val="257"/>
        </w:trPr>
        <w:tc>
          <w:tcPr>
            <w:tcW w:w="236" w:type="dxa"/>
            <w:tcBorders>
              <w:top w:val="nil"/>
              <w:left w:val="nil"/>
              <w:bottom w:val="nil"/>
              <w:right w:val="nil"/>
            </w:tcBorders>
            <w:shd w:val="clear" w:color="auto" w:fill="auto"/>
            <w:noWrap/>
            <w:vAlign w:val="bottom"/>
            <w:hideMark/>
          </w:tcPr>
          <w:p w14:paraId="73109BF2" w14:textId="77777777" w:rsidR="00DD0367" w:rsidRPr="00A80562" w:rsidRDefault="00DD0367" w:rsidP="00DD0367">
            <w:pPr>
              <w:spacing w:after="0" w:line="240" w:lineRule="auto"/>
              <w:jc w:val="left"/>
              <w:rPr>
                <w:rFonts w:eastAsia="Times New Roman"/>
                <w:lang w:eastAsia="en-GB"/>
              </w:rPr>
            </w:pPr>
          </w:p>
        </w:tc>
        <w:tc>
          <w:tcPr>
            <w:tcW w:w="3025" w:type="dxa"/>
            <w:tcBorders>
              <w:top w:val="nil"/>
              <w:left w:val="nil"/>
              <w:bottom w:val="nil"/>
              <w:right w:val="nil"/>
            </w:tcBorders>
            <w:shd w:val="clear" w:color="000000" w:fill="F2F2F2"/>
            <w:noWrap/>
            <w:vAlign w:val="bottom"/>
            <w:hideMark/>
          </w:tcPr>
          <w:p w14:paraId="5F3B9AD5"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6" w:type="dxa"/>
            <w:tcBorders>
              <w:top w:val="nil"/>
              <w:left w:val="single" w:sz="4" w:space="0" w:color="auto"/>
              <w:bottom w:val="nil"/>
              <w:right w:val="nil"/>
            </w:tcBorders>
            <w:shd w:val="clear" w:color="000000" w:fill="F2F2F2"/>
            <w:noWrap/>
            <w:vAlign w:val="bottom"/>
            <w:hideMark/>
          </w:tcPr>
          <w:p w14:paraId="0CAFCA67"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58.12*** (57.12, 59.13)</w:t>
            </w:r>
          </w:p>
        </w:tc>
        <w:tc>
          <w:tcPr>
            <w:tcW w:w="2006" w:type="dxa"/>
            <w:tcBorders>
              <w:top w:val="nil"/>
              <w:left w:val="nil"/>
              <w:bottom w:val="nil"/>
              <w:right w:val="nil"/>
            </w:tcBorders>
            <w:shd w:val="clear" w:color="000000" w:fill="F2F2F2"/>
            <w:noWrap/>
            <w:vAlign w:val="bottom"/>
            <w:hideMark/>
          </w:tcPr>
          <w:p w14:paraId="4EF48FE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-0.05*** (-0.06, -0.04)</w:t>
            </w:r>
          </w:p>
        </w:tc>
        <w:tc>
          <w:tcPr>
            <w:tcW w:w="2006" w:type="dxa"/>
            <w:tcBorders>
              <w:top w:val="nil"/>
              <w:left w:val="nil"/>
              <w:bottom w:val="nil"/>
              <w:right w:val="nil"/>
            </w:tcBorders>
            <w:shd w:val="clear" w:color="000000" w:fill="F2F2F2"/>
            <w:noWrap/>
            <w:vAlign w:val="bottom"/>
            <w:hideMark/>
          </w:tcPr>
          <w:p w14:paraId="1741A3D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4.94*** (3.29, 6.58)</w:t>
            </w:r>
          </w:p>
        </w:tc>
        <w:tc>
          <w:tcPr>
            <w:tcW w:w="2006" w:type="dxa"/>
            <w:tcBorders>
              <w:top w:val="nil"/>
              <w:left w:val="nil"/>
              <w:bottom w:val="nil"/>
              <w:right w:val="nil"/>
            </w:tcBorders>
            <w:shd w:val="clear" w:color="000000" w:fill="F2F2F2"/>
            <w:noWrap/>
            <w:vAlign w:val="bottom"/>
            <w:hideMark/>
          </w:tcPr>
          <w:p w14:paraId="4C37C39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0.02 (-0.17, 0.22)</w:t>
            </w:r>
          </w:p>
        </w:tc>
        <w:tc>
          <w:tcPr>
            <w:tcW w:w="2006" w:type="dxa"/>
            <w:tcBorders>
              <w:top w:val="nil"/>
              <w:left w:val="nil"/>
              <w:bottom w:val="nil"/>
              <w:right w:val="nil"/>
            </w:tcBorders>
            <w:shd w:val="clear" w:color="000000" w:fill="F2F2F2"/>
            <w:noWrap/>
            <w:vAlign w:val="bottom"/>
            <w:hideMark/>
          </w:tcPr>
          <w:p w14:paraId="1257C9E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5.29*** (3.01, 7.58)</w:t>
            </w:r>
          </w:p>
        </w:tc>
        <w:tc>
          <w:tcPr>
            <w:tcW w:w="2007" w:type="dxa"/>
            <w:tcBorders>
              <w:top w:val="nil"/>
              <w:left w:val="nil"/>
              <w:bottom w:val="nil"/>
              <w:right w:val="nil"/>
            </w:tcBorders>
            <w:shd w:val="clear" w:color="000000" w:fill="F2F2F2"/>
            <w:noWrap/>
            <w:vAlign w:val="bottom"/>
            <w:hideMark/>
          </w:tcPr>
          <w:p w14:paraId="4CE89BE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1184530B" w14:textId="77777777" w:rsidTr="00DD0367">
        <w:trPr>
          <w:trHeight w:val="257"/>
        </w:trPr>
        <w:tc>
          <w:tcPr>
            <w:tcW w:w="236" w:type="dxa"/>
            <w:tcBorders>
              <w:top w:val="nil"/>
              <w:left w:val="nil"/>
              <w:bottom w:val="nil"/>
              <w:right w:val="nil"/>
            </w:tcBorders>
            <w:shd w:val="clear" w:color="auto" w:fill="auto"/>
            <w:noWrap/>
            <w:vAlign w:val="bottom"/>
            <w:hideMark/>
          </w:tcPr>
          <w:p w14:paraId="41916950"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02820AE4"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6" w:type="dxa"/>
            <w:tcBorders>
              <w:top w:val="nil"/>
              <w:left w:val="single" w:sz="4" w:space="0" w:color="auto"/>
              <w:bottom w:val="nil"/>
              <w:right w:val="nil"/>
            </w:tcBorders>
            <w:shd w:val="clear" w:color="auto" w:fill="auto"/>
            <w:noWrap/>
            <w:vAlign w:val="bottom"/>
            <w:hideMark/>
          </w:tcPr>
          <w:p w14:paraId="51E884B9"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1.151*** (1.128, 1.174)</w:t>
            </w:r>
          </w:p>
        </w:tc>
        <w:tc>
          <w:tcPr>
            <w:tcW w:w="2006" w:type="dxa"/>
            <w:tcBorders>
              <w:top w:val="nil"/>
              <w:left w:val="nil"/>
              <w:bottom w:val="nil"/>
              <w:right w:val="nil"/>
            </w:tcBorders>
            <w:shd w:val="clear" w:color="auto" w:fill="auto"/>
            <w:noWrap/>
            <w:vAlign w:val="bottom"/>
            <w:hideMark/>
          </w:tcPr>
          <w:p w14:paraId="60389A6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06" w:type="dxa"/>
            <w:tcBorders>
              <w:top w:val="nil"/>
              <w:left w:val="nil"/>
              <w:bottom w:val="nil"/>
              <w:right w:val="nil"/>
            </w:tcBorders>
            <w:shd w:val="clear" w:color="auto" w:fill="auto"/>
            <w:noWrap/>
            <w:vAlign w:val="bottom"/>
            <w:hideMark/>
          </w:tcPr>
          <w:p w14:paraId="76875EAA"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0.015 (-0.022, 0.053)</w:t>
            </w:r>
          </w:p>
        </w:tc>
        <w:tc>
          <w:tcPr>
            <w:tcW w:w="2006" w:type="dxa"/>
            <w:tcBorders>
              <w:top w:val="nil"/>
              <w:left w:val="nil"/>
              <w:bottom w:val="nil"/>
              <w:right w:val="nil"/>
            </w:tcBorders>
            <w:shd w:val="clear" w:color="auto" w:fill="auto"/>
            <w:noWrap/>
            <w:vAlign w:val="bottom"/>
            <w:hideMark/>
          </w:tcPr>
          <w:p w14:paraId="4247A16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0.007** (0.003, 0.012)</w:t>
            </w:r>
          </w:p>
        </w:tc>
        <w:tc>
          <w:tcPr>
            <w:tcW w:w="2006" w:type="dxa"/>
            <w:tcBorders>
              <w:top w:val="nil"/>
              <w:left w:val="nil"/>
              <w:bottom w:val="nil"/>
              <w:right w:val="nil"/>
            </w:tcBorders>
            <w:shd w:val="clear" w:color="auto" w:fill="auto"/>
            <w:noWrap/>
            <w:vAlign w:val="bottom"/>
            <w:hideMark/>
          </w:tcPr>
          <w:p w14:paraId="51070FB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0.125*** (0.073, 0.177)</w:t>
            </w:r>
          </w:p>
        </w:tc>
        <w:tc>
          <w:tcPr>
            <w:tcW w:w="2007" w:type="dxa"/>
            <w:tcBorders>
              <w:top w:val="nil"/>
              <w:left w:val="nil"/>
              <w:bottom w:val="nil"/>
              <w:right w:val="nil"/>
            </w:tcBorders>
            <w:shd w:val="clear" w:color="auto" w:fill="auto"/>
            <w:noWrap/>
            <w:vAlign w:val="bottom"/>
            <w:hideMark/>
          </w:tcPr>
          <w:p w14:paraId="16F35EB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67DAFDAF" w14:textId="77777777" w:rsidTr="00DD0367">
        <w:trPr>
          <w:trHeight w:val="257"/>
        </w:trPr>
        <w:tc>
          <w:tcPr>
            <w:tcW w:w="3261" w:type="dxa"/>
            <w:gridSpan w:val="2"/>
            <w:tcBorders>
              <w:top w:val="nil"/>
              <w:left w:val="nil"/>
              <w:bottom w:val="single" w:sz="4" w:space="0" w:color="auto"/>
              <w:right w:val="nil"/>
            </w:tcBorders>
            <w:shd w:val="clear" w:color="auto" w:fill="auto"/>
            <w:noWrap/>
            <w:vAlign w:val="bottom"/>
            <w:hideMark/>
          </w:tcPr>
          <w:p w14:paraId="1C727CF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HoNOS repeated assessments (within 12 weeks)</w:t>
            </w:r>
          </w:p>
        </w:tc>
        <w:tc>
          <w:tcPr>
            <w:tcW w:w="2006" w:type="dxa"/>
            <w:tcBorders>
              <w:top w:val="nil"/>
              <w:left w:val="single" w:sz="4" w:space="0" w:color="auto"/>
              <w:bottom w:val="single" w:sz="4" w:space="0" w:color="auto"/>
              <w:right w:val="nil"/>
            </w:tcBorders>
            <w:shd w:val="clear" w:color="auto" w:fill="auto"/>
            <w:noWrap/>
            <w:vAlign w:val="bottom"/>
            <w:hideMark/>
          </w:tcPr>
          <w:p w14:paraId="6F3059B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2CEE500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4D808C9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579E15E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66BA4C3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7" w:type="dxa"/>
            <w:tcBorders>
              <w:top w:val="nil"/>
              <w:left w:val="nil"/>
              <w:bottom w:val="single" w:sz="4" w:space="0" w:color="auto"/>
              <w:right w:val="nil"/>
            </w:tcBorders>
            <w:shd w:val="clear" w:color="auto" w:fill="auto"/>
            <w:noWrap/>
            <w:vAlign w:val="bottom"/>
            <w:hideMark/>
          </w:tcPr>
          <w:p w14:paraId="140A3D3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DD0367" w:rsidRPr="00A80562" w14:paraId="3D56798B" w14:textId="77777777" w:rsidTr="00DD0367">
        <w:trPr>
          <w:trHeight w:val="257"/>
        </w:trPr>
        <w:tc>
          <w:tcPr>
            <w:tcW w:w="236" w:type="dxa"/>
            <w:tcBorders>
              <w:top w:val="nil"/>
              <w:left w:val="nil"/>
              <w:bottom w:val="nil"/>
              <w:right w:val="nil"/>
            </w:tcBorders>
            <w:shd w:val="clear" w:color="auto" w:fill="auto"/>
            <w:noWrap/>
            <w:vAlign w:val="bottom"/>
            <w:hideMark/>
          </w:tcPr>
          <w:p w14:paraId="5742FDD6"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4010DDB9"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 change</w:t>
            </w:r>
          </w:p>
        </w:tc>
        <w:tc>
          <w:tcPr>
            <w:tcW w:w="2006" w:type="dxa"/>
            <w:tcBorders>
              <w:top w:val="nil"/>
              <w:left w:val="single" w:sz="4" w:space="0" w:color="auto"/>
              <w:bottom w:val="nil"/>
              <w:right w:val="nil"/>
            </w:tcBorders>
            <w:shd w:val="clear" w:color="000000" w:fill="F2F2F2"/>
            <w:noWrap/>
            <w:vAlign w:val="bottom"/>
            <w:hideMark/>
          </w:tcPr>
          <w:p w14:paraId="6216DA0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-1.463*** (-1.739, -1.187)</w:t>
            </w:r>
          </w:p>
        </w:tc>
        <w:tc>
          <w:tcPr>
            <w:tcW w:w="2006" w:type="dxa"/>
            <w:tcBorders>
              <w:top w:val="nil"/>
              <w:left w:val="nil"/>
              <w:bottom w:val="nil"/>
              <w:right w:val="nil"/>
            </w:tcBorders>
            <w:shd w:val="clear" w:color="000000" w:fill="F2F2F2"/>
            <w:noWrap/>
            <w:vAlign w:val="bottom"/>
            <w:hideMark/>
          </w:tcPr>
          <w:p w14:paraId="21B6ED8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0.004** (0.001, 0.006)</w:t>
            </w:r>
          </w:p>
        </w:tc>
        <w:tc>
          <w:tcPr>
            <w:tcW w:w="2006" w:type="dxa"/>
            <w:tcBorders>
              <w:top w:val="nil"/>
              <w:left w:val="nil"/>
              <w:bottom w:val="nil"/>
              <w:right w:val="nil"/>
            </w:tcBorders>
            <w:shd w:val="clear" w:color="000000" w:fill="F2F2F2"/>
            <w:noWrap/>
            <w:vAlign w:val="bottom"/>
            <w:hideMark/>
          </w:tcPr>
          <w:p w14:paraId="01C3034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-1.727*** (-2.101, -1.353)</w:t>
            </w:r>
          </w:p>
        </w:tc>
        <w:tc>
          <w:tcPr>
            <w:tcW w:w="2006" w:type="dxa"/>
            <w:tcBorders>
              <w:top w:val="nil"/>
              <w:left w:val="nil"/>
              <w:bottom w:val="nil"/>
              <w:right w:val="nil"/>
            </w:tcBorders>
            <w:shd w:val="clear" w:color="000000" w:fill="F2F2F2"/>
            <w:noWrap/>
            <w:vAlign w:val="bottom"/>
            <w:hideMark/>
          </w:tcPr>
          <w:p w14:paraId="3160725C"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0.352*** (0.322, 0.381)</w:t>
            </w:r>
          </w:p>
        </w:tc>
        <w:tc>
          <w:tcPr>
            <w:tcW w:w="2006" w:type="dxa"/>
            <w:tcBorders>
              <w:top w:val="nil"/>
              <w:left w:val="nil"/>
              <w:bottom w:val="nil"/>
              <w:right w:val="nil"/>
            </w:tcBorders>
            <w:shd w:val="clear" w:color="000000" w:fill="F2F2F2"/>
            <w:noWrap/>
            <w:vAlign w:val="bottom"/>
            <w:hideMark/>
          </w:tcPr>
          <w:p w14:paraId="5C101188"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3.547*** (3.18, 3.914)</w:t>
            </w:r>
          </w:p>
        </w:tc>
        <w:tc>
          <w:tcPr>
            <w:tcW w:w="2007" w:type="dxa"/>
            <w:tcBorders>
              <w:top w:val="nil"/>
              <w:left w:val="nil"/>
              <w:bottom w:val="nil"/>
              <w:right w:val="nil"/>
            </w:tcBorders>
            <w:shd w:val="clear" w:color="000000" w:fill="F2F2F2"/>
            <w:noWrap/>
            <w:vAlign w:val="bottom"/>
            <w:hideMark/>
          </w:tcPr>
          <w:p w14:paraId="6F7D84A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30D084CE" w14:textId="77777777" w:rsidTr="00DD0367">
        <w:trPr>
          <w:trHeight w:val="257"/>
        </w:trPr>
        <w:tc>
          <w:tcPr>
            <w:tcW w:w="236" w:type="dxa"/>
            <w:tcBorders>
              <w:top w:val="nil"/>
              <w:left w:val="nil"/>
              <w:bottom w:val="nil"/>
              <w:right w:val="nil"/>
            </w:tcBorders>
            <w:shd w:val="clear" w:color="auto" w:fill="auto"/>
            <w:noWrap/>
            <w:vAlign w:val="bottom"/>
            <w:hideMark/>
          </w:tcPr>
          <w:p w14:paraId="3981ADFA"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auto" w:fill="auto"/>
            <w:noWrap/>
            <w:vAlign w:val="bottom"/>
            <w:hideMark/>
          </w:tcPr>
          <w:p w14:paraId="3EFC198D"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 with overall deterioration</w:t>
            </w:r>
          </w:p>
        </w:tc>
        <w:tc>
          <w:tcPr>
            <w:tcW w:w="2006" w:type="dxa"/>
            <w:tcBorders>
              <w:top w:val="nil"/>
              <w:left w:val="single" w:sz="4" w:space="0" w:color="auto"/>
              <w:bottom w:val="nil"/>
              <w:right w:val="nil"/>
            </w:tcBorders>
            <w:shd w:val="clear" w:color="auto" w:fill="auto"/>
            <w:noWrap/>
            <w:vAlign w:val="bottom"/>
            <w:hideMark/>
          </w:tcPr>
          <w:p w14:paraId="686D05D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33.08*** (31.42, 34.74)</w:t>
            </w:r>
          </w:p>
        </w:tc>
        <w:tc>
          <w:tcPr>
            <w:tcW w:w="2006" w:type="dxa"/>
            <w:tcBorders>
              <w:top w:val="nil"/>
              <w:left w:val="nil"/>
              <w:bottom w:val="nil"/>
              <w:right w:val="nil"/>
            </w:tcBorders>
            <w:shd w:val="clear" w:color="auto" w:fill="auto"/>
            <w:noWrap/>
            <w:vAlign w:val="bottom"/>
            <w:hideMark/>
          </w:tcPr>
          <w:p w14:paraId="39871913"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0.02*** (0.01, 0.04)</w:t>
            </w:r>
          </w:p>
        </w:tc>
        <w:tc>
          <w:tcPr>
            <w:tcW w:w="2006" w:type="dxa"/>
            <w:tcBorders>
              <w:top w:val="nil"/>
              <w:left w:val="nil"/>
              <w:bottom w:val="nil"/>
              <w:right w:val="nil"/>
            </w:tcBorders>
            <w:shd w:val="clear" w:color="auto" w:fill="auto"/>
            <w:noWrap/>
            <w:vAlign w:val="bottom"/>
            <w:hideMark/>
          </w:tcPr>
          <w:p w14:paraId="0ED9B84F"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-3.78** (-6.04, -1.53)</w:t>
            </w:r>
          </w:p>
        </w:tc>
        <w:tc>
          <w:tcPr>
            <w:tcW w:w="2006" w:type="dxa"/>
            <w:tcBorders>
              <w:top w:val="nil"/>
              <w:left w:val="nil"/>
              <w:bottom w:val="nil"/>
              <w:right w:val="nil"/>
            </w:tcBorders>
            <w:shd w:val="clear" w:color="auto" w:fill="auto"/>
            <w:noWrap/>
            <w:vAlign w:val="bottom"/>
            <w:hideMark/>
          </w:tcPr>
          <w:p w14:paraId="51807056"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0.67*** (0.49, 0.85)</w:t>
            </w:r>
          </w:p>
        </w:tc>
        <w:tc>
          <w:tcPr>
            <w:tcW w:w="2006" w:type="dxa"/>
            <w:tcBorders>
              <w:top w:val="nil"/>
              <w:left w:val="nil"/>
              <w:bottom w:val="nil"/>
              <w:right w:val="nil"/>
            </w:tcBorders>
            <w:shd w:val="clear" w:color="auto" w:fill="auto"/>
            <w:noWrap/>
            <w:vAlign w:val="bottom"/>
            <w:hideMark/>
          </w:tcPr>
          <w:p w14:paraId="47627194"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6.23*** (4.02, 8.44)</w:t>
            </w:r>
          </w:p>
        </w:tc>
        <w:tc>
          <w:tcPr>
            <w:tcW w:w="2007" w:type="dxa"/>
            <w:tcBorders>
              <w:top w:val="nil"/>
              <w:left w:val="nil"/>
              <w:bottom w:val="nil"/>
              <w:right w:val="nil"/>
            </w:tcBorders>
            <w:shd w:val="clear" w:color="auto" w:fill="auto"/>
            <w:noWrap/>
            <w:vAlign w:val="bottom"/>
            <w:hideMark/>
          </w:tcPr>
          <w:p w14:paraId="26AC088B"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DD0367" w:rsidRPr="00A80562" w14:paraId="7283E56B" w14:textId="77777777" w:rsidTr="00DD0367">
        <w:trPr>
          <w:trHeight w:val="257"/>
        </w:trPr>
        <w:tc>
          <w:tcPr>
            <w:tcW w:w="236" w:type="dxa"/>
            <w:tcBorders>
              <w:top w:val="nil"/>
              <w:left w:val="nil"/>
              <w:bottom w:val="nil"/>
              <w:right w:val="nil"/>
            </w:tcBorders>
            <w:shd w:val="clear" w:color="auto" w:fill="auto"/>
            <w:noWrap/>
            <w:vAlign w:val="bottom"/>
            <w:hideMark/>
          </w:tcPr>
          <w:p w14:paraId="4A83912D" w14:textId="77777777" w:rsidR="00DD0367" w:rsidRPr="00A80562" w:rsidRDefault="00DD0367" w:rsidP="00DD0367">
            <w:pPr>
              <w:spacing w:after="0" w:line="240" w:lineRule="auto"/>
              <w:jc w:val="left"/>
              <w:rPr>
                <w:rFonts w:eastAsia="Times New Roman"/>
                <w:sz w:val="16"/>
                <w:szCs w:val="16"/>
                <w:lang w:eastAsia="en-GB"/>
              </w:rPr>
            </w:pPr>
          </w:p>
        </w:tc>
        <w:tc>
          <w:tcPr>
            <w:tcW w:w="3025" w:type="dxa"/>
            <w:tcBorders>
              <w:top w:val="nil"/>
              <w:left w:val="nil"/>
              <w:bottom w:val="nil"/>
              <w:right w:val="nil"/>
            </w:tcBorders>
            <w:shd w:val="clear" w:color="000000" w:fill="F2F2F2"/>
            <w:noWrap/>
            <w:vAlign w:val="bottom"/>
            <w:hideMark/>
          </w:tcPr>
          <w:p w14:paraId="346549FC" w14:textId="77777777" w:rsidR="00DD0367" w:rsidRPr="00A80562" w:rsidRDefault="00DD0367" w:rsidP="00DD0367">
            <w:pPr>
              <w:spacing w:after="0" w:line="240" w:lineRule="auto"/>
              <w:jc w:val="left"/>
              <w:rPr>
                <w:rFonts w:eastAsia="Times New Roman"/>
                <w:iCs/>
                <w:sz w:val="16"/>
                <w:szCs w:val="16"/>
                <w:lang w:eastAsia="en-GB"/>
              </w:rPr>
            </w:pPr>
            <w:r w:rsidRPr="00A80562">
              <w:rPr>
                <w:rFonts w:eastAsia="Times New Roman"/>
                <w:iCs/>
                <w:sz w:val="16"/>
                <w:szCs w:val="16"/>
                <w:lang w:eastAsia="en-GB"/>
              </w:rPr>
              <w:t>% with overall improvement</w:t>
            </w:r>
          </w:p>
        </w:tc>
        <w:tc>
          <w:tcPr>
            <w:tcW w:w="2006" w:type="dxa"/>
            <w:tcBorders>
              <w:top w:val="nil"/>
              <w:left w:val="single" w:sz="4" w:space="0" w:color="auto"/>
              <w:bottom w:val="nil"/>
              <w:right w:val="nil"/>
            </w:tcBorders>
            <w:shd w:val="clear" w:color="000000" w:fill="F2F2F2"/>
            <w:noWrap/>
            <w:vAlign w:val="bottom"/>
            <w:hideMark/>
          </w:tcPr>
          <w:p w14:paraId="2CD40BD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55.5*** (53.88, 57.13)</w:t>
            </w:r>
          </w:p>
        </w:tc>
        <w:tc>
          <w:tcPr>
            <w:tcW w:w="2006" w:type="dxa"/>
            <w:tcBorders>
              <w:top w:val="nil"/>
              <w:left w:val="nil"/>
              <w:bottom w:val="nil"/>
              <w:right w:val="nil"/>
            </w:tcBorders>
            <w:shd w:val="clear" w:color="000000" w:fill="F2F2F2"/>
            <w:noWrap/>
            <w:vAlign w:val="bottom"/>
            <w:hideMark/>
          </w:tcPr>
          <w:p w14:paraId="5DD6C890"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-0.02*** (-0.04, -0.01)</w:t>
            </w:r>
          </w:p>
        </w:tc>
        <w:tc>
          <w:tcPr>
            <w:tcW w:w="2006" w:type="dxa"/>
            <w:tcBorders>
              <w:top w:val="nil"/>
              <w:left w:val="nil"/>
              <w:bottom w:val="nil"/>
              <w:right w:val="nil"/>
            </w:tcBorders>
            <w:shd w:val="clear" w:color="000000" w:fill="F2F2F2"/>
            <w:noWrap/>
            <w:vAlign w:val="bottom"/>
            <w:hideMark/>
          </w:tcPr>
          <w:p w14:paraId="13D9228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-0.85 (-3.06, 1.35)</w:t>
            </w:r>
          </w:p>
        </w:tc>
        <w:tc>
          <w:tcPr>
            <w:tcW w:w="2006" w:type="dxa"/>
            <w:tcBorders>
              <w:top w:val="nil"/>
              <w:left w:val="nil"/>
              <w:bottom w:val="nil"/>
              <w:right w:val="nil"/>
            </w:tcBorders>
            <w:shd w:val="clear" w:color="000000" w:fill="F2F2F2"/>
            <w:noWrap/>
            <w:vAlign w:val="bottom"/>
            <w:hideMark/>
          </w:tcPr>
          <w:p w14:paraId="0C0DF281"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-0.23** (-0.41, -0.06)</w:t>
            </w:r>
          </w:p>
        </w:tc>
        <w:tc>
          <w:tcPr>
            <w:tcW w:w="2006" w:type="dxa"/>
            <w:tcBorders>
              <w:top w:val="nil"/>
              <w:left w:val="nil"/>
              <w:bottom w:val="nil"/>
              <w:right w:val="nil"/>
            </w:tcBorders>
            <w:shd w:val="clear" w:color="000000" w:fill="F2F2F2"/>
            <w:noWrap/>
            <w:vAlign w:val="bottom"/>
            <w:hideMark/>
          </w:tcPr>
          <w:p w14:paraId="0E1CFC75"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-4.34*** (-6.49, -2.18)</w:t>
            </w:r>
          </w:p>
        </w:tc>
        <w:tc>
          <w:tcPr>
            <w:tcW w:w="2007" w:type="dxa"/>
            <w:tcBorders>
              <w:top w:val="nil"/>
              <w:left w:val="nil"/>
              <w:bottom w:val="nil"/>
              <w:right w:val="nil"/>
            </w:tcBorders>
            <w:shd w:val="clear" w:color="000000" w:fill="F2F2F2"/>
            <w:noWrap/>
            <w:vAlign w:val="bottom"/>
            <w:hideMark/>
          </w:tcPr>
          <w:p w14:paraId="090DD3D2" w14:textId="77777777" w:rsidR="00DD0367" w:rsidRPr="00A80562" w:rsidRDefault="00DD0367" w:rsidP="00DD0367">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bl>
    <w:p w14:paraId="33D10F27" w14:textId="77777777" w:rsidR="00DD0367" w:rsidRDefault="00DD0367" w:rsidP="00682538"/>
    <w:p w14:paraId="2A23963D" w14:textId="734832C8" w:rsidR="004A79A8" w:rsidRPr="00682538" w:rsidRDefault="005268C0" w:rsidP="00682538">
      <w:pPr>
        <w:rPr>
          <w:i/>
        </w:rPr>
      </w:pPr>
      <w:r w:rsidRPr="00682538">
        <w:t>All models estimated with Maximum Likelihood, except where all ARIMA terms are equal to 0 in which case models are estimated with OLS. All models cover the full weeks from March 1</w:t>
      </w:r>
      <w:r w:rsidRPr="00682538">
        <w:rPr>
          <w:vertAlign w:val="superscript"/>
        </w:rPr>
        <w:t>st</w:t>
      </w:r>
      <w:r w:rsidRPr="00682538">
        <w:t>, 2016 to July 4</w:t>
      </w:r>
      <w:r w:rsidRPr="00682538">
        <w:rPr>
          <w:vertAlign w:val="superscript"/>
        </w:rPr>
        <w:t>th</w:t>
      </w:r>
      <w:r w:rsidRPr="00682538">
        <w:t xml:space="preserve">, 2020 except </w:t>
      </w:r>
      <w:r w:rsidR="00032C85" w:rsidRPr="00682538">
        <w:t>for first admissions/referrals, which start from March 1</w:t>
      </w:r>
      <w:r w:rsidR="00032C85" w:rsidRPr="00682538">
        <w:rPr>
          <w:vertAlign w:val="superscript"/>
        </w:rPr>
        <w:t>st</w:t>
      </w:r>
      <w:r w:rsidR="00032C85" w:rsidRPr="00682538">
        <w:t>, 2018.</w:t>
      </w:r>
      <w:r w:rsidRPr="00682538">
        <w:br/>
      </w:r>
      <w:r w:rsidR="00032C85" w:rsidRPr="00682538">
        <w:t xml:space="preserve">Significance levels: </w:t>
      </w:r>
      <w:r w:rsidR="00B13373" w:rsidRPr="00682538">
        <w:t>*</w:t>
      </w:r>
      <w:r w:rsidR="00B13373" w:rsidRPr="00682538">
        <w:rPr>
          <w:i/>
        </w:rPr>
        <w:t xml:space="preserve">p&lt;0.1, **p&lt;0.05, </w:t>
      </w:r>
      <w:r w:rsidR="00B13373" w:rsidRPr="00682538">
        <w:t xml:space="preserve"> ***</w:t>
      </w:r>
      <w:r w:rsidR="00B13373" w:rsidRPr="00682538">
        <w:rPr>
          <w:i/>
        </w:rPr>
        <w:t>p&lt;0.01</w:t>
      </w:r>
    </w:p>
    <w:p w14:paraId="18BB142D" w14:textId="77777777" w:rsidR="004A79A8" w:rsidRDefault="004A79A8" w:rsidP="00682538">
      <w:pPr>
        <w:rPr>
          <w:rFonts w:asciiTheme="majorHAnsi" w:eastAsiaTheme="majorEastAsia" w:hAnsiTheme="majorHAnsi" w:cstheme="majorBidi"/>
          <w:color w:val="1F4D78" w:themeColor="accent1" w:themeShade="7F"/>
          <w:sz w:val="24"/>
          <w:szCs w:val="24"/>
        </w:rPr>
      </w:pPr>
      <w:r>
        <w:br w:type="page"/>
      </w:r>
    </w:p>
    <w:p w14:paraId="15DA02C3" w14:textId="6564253D" w:rsidR="004A79A8" w:rsidRDefault="00BF3B5F" w:rsidP="006C05EE">
      <w:pPr>
        <w:pStyle w:val="Heading3"/>
      </w:pPr>
      <w:r>
        <w:lastRenderedPageBreak/>
        <w:t xml:space="preserve">Appendix </w:t>
      </w:r>
      <w:r w:rsidR="00E7396F">
        <w:t>1</w:t>
      </w:r>
      <w:r>
        <w:t>.2 – Results excluding January to March 2020</w:t>
      </w:r>
    </w:p>
    <w:tbl>
      <w:tblPr>
        <w:tblW w:w="15383" w:type="dxa"/>
        <w:tblLayout w:type="fixed"/>
        <w:tblLook w:val="04A0" w:firstRow="1" w:lastRow="0" w:firstColumn="1" w:lastColumn="0" w:noHBand="0" w:noVBand="1"/>
      </w:tblPr>
      <w:tblGrid>
        <w:gridCol w:w="236"/>
        <w:gridCol w:w="2883"/>
        <w:gridCol w:w="2044"/>
        <w:gridCol w:w="2044"/>
        <w:gridCol w:w="2044"/>
        <w:gridCol w:w="2044"/>
        <w:gridCol w:w="2044"/>
        <w:gridCol w:w="2044"/>
      </w:tblGrid>
      <w:tr w:rsidR="00C03FA1" w:rsidRPr="00A80562" w14:paraId="13391BA8" w14:textId="77777777" w:rsidTr="00C03FA1">
        <w:trPr>
          <w:trHeight w:val="281"/>
        </w:trPr>
        <w:tc>
          <w:tcPr>
            <w:tcW w:w="3119" w:type="dxa"/>
            <w:gridSpan w:val="2"/>
            <w:tcBorders>
              <w:top w:val="nil"/>
              <w:left w:val="nil"/>
              <w:bottom w:val="single" w:sz="8" w:space="0" w:color="auto"/>
              <w:right w:val="single" w:sz="4" w:space="0" w:color="000000"/>
            </w:tcBorders>
            <w:shd w:val="clear" w:color="auto" w:fill="auto"/>
            <w:noWrap/>
            <w:vAlign w:val="bottom"/>
            <w:hideMark/>
          </w:tcPr>
          <w:p w14:paraId="1A670AE6" w14:textId="77777777" w:rsidR="00C03FA1" w:rsidRPr="00A80562" w:rsidRDefault="00C03FA1">
            <w:pPr>
              <w:jc w:val="left"/>
              <w:rPr>
                <w:rFonts w:eastAsia="Times New Roman"/>
                <w:b/>
                <w:bCs/>
                <w:sz w:val="16"/>
                <w:szCs w:val="16"/>
                <w:lang w:eastAsia="en-GB"/>
              </w:rPr>
            </w:pPr>
            <w:r w:rsidRPr="00A80562">
              <w:rPr>
                <w:rFonts w:eastAsia="Times New Roman"/>
                <w:b/>
                <w:bCs/>
                <w:sz w:val="16"/>
                <w:szCs w:val="16"/>
                <w:lang w:eastAsia="en-GB"/>
              </w:rPr>
              <w:t>Outcome</w:t>
            </w:r>
          </w:p>
        </w:tc>
        <w:tc>
          <w:tcPr>
            <w:tcW w:w="2044" w:type="dxa"/>
            <w:tcBorders>
              <w:top w:val="nil"/>
              <w:left w:val="nil"/>
              <w:bottom w:val="single" w:sz="8" w:space="0" w:color="auto"/>
              <w:right w:val="nil"/>
            </w:tcBorders>
            <w:shd w:val="clear" w:color="auto" w:fill="auto"/>
            <w:noWrap/>
            <w:vAlign w:val="bottom"/>
            <w:hideMark/>
          </w:tcPr>
          <w:p w14:paraId="7E19CE13"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Constant</w:t>
            </w:r>
          </w:p>
        </w:tc>
        <w:tc>
          <w:tcPr>
            <w:tcW w:w="2044" w:type="dxa"/>
            <w:tcBorders>
              <w:top w:val="nil"/>
              <w:left w:val="nil"/>
              <w:bottom w:val="single" w:sz="8" w:space="0" w:color="auto"/>
              <w:right w:val="nil"/>
            </w:tcBorders>
            <w:shd w:val="clear" w:color="auto" w:fill="auto"/>
            <w:noWrap/>
            <w:vAlign w:val="bottom"/>
            <w:hideMark/>
          </w:tcPr>
          <w:p w14:paraId="3F03BBC5"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Weekly slope</w:t>
            </w:r>
          </w:p>
        </w:tc>
        <w:tc>
          <w:tcPr>
            <w:tcW w:w="2044" w:type="dxa"/>
            <w:tcBorders>
              <w:top w:val="nil"/>
              <w:left w:val="nil"/>
              <w:bottom w:val="single" w:sz="8" w:space="0" w:color="auto"/>
              <w:right w:val="nil"/>
            </w:tcBorders>
            <w:shd w:val="clear" w:color="auto" w:fill="auto"/>
            <w:noWrap/>
            <w:vAlign w:val="bottom"/>
            <w:hideMark/>
          </w:tcPr>
          <w:p w14:paraId="0D473AA1"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Step change</w:t>
            </w:r>
          </w:p>
        </w:tc>
        <w:tc>
          <w:tcPr>
            <w:tcW w:w="2044" w:type="dxa"/>
            <w:tcBorders>
              <w:top w:val="nil"/>
              <w:left w:val="nil"/>
              <w:bottom w:val="single" w:sz="8" w:space="0" w:color="auto"/>
              <w:right w:val="nil"/>
            </w:tcBorders>
            <w:shd w:val="clear" w:color="auto" w:fill="auto"/>
            <w:noWrap/>
            <w:vAlign w:val="bottom"/>
            <w:hideMark/>
          </w:tcPr>
          <w:p w14:paraId="00A0DF99"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Slope change</w:t>
            </w:r>
          </w:p>
        </w:tc>
        <w:tc>
          <w:tcPr>
            <w:tcW w:w="2044" w:type="dxa"/>
            <w:tcBorders>
              <w:top w:val="nil"/>
              <w:left w:val="nil"/>
              <w:bottom w:val="single" w:sz="8" w:space="0" w:color="auto"/>
              <w:right w:val="nil"/>
            </w:tcBorders>
            <w:shd w:val="clear" w:color="auto" w:fill="auto"/>
            <w:noWrap/>
            <w:vAlign w:val="bottom"/>
            <w:hideMark/>
          </w:tcPr>
          <w:p w14:paraId="36AEB165"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Combined (15 weeks)</w:t>
            </w:r>
          </w:p>
        </w:tc>
        <w:tc>
          <w:tcPr>
            <w:tcW w:w="2044" w:type="dxa"/>
            <w:tcBorders>
              <w:top w:val="nil"/>
              <w:left w:val="nil"/>
              <w:bottom w:val="single" w:sz="8" w:space="0" w:color="auto"/>
              <w:right w:val="nil"/>
            </w:tcBorders>
            <w:shd w:val="clear" w:color="auto" w:fill="auto"/>
            <w:noWrap/>
            <w:vAlign w:val="bottom"/>
            <w:hideMark/>
          </w:tcPr>
          <w:p w14:paraId="66D84E1A"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ARIMA terms</w:t>
            </w:r>
          </w:p>
        </w:tc>
      </w:tr>
      <w:tr w:rsidR="00C03FA1" w:rsidRPr="00A80562" w14:paraId="09C0E3AC" w14:textId="77777777" w:rsidTr="00C03FA1">
        <w:trPr>
          <w:trHeight w:val="267"/>
        </w:trPr>
        <w:tc>
          <w:tcPr>
            <w:tcW w:w="3119" w:type="dxa"/>
            <w:gridSpan w:val="2"/>
            <w:tcBorders>
              <w:top w:val="single" w:sz="8" w:space="0" w:color="auto"/>
              <w:left w:val="nil"/>
              <w:bottom w:val="single" w:sz="4" w:space="0" w:color="auto"/>
              <w:right w:val="nil"/>
            </w:tcBorders>
            <w:shd w:val="clear" w:color="auto" w:fill="auto"/>
            <w:noWrap/>
            <w:vAlign w:val="bottom"/>
            <w:hideMark/>
          </w:tcPr>
          <w:p w14:paraId="10E6B83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Outpatient referrals:</w:t>
            </w:r>
          </w:p>
        </w:tc>
        <w:tc>
          <w:tcPr>
            <w:tcW w:w="2044" w:type="dxa"/>
            <w:tcBorders>
              <w:top w:val="nil"/>
              <w:left w:val="single" w:sz="4" w:space="0" w:color="auto"/>
              <w:bottom w:val="single" w:sz="4" w:space="0" w:color="auto"/>
              <w:right w:val="nil"/>
            </w:tcBorders>
            <w:shd w:val="clear" w:color="auto" w:fill="auto"/>
            <w:noWrap/>
            <w:vAlign w:val="bottom"/>
            <w:hideMark/>
          </w:tcPr>
          <w:p w14:paraId="7E3550E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44" w:type="dxa"/>
            <w:tcBorders>
              <w:top w:val="nil"/>
              <w:left w:val="nil"/>
              <w:bottom w:val="single" w:sz="4" w:space="0" w:color="auto"/>
              <w:right w:val="nil"/>
            </w:tcBorders>
            <w:shd w:val="clear" w:color="auto" w:fill="auto"/>
            <w:noWrap/>
            <w:vAlign w:val="bottom"/>
            <w:hideMark/>
          </w:tcPr>
          <w:p w14:paraId="5E6D4F4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44" w:type="dxa"/>
            <w:tcBorders>
              <w:top w:val="nil"/>
              <w:left w:val="nil"/>
              <w:bottom w:val="single" w:sz="4" w:space="0" w:color="auto"/>
              <w:right w:val="nil"/>
            </w:tcBorders>
            <w:shd w:val="clear" w:color="auto" w:fill="auto"/>
            <w:noWrap/>
            <w:vAlign w:val="bottom"/>
            <w:hideMark/>
          </w:tcPr>
          <w:p w14:paraId="228690B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44" w:type="dxa"/>
            <w:tcBorders>
              <w:top w:val="nil"/>
              <w:left w:val="nil"/>
              <w:bottom w:val="single" w:sz="4" w:space="0" w:color="auto"/>
              <w:right w:val="nil"/>
            </w:tcBorders>
            <w:shd w:val="clear" w:color="auto" w:fill="auto"/>
            <w:noWrap/>
            <w:vAlign w:val="bottom"/>
            <w:hideMark/>
          </w:tcPr>
          <w:p w14:paraId="1F6B5C8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44" w:type="dxa"/>
            <w:tcBorders>
              <w:top w:val="nil"/>
              <w:left w:val="nil"/>
              <w:bottom w:val="single" w:sz="4" w:space="0" w:color="auto"/>
              <w:right w:val="nil"/>
            </w:tcBorders>
            <w:shd w:val="clear" w:color="auto" w:fill="auto"/>
            <w:noWrap/>
            <w:vAlign w:val="bottom"/>
            <w:hideMark/>
          </w:tcPr>
          <w:p w14:paraId="74C8A36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Linear combination after 15 weeks (95% CI)</w:t>
            </w:r>
          </w:p>
        </w:tc>
        <w:tc>
          <w:tcPr>
            <w:tcW w:w="2044" w:type="dxa"/>
            <w:tcBorders>
              <w:top w:val="nil"/>
              <w:left w:val="nil"/>
              <w:bottom w:val="single" w:sz="4" w:space="0" w:color="auto"/>
              <w:right w:val="nil"/>
            </w:tcBorders>
            <w:shd w:val="clear" w:color="auto" w:fill="auto"/>
            <w:noWrap/>
            <w:vAlign w:val="bottom"/>
            <w:hideMark/>
          </w:tcPr>
          <w:p w14:paraId="50312E0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(AR, I, MA)</w:t>
            </w:r>
          </w:p>
        </w:tc>
      </w:tr>
      <w:tr w:rsidR="00C03FA1" w:rsidRPr="00A80562" w14:paraId="662F947D" w14:textId="77777777" w:rsidTr="00C03FA1">
        <w:trPr>
          <w:trHeight w:val="267"/>
        </w:trPr>
        <w:tc>
          <w:tcPr>
            <w:tcW w:w="236" w:type="dxa"/>
            <w:tcBorders>
              <w:top w:val="nil"/>
              <w:left w:val="nil"/>
              <w:bottom w:val="nil"/>
              <w:right w:val="nil"/>
            </w:tcBorders>
            <w:shd w:val="clear" w:color="auto" w:fill="auto"/>
            <w:noWrap/>
            <w:vAlign w:val="bottom"/>
            <w:hideMark/>
          </w:tcPr>
          <w:p w14:paraId="47EAF861"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1C47723D"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Total referrals</w:t>
            </w:r>
          </w:p>
        </w:tc>
        <w:tc>
          <w:tcPr>
            <w:tcW w:w="2044" w:type="dxa"/>
            <w:tcBorders>
              <w:top w:val="nil"/>
              <w:left w:val="single" w:sz="4" w:space="0" w:color="auto"/>
              <w:bottom w:val="nil"/>
              <w:right w:val="nil"/>
            </w:tcBorders>
            <w:shd w:val="clear" w:color="000000" w:fill="F2F2F2"/>
            <w:noWrap/>
            <w:vAlign w:val="bottom"/>
            <w:hideMark/>
          </w:tcPr>
          <w:p w14:paraId="7BF64F3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344.8*** (325.1, 364.4)</w:t>
            </w:r>
          </w:p>
        </w:tc>
        <w:tc>
          <w:tcPr>
            <w:tcW w:w="2044" w:type="dxa"/>
            <w:tcBorders>
              <w:top w:val="nil"/>
              <w:left w:val="nil"/>
              <w:bottom w:val="nil"/>
              <w:right w:val="nil"/>
            </w:tcBorders>
            <w:shd w:val="clear" w:color="000000" w:fill="F2F2F2"/>
            <w:noWrap/>
            <w:vAlign w:val="bottom"/>
            <w:hideMark/>
          </w:tcPr>
          <w:p w14:paraId="3349247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 (0, 0.3)</w:t>
            </w:r>
          </w:p>
        </w:tc>
        <w:tc>
          <w:tcPr>
            <w:tcW w:w="2044" w:type="dxa"/>
            <w:tcBorders>
              <w:top w:val="nil"/>
              <w:left w:val="nil"/>
              <w:bottom w:val="nil"/>
              <w:right w:val="nil"/>
            </w:tcBorders>
            <w:shd w:val="clear" w:color="000000" w:fill="F2F2F2"/>
            <w:noWrap/>
            <w:vAlign w:val="bottom"/>
            <w:hideMark/>
          </w:tcPr>
          <w:p w14:paraId="18094B2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-174.9*** (-260.4, -89.4)</w:t>
            </w:r>
          </w:p>
        </w:tc>
        <w:tc>
          <w:tcPr>
            <w:tcW w:w="2044" w:type="dxa"/>
            <w:tcBorders>
              <w:top w:val="nil"/>
              <w:left w:val="nil"/>
              <w:bottom w:val="nil"/>
              <w:right w:val="nil"/>
            </w:tcBorders>
            <w:shd w:val="clear" w:color="000000" w:fill="F2F2F2"/>
            <w:noWrap/>
            <w:vAlign w:val="bottom"/>
            <w:hideMark/>
          </w:tcPr>
          <w:p w14:paraId="3794705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16.9*** (9, 24.9)</w:t>
            </w:r>
          </w:p>
        </w:tc>
        <w:tc>
          <w:tcPr>
            <w:tcW w:w="2044" w:type="dxa"/>
            <w:tcBorders>
              <w:top w:val="nil"/>
              <w:left w:val="nil"/>
              <w:bottom w:val="nil"/>
              <w:right w:val="nil"/>
            </w:tcBorders>
            <w:shd w:val="clear" w:color="000000" w:fill="F2F2F2"/>
            <w:noWrap/>
            <w:vAlign w:val="bottom"/>
            <w:hideMark/>
          </w:tcPr>
          <w:p w14:paraId="54A7297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79.2** (19.4, 138.9)</w:t>
            </w:r>
          </w:p>
        </w:tc>
        <w:tc>
          <w:tcPr>
            <w:tcW w:w="2044" w:type="dxa"/>
            <w:tcBorders>
              <w:top w:val="nil"/>
              <w:left w:val="nil"/>
              <w:bottom w:val="nil"/>
              <w:right w:val="nil"/>
            </w:tcBorders>
            <w:shd w:val="clear" w:color="000000" w:fill="F2F2F2"/>
            <w:noWrap/>
            <w:vAlign w:val="bottom"/>
            <w:hideMark/>
          </w:tcPr>
          <w:p w14:paraId="2BEE0B2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C03FA1" w:rsidRPr="00A80562" w14:paraId="5D46E5FF" w14:textId="77777777" w:rsidTr="00C03FA1">
        <w:trPr>
          <w:trHeight w:val="267"/>
        </w:trPr>
        <w:tc>
          <w:tcPr>
            <w:tcW w:w="236" w:type="dxa"/>
            <w:tcBorders>
              <w:top w:val="nil"/>
              <w:left w:val="nil"/>
              <w:bottom w:val="nil"/>
              <w:right w:val="nil"/>
            </w:tcBorders>
            <w:shd w:val="clear" w:color="auto" w:fill="auto"/>
            <w:noWrap/>
            <w:vAlign w:val="bottom"/>
            <w:hideMark/>
          </w:tcPr>
          <w:p w14:paraId="4A6062C4"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6EB9CD7F"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First referrals</w:t>
            </w:r>
          </w:p>
        </w:tc>
        <w:tc>
          <w:tcPr>
            <w:tcW w:w="2044" w:type="dxa"/>
            <w:tcBorders>
              <w:top w:val="nil"/>
              <w:left w:val="single" w:sz="4" w:space="0" w:color="auto"/>
              <w:bottom w:val="nil"/>
              <w:right w:val="nil"/>
            </w:tcBorders>
            <w:shd w:val="clear" w:color="auto" w:fill="auto"/>
            <w:noWrap/>
            <w:vAlign w:val="bottom"/>
            <w:hideMark/>
          </w:tcPr>
          <w:p w14:paraId="690D683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131.7*** (106.4, 156.9)</w:t>
            </w:r>
          </w:p>
        </w:tc>
        <w:tc>
          <w:tcPr>
            <w:tcW w:w="2044" w:type="dxa"/>
            <w:tcBorders>
              <w:top w:val="nil"/>
              <w:left w:val="nil"/>
              <w:bottom w:val="nil"/>
              <w:right w:val="nil"/>
            </w:tcBorders>
            <w:shd w:val="clear" w:color="auto" w:fill="auto"/>
            <w:noWrap/>
            <w:vAlign w:val="bottom"/>
            <w:hideMark/>
          </w:tcPr>
          <w:p w14:paraId="4264C39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 (-0.4, -0.1)</w:t>
            </w:r>
          </w:p>
        </w:tc>
        <w:tc>
          <w:tcPr>
            <w:tcW w:w="2044" w:type="dxa"/>
            <w:tcBorders>
              <w:top w:val="nil"/>
              <w:left w:val="nil"/>
              <w:bottom w:val="nil"/>
              <w:right w:val="nil"/>
            </w:tcBorders>
            <w:shd w:val="clear" w:color="auto" w:fill="auto"/>
            <w:noWrap/>
            <w:vAlign w:val="bottom"/>
            <w:hideMark/>
          </w:tcPr>
          <w:p w14:paraId="2EB0C3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-35.1 (-74.3, 4.1)</w:t>
            </w:r>
          </w:p>
        </w:tc>
        <w:tc>
          <w:tcPr>
            <w:tcW w:w="2044" w:type="dxa"/>
            <w:tcBorders>
              <w:top w:val="nil"/>
              <w:left w:val="nil"/>
              <w:bottom w:val="nil"/>
              <w:right w:val="nil"/>
            </w:tcBorders>
            <w:shd w:val="clear" w:color="auto" w:fill="auto"/>
            <w:noWrap/>
            <w:vAlign w:val="bottom"/>
            <w:hideMark/>
          </w:tcPr>
          <w:p w14:paraId="4E54C65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3.2 (-0.8, 7.2)</w:t>
            </w:r>
          </w:p>
        </w:tc>
        <w:tc>
          <w:tcPr>
            <w:tcW w:w="2044" w:type="dxa"/>
            <w:tcBorders>
              <w:top w:val="nil"/>
              <w:left w:val="nil"/>
              <w:bottom w:val="nil"/>
              <w:right w:val="nil"/>
            </w:tcBorders>
            <w:shd w:val="clear" w:color="auto" w:fill="auto"/>
            <w:noWrap/>
            <w:vAlign w:val="bottom"/>
            <w:hideMark/>
          </w:tcPr>
          <w:p w14:paraId="254B131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13.2 (-18.7, 45.1)</w:t>
            </w:r>
          </w:p>
        </w:tc>
        <w:tc>
          <w:tcPr>
            <w:tcW w:w="2044" w:type="dxa"/>
            <w:tcBorders>
              <w:top w:val="nil"/>
              <w:left w:val="nil"/>
              <w:bottom w:val="nil"/>
              <w:right w:val="nil"/>
            </w:tcBorders>
            <w:shd w:val="clear" w:color="auto" w:fill="auto"/>
            <w:noWrap/>
            <w:vAlign w:val="bottom"/>
            <w:hideMark/>
          </w:tcPr>
          <w:p w14:paraId="4C2908E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(2, 0, 0)</w:t>
            </w:r>
          </w:p>
        </w:tc>
      </w:tr>
      <w:tr w:rsidR="00C03FA1" w:rsidRPr="00A80562" w14:paraId="1CA8E54B" w14:textId="77777777" w:rsidTr="00C03FA1">
        <w:trPr>
          <w:trHeight w:val="267"/>
        </w:trPr>
        <w:tc>
          <w:tcPr>
            <w:tcW w:w="236" w:type="dxa"/>
            <w:tcBorders>
              <w:top w:val="nil"/>
              <w:left w:val="nil"/>
              <w:bottom w:val="nil"/>
              <w:right w:val="nil"/>
            </w:tcBorders>
            <w:shd w:val="clear" w:color="auto" w:fill="auto"/>
            <w:noWrap/>
            <w:vAlign w:val="bottom"/>
            <w:hideMark/>
          </w:tcPr>
          <w:p w14:paraId="03F2594F"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0358CDDF"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Early Intervention in Psychosis</w:t>
            </w:r>
          </w:p>
        </w:tc>
        <w:tc>
          <w:tcPr>
            <w:tcW w:w="2044" w:type="dxa"/>
            <w:tcBorders>
              <w:top w:val="nil"/>
              <w:left w:val="single" w:sz="4" w:space="0" w:color="auto"/>
              <w:bottom w:val="nil"/>
              <w:right w:val="nil"/>
            </w:tcBorders>
            <w:shd w:val="clear" w:color="000000" w:fill="F2F2F2"/>
            <w:noWrap/>
            <w:vAlign w:val="bottom"/>
            <w:hideMark/>
          </w:tcPr>
          <w:p w14:paraId="00DE90E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10.51*** (9.35, 11.67)</w:t>
            </w:r>
          </w:p>
        </w:tc>
        <w:tc>
          <w:tcPr>
            <w:tcW w:w="2044" w:type="dxa"/>
            <w:tcBorders>
              <w:top w:val="nil"/>
              <w:left w:val="nil"/>
              <w:bottom w:val="nil"/>
              <w:right w:val="nil"/>
            </w:tcBorders>
            <w:shd w:val="clear" w:color="000000" w:fill="F2F2F2"/>
            <w:noWrap/>
            <w:vAlign w:val="bottom"/>
            <w:hideMark/>
          </w:tcPr>
          <w:p w14:paraId="7569737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(-0.02, 0)</w:t>
            </w:r>
          </w:p>
        </w:tc>
        <w:tc>
          <w:tcPr>
            <w:tcW w:w="2044" w:type="dxa"/>
            <w:tcBorders>
              <w:top w:val="nil"/>
              <w:left w:val="nil"/>
              <w:bottom w:val="nil"/>
              <w:right w:val="nil"/>
            </w:tcBorders>
            <w:shd w:val="clear" w:color="000000" w:fill="F2F2F2"/>
            <w:noWrap/>
            <w:vAlign w:val="bottom"/>
            <w:hideMark/>
          </w:tcPr>
          <w:p w14:paraId="697F60A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-2.08 (-7.96, 3.8)</w:t>
            </w:r>
          </w:p>
        </w:tc>
        <w:tc>
          <w:tcPr>
            <w:tcW w:w="2044" w:type="dxa"/>
            <w:tcBorders>
              <w:top w:val="nil"/>
              <w:left w:val="nil"/>
              <w:bottom w:val="nil"/>
              <w:right w:val="nil"/>
            </w:tcBorders>
            <w:shd w:val="clear" w:color="000000" w:fill="F2F2F2"/>
            <w:noWrap/>
            <w:vAlign w:val="bottom"/>
            <w:hideMark/>
          </w:tcPr>
          <w:p w14:paraId="56AB52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0.28 (-0.34, 0.9)</w:t>
            </w:r>
          </w:p>
        </w:tc>
        <w:tc>
          <w:tcPr>
            <w:tcW w:w="2044" w:type="dxa"/>
            <w:tcBorders>
              <w:top w:val="nil"/>
              <w:left w:val="nil"/>
              <w:bottom w:val="nil"/>
              <w:right w:val="nil"/>
            </w:tcBorders>
            <w:shd w:val="clear" w:color="000000" w:fill="F2F2F2"/>
            <w:noWrap/>
            <w:vAlign w:val="bottom"/>
            <w:hideMark/>
          </w:tcPr>
          <w:p w14:paraId="0594CA3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2.12 (-2.98, 7.23)</w:t>
            </w:r>
          </w:p>
        </w:tc>
        <w:tc>
          <w:tcPr>
            <w:tcW w:w="2044" w:type="dxa"/>
            <w:tcBorders>
              <w:top w:val="nil"/>
              <w:left w:val="nil"/>
              <w:bottom w:val="nil"/>
              <w:right w:val="nil"/>
            </w:tcBorders>
            <w:shd w:val="clear" w:color="000000" w:fill="F2F2F2"/>
            <w:noWrap/>
            <w:vAlign w:val="bottom"/>
            <w:hideMark/>
          </w:tcPr>
          <w:p w14:paraId="381F1D0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C03FA1" w:rsidRPr="00A80562" w14:paraId="4450EE6D" w14:textId="77777777" w:rsidTr="00C03FA1">
        <w:trPr>
          <w:trHeight w:val="267"/>
        </w:trPr>
        <w:tc>
          <w:tcPr>
            <w:tcW w:w="236" w:type="dxa"/>
            <w:tcBorders>
              <w:top w:val="nil"/>
              <w:left w:val="nil"/>
              <w:bottom w:val="nil"/>
              <w:right w:val="nil"/>
            </w:tcBorders>
            <w:shd w:val="clear" w:color="auto" w:fill="auto"/>
            <w:noWrap/>
            <w:vAlign w:val="bottom"/>
            <w:hideMark/>
          </w:tcPr>
          <w:p w14:paraId="167122A0"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0D4A0655"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Community Mental Health Teams</w:t>
            </w:r>
          </w:p>
        </w:tc>
        <w:tc>
          <w:tcPr>
            <w:tcW w:w="2044" w:type="dxa"/>
            <w:tcBorders>
              <w:top w:val="nil"/>
              <w:left w:val="single" w:sz="4" w:space="0" w:color="auto"/>
              <w:bottom w:val="nil"/>
              <w:right w:val="nil"/>
            </w:tcBorders>
            <w:shd w:val="clear" w:color="auto" w:fill="auto"/>
            <w:noWrap/>
            <w:vAlign w:val="bottom"/>
            <w:hideMark/>
          </w:tcPr>
          <w:p w14:paraId="6BE192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47.83*** (44.68, 50.98)</w:t>
            </w:r>
          </w:p>
        </w:tc>
        <w:tc>
          <w:tcPr>
            <w:tcW w:w="2044" w:type="dxa"/>
            <w:tcBorders>
              <w:top w:val="nil"/>
              <w:left w:val="nil"/>
              <w:bottom w:val="nil"/>
              <w:right w:val="nil"/>
            </w:tcBorders>
            <w:shd w:val="clear" w:color="auto" w:fill="auto"/>
            <w:noWrap/>
            <w:vAlign w:val="bottom"/>
            <w:hideMark/>
          </w:tcPr>
          <w:p w14:paraId="47CA2EA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 (-0.06, 0)</w:t>
            </w:r>
          </w:p>
        </w:tc>
        <w:tc>
          <w:tcPr>
            <w:tcW w:w="2044" w:type="dxa"/>
            <w:tcBorders>
              <w:top w:val="nil"/>
              <w:left w:val="nil"/>
              <w:bottom w:val="nil"/>
              <w:right w:val="nil"/>
            </w:tcBorders>
            <w:shd w:val="clear" w:color="auto" w:fill="auto"/>
            <w:noWrap/>
            <w:vAlign w:val="bottom"/>
            <w:hideMark/>
          </w:tcPr>
          <w:p w14:paraId="326C5E2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5.38 (-2.51, 13.27)</w:t>
            </w:r>
          </w:p>
        </w:tc>
        <w:tc>
          <w:tcPr>
            <w:tcW w:w="2044" w:type="dxa"/>
            <w:tcBorders>
              <w:top w:val="nil"/>
              <w:left w:val="nil"/>
              <w:bottom w:val="nil"/>
              <w:right w:val="nil"/>
            </w:tcBorders>
            <w:shd w:val="clear" w:color="auto" w:fill="auto"/>
            <w:noWrap/>
            <w:vAlign w:val="bottom"/>
            <w:hideMark/>
          </w:tcPr>
          <w:p w14:paraId="02652C2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3.69*** (2.85, 4.53)</w:t>
            </w:r>
          </w:p>
        </w:tc>
        <w:tc>
          <w:tcPr>
            <w:tcW w:w="2044" w:type="dxa"/>
            <w:tcBorders>
              <w:top w:val="nil"/>
              <w:left w:val="nil"/>
              <w:bottom w:val="nil"/>
              <w:right w:val="nil"/>
            </w:tcBorders>
            <w:shd w:val="clear" w:color="auto" w:fill="auto"/>
            <w:noWrap/>
            <w:vAlign w:val="bottom"/>
            <w:hideMark/>
          </w:tcPr>
          <w:p w14:paraId="7E5BA52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60.74*** (52.22, 69.26)</w:t>
            </w:r>
          </w:p>
        </w:tc>
        <w:tc>
          <w:tcPr>
            <w:tcW w:w="2044" w:type="dxa"/>
            <w:tcBorders>
              <w:top w:val="nil"/>
              <w:left w:val="nil"/>
              <w:bottom w:val="nil"/>
              <w:right w:val="nil"/>
            </w:tcBorders>
            <w:shd w:val="clear" w:color="auto" w:fill="auto"/>
            <w:noWrap/>
            <w:vAlign w:val="bottom"/>
            <w:hideMark/>
          </w:tcPr>
          <w:p w14:paraId="1CDC23A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708EC6C8" w14:textId="77777777" w:rsidTr="00C03FA1">
        <w:trPr>
          <w:trHeight w:val="267"/>
        </w:trPr>
        <w:tc>
          <w:tcPr>
            <w:tcW w:w="236" w:type="dxa"/>
            <w:tcBorders>
              <w:top w:val="nil"/>
              <w:left w:val="nil"/>
              <w:bottom w:val="nil"/>
              <w:right w:val="nil"/>
            </w:tcBorders>
            <w:shd w:val="clear" w:color="auto" w:fill="auto"/>
            <w:noWrap/>
            <w:vAlign w:val="bottom"/>
            <w:hideMark/>
          </w:tcPr>
          <w:p w14:paraId="6FD791E1"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3C044D1D"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Crisis Teams</w:t>
            </w:r>
          </w:p>
        </w:tc>
        <w:tc>
          <w:tcPr>
            <w:tcW w:w="2044" w:type="dxa"/>
            <w:tcBorders>
              <w:top w:val="nil"/>
              <w:left w:val="single" w:sz="4" w:space="0" w:color="auto"/>
              <w:bottom w:val="nil"/>
              <w:right w:val="nil"/>
            </w:tcBorders>
            <w:shd w:val="clear" w:color="000000" w:fill="F2F2F2"/>
            <w:noWrap/>
            <w:vAlign w:val="bottom"/>
            <w:hideMark/>
          </w:tcPr>
          <w:p w14:paraId="0C0F2C6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28.77*** (26.66, 30.89)</w:t>
            </w:r>
          </w:p>
        </w:tc>
        <w:tc>
          <w:tcPr>
            <w:tcW w:w="2044" w:type="dxa"/>
            <w:tcBorders>
              <w:top w:val="nil"/>
              <w:left w:val="nil"/>
              <w:bottom w:val="nil"/>
              <w:right w:val="nil"/>
            </w:tcBorders>
            <w:shd w:val="clear" w:color="000000" w:fill="F2F2F2"/>
            <w:noWrap/>
            <w:vAlign w:val="bottom"/>
            <w:hideMark/>
          </w:tcPr>
          <w:p w14:paraId="3D2811B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(-0.01, 0.03)</w:t>
            </w:r>
          </w:p>
        </w:tc>
        <w:tc>
          <w:tcPr>
            <w:tcW w:w="2044" w:type="dxa"/>
            <w:tcBorders>
              <w:top w:val="nil"/>
              <w:left w:val="nil"/>
              <w:bottom w:val="nil"/>
              <w:right w:val="nil"/>
            </w:tcBorders>
            <w:shd w:val="clear" w:color="000000" w:fill="F2F2F2"/>
            <w:noWrap/>
            <w:vAlign w:val="bottom"/>
            <w:hideMark/>
          </w:tcPr>
          <w:p w14:paraId="453D45B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-14.58* (-25.74, -3.41)</w:t>
            </w:r>
          </w:p>
        </w:tc>
        <w:tc>
          <w:tcPr>
            <w:tcW w:w="2044" w:type="dxa"/>
            <w:tcBorders>
              <w:top w:val="nil"/>
              <w:left w:val="nil"/>
              <w:bottom w:val="nil"/>
              <w:right w:val="nil"/>
            </w:tcBorders>
            <w:shd w:val="clear" w:color="000000" w:fill="F2F2F2"/>
            <w:noWrap/>
            <w:vAlign w:val="bottom"/>
            <w:hideMark/>
          </w:tcPr>
          <w:p w14:paraId="5AA8775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1.95*** (0.96, 2.94)</w:t>
            </w:r>
          </w:p>
        </w:tc>
        <w:tc>
          <w:tcPr>
            <w:tcW w:w="2044" w:type="dxa"/>
            <w:tcBorders>
              <w:top w:val="nil"/>
              <w:left w:val="nil"/>
              <w:bottom w:val="nil"/>
              <w:right w:val="nil"/>
            </w:tcBorders>
            <w:shd w:val="clear" w:color="000000" w:fill="F2F2F2"/>
            <w:noWrap/>
            <w:vAlign w:val="bottom"/>
            <w:hideMark/>
          </w:tcPr>
          <w:p w14:paraId="0BF61F3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14.64*** (7.34, 21.95)</w:t>
            </w:r>
          </w:p>
        </w:tc>
        <w:tc>
          <w:tcPr>
            <w:tcW w:w="2044" w:type="dxa"/>
            <w:tcBorders>
              <w:top w:val="nil"/>
              <w:left w:val="nil"/>
              <w:bottom w:val="nil"/>
              <w:right w:val="nil"/>
            </w:tcBorders>
            <w:shd w:val="clear" w:color="000000" w:fill="F2F2F2"/>
            <w:noWrap/>
            <w:vAlign w:val="bottom"/>
            <w:hideMark/>
          </w:tcPr>
          <w:p w14:paraId="7C19459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7CA125F8" w14:textId="77777777" w:rsidTr="00C03FA1">
        <w:trPr>
          <w:trHeight w:val="267"/>
        </w:trPr>
        <w:tc>
          <w:tcPr>
            <w:tcW w:w="236" w:type="dxa"/>
            <w:tcBorders>
              <w:top w:val="nil"/>
              <w:left w:val="nil"/>
              <w:bottom w:val="nil"/>
              <w:right w:val="nil"/>
            </w:tcBorders>
            <w:shd w:val="clear" w:color="auto" w:fill="auto"/>
            <w:noWrap/>
            <w:vAlign w:val="bottom"/>
            <w:hideMark/>
          </w:tcPr>
          <w:p w14:paraId="306CD148"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59A57CEA"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Psychiatric Liaison</w:t>
            </w:r>
          </w:p>
        </w:tc>
        <w:tc>
          <w:tcPr>
            <w:tcW w:w="2044" w:type="dxa"/>
            <w:tcBorders>
              <w:top w:val="nil"/>
              <w:left w:val="single" w:sz="4" w:space="0" w:color="auto"/>
              <w:bottom w:val="nil"/>
              <w:right w:val="nil"/>
            </w:tcBorders>
            <w:shd w:val="clear" w:color="auto" w:fill="auto"/>
            <w:noWrap/>
            <w:vAlign w:val="bottom"/>
            <w:hideMark/>
          </w:tcPr>
          <w:p w14:paraId="3CB5FAF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44.05*** (39.31, 48.78)</w:t>
            </w:r>
          </w:p>
        </w:tc>
        <w:tc>
          <w:tcPr>
            <w:tcW w:w="2044" w:type="dxa"/>
            <w:tcBorders>
              <w:top w:val="nil"/>
              <w:left w:val="nil"/>
              <w:bottom w:val="nil"/>
              <w:right w:val="nil"/>
            </w:tcBorders>
            <w:shd w:val="clear" w:color="auto" w:fill="auto"/>
            <w:noWrap/>
            <w:vAlign w:val="bottom"/>
            <w:hideMark/>
          </w:tcPr>
          <w:p w14:paraId="2C69CD6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 (0, 0.07)</w:t>
            </w:r>
          </w:p>
        </w:tc>
        <w:tc>
          <w:tcPr>
            <w:tcW w:w="2044" w:type="dxa"/>
            <w:tcBorders>
              <w:top w:val="nil"/>
              <w:left w:val="nil"/>
              <w:bottom w:val="nil"/>
              <w:right w:val="nil"/>
            </w:tcBorders>
            <w:shd w:val="clear" w:color="auto" w:fill="auto"/>
            <w:noWrap/>
            <w:vAlign w:val="bottom"/>
            <w:hideMark/>
          </w:tcPr>
          <w:p w14:paraId="71F9523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-30.22* (-55.52, -4.91)</w:t>
            </w:r>
          </w:p>
        </w:tc>
        <w:tc>
          <w:tcPr>
            <w:tcW w:w="2044" w:type="dxa"/>
            <w:tcBorders>
              <w:top w:val="nil"/>
              <w:left w:val="nil"/>
              <w:bottom w:val="nil"/>
              <w:right w:val="nil"/>
            </w:tcBorders>
            <w:shd w:val="clear" w:color="auto" w:fill="auto"/>
            <w:noWrap/>
            <w:vAlign w:val="bottom"/>
            <w:hideMark/>
          </w:tcPr>
          <w:p w14:paraId="04D4D0F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 (-0.24, 4.24)</w:t>
            </w:r>
          </w:p>
        </w:tc>
        <w:tc>
          <w:tcPr>
            <w:tcW w:w="2044" w:type="dxa"/>
            <w:tcBorders>
              <w:top w:val="nil"/>
              <w:left w:val="nil"/>
              <w:bottom w:val="nil"/>
              <w:right w:val="nil"/>
            </w:tcBorders>
            <w:shd w:val="clear" w:color="auto" w:fill="auto"/>
            <w:noWrap/>
            <w:vAlign w:val="bottom"/>
            <w:hideMark/>
          </w:tcPr>
          <w:p w14:paraId="73626A3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-0.16 (-14.9, 14.57)</w:t>
            </w:r>
          </w:p>
        </w:tc>
        <w:tc>
          <w:tcPr>
            <w:tcW w:w="2044" w:type="dxa"/>
            <w:tcBorders>
              <w:top w:val="nil"/>
              <w:left w:val="nil"/>
              <w:bottom w:val="nil"/>
              <w:right w:val="nil"/>
            </w:tcBorders>
            <w:shd w:val="clear" w:color="auto" w:fill="auto"/>
            <w:noWrap/>
            <w:vAlign w:val="bottom"/>
            <w:hideMark/>
          </w:tcPr>
          <w:p w14:paraId="219217A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4A9693A6" w14:textId="77777777" w:rsidTr="00C03FA1">
        <w:trPr>
          <w:trHeight w:val="267"/>
        </w:trPr>
        <w:tc>
          <w:tcPr>
            <w:tcW w:w="236" w:type="dxa"/>
            <w:tcBorders>
              <w:top w:val="nil"/>
              <w:left w:val="nil"/>
              <w:bottom w:val="nil"/>
              <w:right w:val="nil"/>
            </w:tcBorders>
            <w:shd w:val="clear" w:color="auto" w:fill="auto"/>
            <w:noWrap/>
            <w:vAlign w:val="bottom"/>
            <w:hideMark/>
          </w:tcPr>
          <w:p w14:paraId="4D3A9AEC"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5C562514"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days to contact after referral</w:t>
            </w:r>
          </w:p>
        </w:tc>
        <w:tc>
          <w:tcPr>
            <w:tcW w:w="2044" w:type="dxa"/>
            <w:tcBorders>
              <w:top w:val="nil"/>
              <w:left w:val="single" w:sz="4" w:space="0" w:color="auto"/>
              <w:bottom w:val="nil"/>
              <w:right w:val="nil"/>
            </w:tcBorders>
            <w:shd w:val="clear" w:color="000000" w:fill="F2F2F2"/>
            <w:noWrap/>
            <w:vAlign w:val="bottom"/>
            <w:hideMark/>
          </w:tcPr>
          <w:p w14:paraId="6FD945D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456.01*** (450.32, 461.71)</w:t>
            </w:r>
          </w:p>
        </w:tc>
        <w:tc>
          <w:tcPr>
            <w:tcW w:w="2044" w:type="dxa"/>
            <w:tcBorders>
              <w:top w:val="nil"/>
              <w:left w:val="nil"/>
              <w:bottom w:val="nil"/>
              <w:right w:val="nil"/>
            </w:tcBorders>
            <w:shd w:val="clear" w:color="000000" w:fill="F2F2F2"/>
            <w:noWrap/>
            <w:vAlign w:val="bottom"/>
            <w:hideMark/>
          </w:tcPr>
          <w:p w14:paraId="7D58E6D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-1.67*** (-1.74, -1.59)</w:t>
            </w:r>
          </w:p>
        </w:tc>
        <w:tc>
          <w:tcPr>
            <w:tcW w:w="2044" w:type="dxa"/>
            <w:tcBorders>
              <w:top w:val="nil"/>
              <w:left w:val="nil"/>
              <w:bottom w:val="nil"/>
              <w:right w:val="nil"/>
            </w:tcBorders>
            <w:shd w:val="clear" w:color="000000" w:fill="F2F2F2"/>
            <w:noWrap/>
            <w:vAlign w:val="bottom"/>
            <w:hideMark/>
          </w:tcPr>
          <w:p w14:paraId="569D176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-20.45 (-51.46, 10.55)</w:t>
            </w:r>
          </w:p>
        </w:tc>
        <w:tc>
          <w:tcPr>
            <w:tcW w:w="2044" w:type="dxa"/>
            <w:tcBorders>
              <w:top w:val="nil"/>
              <w:left w:val="nil"/>
              <w:bottom w:val="nil"/>
              <w:right w:val="nil"/>
            </w:tcBorders>
            <w:shd w:val="clear" w:color="000000" w:fill="F2F2F2"/>
            <w:noWrap/>
            <w:vAlign w:val="bottom"/>
            <w:hideMark/>
          </w:tcPr>
          <w:p w14:paraId="6396CA8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-1.76 (-5.47, 1.95)</w:t>
            </w:r>
          </w:p>
        </w:tc>
        <w:tc>
          <w:tcPr>
            <w:tcW w:w="2044" w:type="dxa"/>
            <w:tcBorders>
              <w:top w:val="nil"/>
              <w:left w:val="nil"/>
              <w:bottom w:val="nil"/>
              <w:right w:val="nil"/>
            </w:tcBorders>
            <w:shd w:val="clear" w:color="000000" w:fill="F2F2F2"/>
            <w:noWrap/>
            <w:vAlign w:val="bottom"/>
            <w:hideMark/>
          </w:tcPr>
          <w:p w14:paraId="2AE4017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-46.8* (-84.39, -9.2)</w:t>
            </w:r>
          </w:p>
        </w:tc>
        <w:tc>
          <w:tcPr>
            <w:tcW w:w="2044" w:type="dxa"/>
            <w:tcBorders>
              <w:top w:val="nil"/>
              <w:left w:val="nil"/>
              <w:bottom w:val="nil"/>
              <w:right w:val="nil"/>
            </w:tcBorders>
            <w:shd w:val="clear" w:color="000000" w:fill="F2F2F2"/>
            <w:noWrap/>
            <w:vAlign w:val="bottom"/>
            <w:hideMark/>
          </w:tcPr>
          <w:p w14:paraId="0819386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C03FA1" w:rsidRPr="00A80562" w14:paraId="73CB0B2A" w14:textId="77777777" w:rsidTr="00C03FA1">
        <w:trPr>
          <w:trHeight w:val="267"/>
        </w:trPr>
        <w:tc>
          <w:tcPr>
            <w:tcW w:w="236" w:type="dxa"/>
            <w:tcBorders>
              <w:top w:val="nil"/>
              <w:left w:val="nil"/>
              <w:bottom w:val="nil"/>
              <w:right w:val="nil"/>
            </w:tcBorders>
            <w:shd w:val="clear" w:color="auto" w:fill="auto"/>
            <w:noWrap/>
            <w:vAlign w:val="bottom"/>
            <w:hideMark/>
          </w:tcPr>
          <w:p w14:paraId="0DAB3048"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7B67FFFC"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 referrals with contact within 30 days</w:t>
            </w:r>
          </w:p>
        </w:tc>
        <w:tc>
          <w:tcPr>
            <w:tcW w:w="2044" w:type="dxa"/>
            <w:tcBorders>
              <w:top w:val="nil"/>
              <w:left w:val="single" w:sz="4" w:space="0" w:color="auto"/>
              <w:bottom w:val="nil"/>
              <w:right w:val="nil"/>
            </w:tcBorders>
            <w:shd w:val="clear" w:color="auto" w:fill="auto"/>
            <w:noWrap/>
            <w:vAlign w:val="bottom"/>
            <w:hideMark/>
          </w:tcPr>
          <w:p w14:paraId="5FD471D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54.1*** (53.1, 55.1)</w:t>
            </w:r>
          </w:p>
        </w:tc>
        <w:tc>
          <w:tcPr>
            <w:tcW w:w="2044" w:type="dxa"/>
            <w:tcBorders>
              <w:top w:val="nil"/>
              <w:left w:val="nil"/>
              <w:bottom w:val="nil"/>
              <w:right w:val="nil"/>
            </w:tcBorders>
            <w:shd w:val="clear" w:color="auto" w:fill="auto"/>
            <w:noWrap/>
            <w:vAlign w:val="bottom"/>
            <w:hideMark/>
          </w:tcPr>
          <w:p w14:paraId="7420125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(-0.1, 0)</w:t>
            </w:r>
          </w:p>
        </w:tc>
        <w:tc>
          <w:tcPr>
            <w:tcW w:w="2044" w:type="dxa"/>
            <w:tcBorders>
              <w:top w:val="nil"/>
              <w:left w:val="nil"/>
              <w:bottom w:val="nil"/>
              <w:right w:val="nil"/>
            </w:tcBorders>
            <w:shd w:val="clear" w:color="auto" w:fill="auto"/>
            <w:noWrap/>
            <w:vAlign w:val="bottom"/>
            <w:hideMark/>
          </w:tcPr>
          <w:p w14:paraId="0D6D115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5.3*** (3.7, 6.8)</w:t>
            </w:r>
          </w:p>
        </w:tc>
        <w:tc>
          <w:tcPr>
            <w:tcW w:w="2044" w:type="dxa"/>
            <w:tcBorders>
              <w:top w:val="nil"/>
              <w:left w:val="nil"/>
              <w:bottom w:val="nil"/>
              <w:right w:val="nil"/>
            </w:tcBorders>
            <w:shd w:val="clear" w:color="auto" w:fill="auto"/>
            <w:noWrap/>
            <w:vAlign w:val="bottom"/>
            <w:hideMark/>
          </w:tcPr>
          <w:p w14:paraId="2C3E056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 (0.4, 0.7)</w:t>
            </w:r>
          </w:p>
        </w:tc>
        <w:tc>
          <w:tcPr>
            <w:tcW w:w="2044" w:type="dxa"/>
            <w:tcBorders>
              <w:top w:val="nil"/>
              <w:left w:val="nil"/>
              <w:bottom w:val="nil"/>
              <w:right w:val="nil"/>
            </w:tcBorders>
            <w:shd w:val="clear" w:color="auto" w:fill="auto"/>
            <w:noWrap/>
            <w:vAlign w:val="bottom"/>
            <w:hideMark/>
          </w:tcPr>
          <w:p w14:paraId="6262040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13.6*** (11.9, 15.2)</w:t>
            </w:r>
          </w:p>
        </w:tc>
        <w:tc>
          <w:tcPr>
            <w:tcW w:w="2044" w:type="dxa"/>
            <w:tcBorders>
              <w:top w:val="nil"/>
              <w:left w:val="nil"/>
              <w:bottom w:val="nil"/>
              <w:right w:val="nil"/>
            </w:tcBorders>
            <w:shd w:val="clear" w:color="auto" w:fill="auto"/>
            <w:noWrap/>
            <w:vAlign w:val="bottom"/>
            <w:hideMark/>
          </w:tcPr>
          <w:p w14:paraId="65406E0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1B7F3364" w14:textId="77777777" w:rsidTr="00C03FA1">
        <w:trPr>
          <w:trHeight w:val="267"/>
        </w:trPr>
        <w:tc>
          <w:tcPr>
            <w:tcW w:w="3119" w:type="dxa"/>
            <w:gridSpan w:val="2"/>
            <w:tcBorders>
              <w:top w:val="nil"/>
              <w:left w:val="nil"/>
              <w:bottom w:val="single" w:sz="4" w:space="0" w:color="auto"/>
              <w:right w:val="nil"/>
            </w:tcBorders>
            <w:shd w:val="clear" w:color="auto" w:fill="auto"/>
            <w:noWrap/>
            <w:vAlign w:val="bottom"/>
            <w:hideMark/>
          </w:tcPr>
          <w:p w14:paraId="4F7842A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Outpatient contacts:</w:t>
            </w:r>
          </w:p>
        </w:tc>
        <w:tc>
          <w:tcPr>
            <w:tcW w:w="2044" w:type="dxa"/>
            <w:tcBorders>
              <w:top w:val="nil"/>
              <w:left w:val="single" w:sz="4" w:space="0" w:color="auto"/>
              <w:bottom w:val="single" w:sz="4" w:space="0" w:color="auto"/>
              <w:right w:val="nil"/>
            </w:tcBorders>
            <w:shd w:val="clear" w:color="auto" w:fill="auto"/>
            <w:noWrap/>
            <w:vAlign w:val="bottom"/>
            <w:hideMark/>
          </w:tcPr>
          <w:p w14:paraId="53A2701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19B1FCC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5C3AB4B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533364D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75B1355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2A58609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C03FA1" w:rsidRPr="00A80562" w14:paraId="3FF1DC94" w14:textId="77777777" w:rsidTr="00C03FA1">
        <w:trPr>
          <w:trHeight w:val="267"/>
        </w:trPr>
        <w:tc>
          <w:tcPr>
            <w:tcW w:w="236" w:type="dxa"/>
            <w:tcBorders>
              <w:top w:val="nil"/>
              <w:left w:val="nil"/>
              <w:bottom w:val="nil"/>
              <w:right w:val="nil"/>
            </w:tcBorders>
            <w:shd w:val="clear" w:color="auto" w:fill="auto"/>
            <w:noWrap/>
            <w:vAlign w:val="bottom"/>
            <w:hideMark/>
          </w:tcPr>
          <w:p w14:paraId="79E33A53"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1D41686F"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Total contacts</w:t>
            </w:r>
          </w:p>
        </w:tc>
        <w:tc>
          <w:tcPr>
            <w:tcW w:w="2044" w:type="dxa"/>
            <w:tcBorders>
              <w:top w:val="nil"/>
              <w:left w:val="single" w:sz="4" w:space="0" w:color="auto"/>
              <w:bottom w:val="nil"/>
              <w:right w:val="nil"/>
            </w:tcBorders>
            <w:shd w:val="clear" w:color="000000" w:fill="F2F2F2"/>
            <w:noWrap/>
            <w:vAlign w:val="bottom"/>
            <w:hideMark/>
          </w:tcPr>
          <w:p w14:paraId="71501B8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2135.5*** (2034.8, 2236.1)</w:t>
            </w:r>
          </w:p>
        </w:tc>
        <w:tc>
          <w:tcPr>
            <w:tcW w:w="2044" w:type="dxa"/>
            <w:tcBorders>
              <w:top w:val="nil"/>
              <w:left w:val="nil"/>
              <w:bottom w:val="nil"/>
              <w:right w:val="nil"/>
            </w:tcBorders>
            <w:shd w:val="clear" w:color="000000" w:fill="F2F2F2"/>
            <w:noWrap/>
            <w:vAlign w:val="bottom"/>
            <w:hideMark/>
          </w:tcPr>
          <w:p w14:paraId="293DD70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-0.9* (-1.7, -0.1)</w:t>
            </w:r>
          </w:p>
        </w:tc>
        <w:tc>
          <w:tcPr>
            <w:tcW w:w="2044" w:type="dxa"/>
            <w:tcBorders>
              <w:top w:val="nil"/>
              <w:left w:val="nil"/>
              <w:bottom w:val="nil"/>
              <w:right w:val="nil"/>
            </w:tcBorders>
            <w:shd w:val="clear" w:color="000000" w:fill="F2F2F2"/>
            <w:noWrap/>
            <w:vAlign w:val="bottom"/>
            <w:hideMark/>
          </w:tcPr>
          <w:p w14:paraId="446EE31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-18.5 (-456.5, 419.6)</w:t>
            </w:r>
          </w:p>
        </w:tc>
        <w:tc>
          <w:tcPr>
            <w:tcW w:w="2044" w:type="dxa"/>
            <w:tcBorders>
              <w:top w:val="nil"/>
              <w:left w:val="nil"/>
              <w:bottom w:val="nil"/>
              <w:right w:val="nil"/>
            </w:tcBorders>
            <w:shd w:val="clear" w:color="000000" w:fill="F2F2F2"/>
            <w:noWrap/>
            <w:vAlign w:val="bottom"/>
            <w:hideMark/>
          </w:tcPr>
          <w:p w14:paraId="6D0B928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96.5*** (49, 144)</w:t>
            </w:r>
          </w:p>
        </w:tc>
        <w:tc>
          <w:tcPr>
            <w:tcW w:w="2044" w:type="dxa"/>
            <w:tcBorders>
              <w:top w:val="nil"/>
              <w:left w:val="nil"/>
              <w:bottom w:val="nil"/>
              <w:right w:val="nil"/>
            </w:tcBorders>
            <w:shd w:val="clear" w:color="000000" w:fill="F2F2F2"/>
            <w:noWrap/>
            <w:vAlign w:val="bottom"/>
            <w:hideMark/>
          </w:tcPr>
          <w:p w14:paraId="7000E0F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1429*** (1025.2, 1832.8)</w:t>
            </w:r>
          </w:p>
        </w:tc>
        <w:tc>
          <w:tcPr>
            <w:tcW w:w="2044" w:type="dxa"/>
            <w:tcBorders>
              <w:top w:val="nil"/>
              <w:left w:val="nil"/>
              <w:bottom w:val="nil"/>
              <w:right w:val="nil"/>
            </w:tcBorders>
            <w:shd w:val="clear" w:color="000000" w:fill="F2F2F2"/>
            <w:noWrap/>
            <w:vAlign w:val="bottom"/>
            <w:hideMark/>
          </w:tcPr>
          <w:p w14:paraId="6CC440A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C03FA1" w:rsidRPr="00A80562" w14:paraId="78AA1B3A" w14:textId="77777777" w:rsidTr="00C03FA1">
        <w:trPr>
          <w:trHeight w:val="267"/>
        </w:trPr>
        <w:tc>
          <w:tcPr>
            <w:tcW w:w="236" w:type="dxa"/>
            <w:tcBorders>
              <w:top w:val="nil"/>
              <w:left w:val="nil"/>
              <w:bottom w:val="nil"/>
              <w:right w:val="nil"/>
            </w:tcBorders>
            <w:shd w:val="clear" w:color="auto" w:fill="auto"/>
            <w:noWrap/>
            <w:vAlign w:val="bottom"/>
            <w:hideMark/>
          </w:tcPr>
          <w:p w14:paraId="3CA7E85E"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108A2662"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First contacts</w:t>
            </w:r>
          </w:p>
        </w:tc>
        <w:tc>
          <w:tcPr>
            <w:tcW w:w="2044" w:type="dxa"/>
            <w:tcBorders>
              <w:top w:val="nil"/>
              <w:left w:val="single" w:sz="4" w:space="0" w:color="auto"/>
              <w:bottom w:val="nil"/>
              <w:right w:val="nil"/>
            </w:tcBorders>
            <w:shd w:val="clear" w:color="auto" w:fill="auto"/>
            <w:noWrap/>
            <w:vAlign w:val="bottom"/>
            <w:hideMark/>
          </w:tcPr>
          <w:p w14:paraId="1EEF34F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133.6*** (111.8, 155.3)</w:t>
            </w:r>
          </w:p>
        </w:tc>
        <w:tc>
          <w:tcPr>
            <w:tcW w:w="2044" w:type="dxa"/>
            <w:tcBorders>
              <w:top w:val="nil"/>
              <w:left w:val="nil"/>
              <w:bottom w:val="nil"/>
              <w:right w:val="nil"/>
            </w:tcBorders>
            <w:shd w:val="clear" w:color="auto" w:fill="auto"/>
            <w:noWrap/>
            <w:vAlign w:val="bottom"/>
            <w:hideMark/>
          </w:tcPr>
          <w:p w14:paraId="59D0173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 (-0.3, 0)</w:t>
            </w:r>
          </w:p>
        </w:tc>
        <w:tc>
          <w:tcPr>
            <w:tcW w:w="2044" w:type="dxa"/>
            <w:tcBorders>
              <w:top w:val="nil"/>
              <w:left w:val="nil"/>
              <w:bottom w:val="nil"/>
              <w:right w:val="nil"/>
            </w:tcBorders>
            <w:shd w:val="clear" w:color="auto" w:fill="auto"/>
            <w:noWrap/>
            <w:vAlign w:val="bottom"/>
            <w:hideMark/>
          </w:tcPr>
          <w:p w14:paraId="1F175BE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-9 (-51, 33)</w:t>
            </w:r>
          </w:p>
        </w:tc>
        <w:tc>
          <w:tcPr>
            <w:tcW w:w="2044" w:type="dxa"/>
            <w:tcBorders>
              <w:top w:val="nil"/>
              <w:left w:val="nil"/>
              <w:bottom w:val="nil"/>
              <w:right w:val="nil"/>
            </w:tcBorders>
            <w:shd w:val="clear" w:color="auto" w:fill="auto"/>
            <w:noWrap/>
            <w:vAlign w:val="bottom"/>
            <w:hideMark/>
          </w:tcPr>
          <w:p w14:paraId="5E2D1B8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 (-3.1, 4.4)</w:t>
            </w:r>
          </w:p>
        </w:tc>
        <w:tc>
          <w:tcPr>
            <w:tcW w:w="2044" w:type="dxa"/>
            <w:tcBorders>
              <w:top w:val="nil"/>
              <w:left w:val="nil"/>
              <w:bottom w:val="nil"/>
              <w:right w:val="nil"/>
            </w:tcBorders>
            <w:shd w:val="clear" w:color="auto" w:fill="auto"/>
            <w:noWrap/>
            <w:vAlign w:val="bottom"/>
            <w:hideMark/>
          </w:tcPr>
          <w:p w14:paraId="03862B3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0.3 (-24.8, 25.4)</w:t>
            </w:r>
          </w:p>
        </w:tc>
        <w:tc>
          <w:tcPr>
            <w:tcW w:w="2044" w:type="dxa"/>
            <w:tcBorders>
              <w:top w:val="nil"/>
              <w:left w:val="nil"/>
              <w:bottom w:val="nil"/>
              <w:right w:val="nil"/>
            </w:tcBorders>
            <w:shd w:val="clear" w:color="auto" w:fill="auto"/>
            <w:noWrap/>
            <w:vAlign w:val="bottom"/>
            <w:hideMark/>
          </w:tcPr>
          <w:p w14:paraId="4D34ABA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C03FA1" w:rsidRPr="00A80562" w14:paraId="7485F6A0" w14:textId="77777777" w:rsidTr="00C03FA1">
        <w:trPr>
          <w:trHeight w:val="267"/>
        </w:trPr>
        <w:tc>
          <w:tcPr>
            <w:tcW w:w="236" w:type="dxa"/>
            <w:tcBorders>
              <w:top w:val="nil"/>
              <w:left w:val="nil"/>
              <w:bottom w:val="nil"/>
              <w:right w:val="nil"/>
            </w:tcBorders>
            <w:shd w:val="clear" w:color="auto" w:fill="auto"/>
            <w:noWrap/>
            <w:vAlign w:val="bottom"/>
            <w:hideMark/>
          </w:tcPr>
          <w:p w14:paraId="30E3800D"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22B42F7E"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Face-to-face contacts</w:t>
            </w:r>
          </w:p>
        </w:tc>
        <w:tc>
          <w:tcPr>
            <w:tcW w:w="2044" w:type="dxa"/>
            <w:tcBorders>
              <w:top w:val="nil"/>
              <w:left w:val="single" w:sz="4" w:space="0" w:color="auto"/>
              <w:bottom w:val="nil"/>
              <w:right w:val="nil"/>
            </w:tcBorders>
            <w:shd w:val="clear" w:color="000000" w:fill="F2F2F2"/>
            <w:noWrap/>
            <w:vAlign w:val="bottom"/>
            <w:hideMark/>
          </w:tcPr>
          <w:p w14:paraId="758EB42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1814.9*** (1731.6, 1898.3)</w:t>
            </w:r>
          </w:p>
        </w:tc>
        <w:tc>
          <w:tcPr>
            <w:tcW w:w="2044" w:type="dxa"/>
            <w:tcBorders>
              <w:top w:val="nil"/>
              <w:left w:val="nil"/>
              <w:bottom w:val="nil"/>
              <w:right w:val="nil"/>
            </w:tcBorders>
            <w:shd w:val="clear" w:color="000000" w:fill="F2F2F2"/>
            <w:noWrap/>
            <w:vAlign w:val="bottom"/>
            <w:hideMark/>
          </w:tcPr>
          <w:p w14:paraId="7EA27C5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(-1.6, -0.3)</w:t>
            </w:r>
          </w:p>
        </w:tc>
        <w:tc>
          <w:tcPr>
            <w:tcW w:w="2044" w:type="dxa"/>
            <w:tcBorders>
              <w:top w:val="nil"/>
              <w:left w:val="nil"/>
              <w:bottom w:val="nil"/>
              <w:right w:val="nil"/>
            </w:tcBorders>
            <w:shd w:val="clear" w:color="000000" w:fill="F2F2F2"/>
            <w:noWrap/>
            <w:vAlign w:val="bottom"/>
            <w:hideMark/>
          </w:tcPr>
          <w:p w14:paraId="3A89ABD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-1274.6 (-2734.8, 185.6)</w:t>
            </w:r>
          </w:p>
        </w:tc>
        <w:tc>
          <w:tcPr>
            <w:tcW w:w="2044" w:type="dxa"/>
            <w:tcBorders>
              <w:top w:val="nil"/>
              <w:left w:val="nil"/>
              <w:bottom w:val="nil"/>
              <w:right w:val="nil"/>
            </w:tcBorders>
            <w:shd w:val="clear" w:color="000000" w:fill="F2F2F2"/>
            <w:noWrap/>
            <w:vAlign w:val="bottom"/>
            <w:hideMark/>
          </w:tcPr>
          <w:p w14:paraId="4E91350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22.8 (-164.4, 209.9)</w:t>
            </w:r>
          </w:p>
        </w:tc>
        <w:tc>
          <w:tcPr>
            <w:tcW w:w="2044" w:type="dxa"/>
            <w:tcBorders>
              <w:top w:val="nil"/>
              <w:left w:val="nil"/>
              <w:bottom w:val="nil"/>
              <w:right w:val="nil"/>
            </w:tcBorders>
            <w:shd w:val="clear" w:color="000000" w:fill="F2F2F2"/>
            <w:noWrap/>
            <w:vAlign w:val="bottom"/>
            <w:hideMark/>
          </w:tcPr>
          <w:p w14:paraId="33AC786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-933.1 (-2809.3, 943.1)</w:t>
            </w:r>
          </w:p>
        </w:tc>
        <w:tc>
          <w:tcPr>
            <w:tcW w:w="2044" w:type="dxa"/>
            <w:tcBorders>
              <w:top w:val="nil"/>
              <w:left w:val="nil"/>
              <w:bottom w:val="nil"/>
              <w:right w:val="nil"/>
            </w:tcBorders>
            <w:shd w:val="clear" w:color="000000" w:fill="F2F2F2"/>
            <w:noWrap/>
            <w:vAlign w:val="bottom"/>
            <w:hideMark/>
          </w:tcPr>
          <w:p w14:paraId="7A93007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C03FA1" w:rsidRPr="00A80562" w14:paraId="095AC301" w14:textId="77777777" w:rsidTr="00C03FA1">
        <w:trPr>
          <w:trHeight w:val="267"/>
        </w:trPr>
        <w:tc>
          <w:tcPr>
            <w:tcW w:w="236" w:type="dxa"/>
            <w:tcBorders>
              <w:top w:val="nil"/>
              <w:left w:val="nil"/>
              <w:bottom w:val="nil"/>
              <w:right w:val="nil"/>
            </w:tcBorders>
            <w:shd w:val="clear" w:color="auto" w:fill="auto"/>
            <w:noWrap/>
            <w:vAlign w:val="bottom"/>
            <w:hideMark/>
          </w:tcPr>
          <w:p w14:paraId="52533BDB"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5E2C1168"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Remote contacts</w:t>
            </w:r>
          </w:p>
        </w:tc>
        <w:tc>
          <w:tcPr>
            <w:tcW w:w="2044" w:type="dxa"/>
            <w:tcBorders>
              <w:top w:val="nil"/>
              <w:left w:val="single" w:sz="4" w:space="0" w:color="auto"/>
              <w:bottom w:val="nil"/>
              <w:right w:val="nil"/>
            </w:tcBorders>
            <w:shd w:val="clear" w:color="auto" w:fill="auto"/>
            <w:noWrap/>
            <w:vAlign w:val="bottom"/>
            <w:hideMark/>
          </w:tcPr>
          <w:p w14:paraId="5BA49C3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296.7*** (211.4, 382)</w:t>
            </w:r>
          </w:p>
        </w:tc>
        <w:tc>
          <w:tcPr>
            <w:tcW w:w="2044" w:type="dxa"/>
            <w:tcBorders>
              <w:top w:val="nil"/>
              <w:left w:val="nil"/>
              <w:bottom w:val="nil"/>
              <w:right w:val="nil"/>
            </w:tcBorders>
            <w:shd w:val="clear" w:color="auto" w:fill="auto"/>
            <w:noWrap/>
            <w:vAlign w:val="bottom"/>
            <w:hideMark/>
          </w:tcPr>
          <w:p w14:paraId="550AF21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 (-0.5, 0.9)</w:t>
            </w:r>
          </w:p>
        </w:tc>
        <w:tc>
          <w:tcPr>
            <w:tcW w:w="2044" w:type="dxa"/>
            <w:tcBorders>
              <w:top w:val="nil"/>
              <w:left w:val="nil"/>
              <w:bottom w:val="nil"/>
              <w:right w:val="nil"/>
            </w:tcBorders>
            <w:shd w:val="clear" w:color="auto" w:fill="auto"/>
            <w:noWrap/>
            <w:vAlign w:val="bottom"/>
            <w:hideMark/>
          </w:tcPr>
          <w:p w14:paraId="1FF5D74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1201.1*** (1103.3, 1299)</w:t>
            </w:r>
          </w:p>
        </w:tc>
        <w:tc>
          <w:tcPr>
            <w:tcW w:w="2044" w:type="dxa"/>
            <w:tcBorders>
              <w:top w:val="nil"/>
              <w:left w:val="nil"/>
              <w:bottom w:val="nil"/>
              <w:right w:val="nil"/>
            </w:tcBorders>
            <w:shd w:val="clear" w:color="auto" w:fill="auto"/>
            <w:noWrap/>
            <w:vAlign w:val="bottom"/>
            <w:hideMark/>
          </w:tcPr>
          <w:p w14:paraId="354FF1B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73.9*** (67, 80.8)</w:t>
            </w:r>
          </w:p>
        </w:tc>
        <w:tc>
          <w:tcPr>
            <w:tcW w:w="2044" w:type="dxa"/>
            <w:tcBorders>
              <w:top w:val="nil"/>
              <w:left w:val="nil"/>
              <w:bottom w:val="nil"/>
              <w:right w:val="nil"/>
            </w:tcBorders>
            <w:shd w:val="clear" w:color="auto" w:fill="auto"/>
            <w:noWrap/>
            <w:vAlign w:val="bottom"/>
            <w:hideMark/>
          </w:tcPr>
          <w:p w14:paraId="56F7F0A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2310.2*** (2196.2, 2424.1)</w:t>
            </w:r>
          </w:p>
        </w:tc>
        <w:tc>
          <w:tcPr>
            <w:tcW w:w="2044" w:type="dxa"/>
            <w:tcBorders>
              <w:top w:val="nil"/>
              <w:left w:val="nil"/>
              <w:bottom w:val="nil"/>
              <w:right w:val="nil"/>
            </w:tcBorders>
            <w:shd w:val="clear" w:color="auto" w:fill="auto"/>
            <w:noWrap/>
            <w:vAlign w:val="bottom"/>
            <w:hideMark/>
          </w:tcPr>
          <w:p w14:paraId="00D869A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403DC33D" w14:textId="77777777" w:rsidTr="00C03FA1">
        <w:trPr>
          <w:trHeight w:val="267"/>
        </w:trPr>
        <w:tc>
          <w:tcPr>
            <w:tcW w:w="236" w:type="dxa"/>
            <w:tcBorders>
              <w:top w:val="nil"/>
              <w:left w:val="nil"/>
              <w:bottom w:val="nil"/>
              <w:right w:val="nil"/>
            </w:tcBorders>
            <w:shd w:val="clear" w:color="auto" w:fill="auto"/>
            <w:noWrap/>
            <w:vAlign w:val="bottom"/>
            <w:hideMark/>
          </w:tcPr>
          <w:p w14:paraId="79F7B6D5"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2F2DFAEF"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Early Intervention in Psychosis</w:t>
            </w:r>
          </w:p>
        </w:tc>
        <w:tc>
          <w:tcPr>
            <w:tcW w:w="2044" w:type="dxa"/>
            <w:tcBorders>
              <w:top w:val="nil"/>
              <w:left w:val="single" w:sz="4" w:space="0" w:color="auto"/>
              <w:bottom w:val="nil"/>
              <w:right w:val="nil"/>
            </w:tcBorders>
            <w:shd w:val="clear" w:color="000000" w:fill="F2F2F2"/>
            <w:noWrap/>
            <w:vAlign w:val="bottom"/>
            <w:hideMark/>
          </w:tcPr>
          <w:p w14:paraId="1200742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128.6*** (110.5, 146.8)</w:t>
            </w:r>
          </w:p>
        </w:tc>
        <w:tc>
          <w:tcPr>
            <w:tcW w:w="2044" w:type="dxa"/>
            <w:tcBorders>
              <w:top w:val="nil"/>
              <w:left w:val="nil"/>
              <w:bottom w:val="nil"/>
              <w:right w:val="nil"/>
            </w:tcBorders>
            <w:shd w:val="clear" w:color="000000" w:fill="F2F2F2"/>
            <w:noWrap/>
            <w:vAlign w:val="bottom"/>
            <w:hideMark/>
          </w:tcPr>
          <w:p w14:paraId="3673A62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 (0, 0.3)</w:t>
            </w:r>
          </w:p>
        </w:tc>
        <w:tc>
          <w:tcPr>
            <w:tcW w:w="2044" w:type="dxa"/>
            <w:tcBorders>
              <w:top w:val="nil"/>
              <w:left w:val="nil"/>
              <w:bottom w:val="nil"/>
              <w:right w:val="nil"/>
            </w:tcBorders>
            <w:shd w:val="clear" w:color="000000" w:fill="F2F2F2"/>
            <w:noWrap/>
            <w:vAlign w:val="bottom"/>
            <w:hideMark/>
          </w:tcPr>
          <w:p w14:paraId="0DBAC8D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6.2 (-98, 110.4)</w:t>
            </w:r>
          </w:p>
        </w:tc>
        <w:tc>
          <w:tcPr>
            <w:tcW w:w="2044" w:type="dxa"/>
            <w:tcBorders>
              <w:top w:val="nil"/>
              <w:left w:val="nil"/>
              <w:bottom w:val="nil"/>
              <w:right w:val="nil"/>
            </w:tcBorders>
            <w:shd w:val="clear" w:color="000000" w:fill="F2F2F2"/>
            <w:noWrap/>
            <w:vAlign w:val="bottom"/>
            <w:hideMark/>
          </w:tcPr>
          <w:p w14:paraId="51B6C3C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8.4 (-1.5, 18.3)</w:t>
            </w:r>
          </w:p>
        </w:tc>
        <w:tc>
          <w:tcPr>
            <w:tcW w:w="2044" w:type="dxa"/>
            <w:tcBorders>
              <w:top w:val="nil"/>
              <w:left w:val="nil"/>
              <w:bottom w:val="nil"/>
              <w:right w:val="nil"/>
            </w:tcBorders>
            <w:shd w:val="clear" w:color="000000" w:fill="F2F2F2"/>
            <w:noWrap/>
            <w:vAlign w:val="bottom"/>
            <w:hideMark/>
          </w:tcPr>
          <w:p w14:paraId="6B82936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131.8*** (53.8, 209.9)</w:t>
            </w:r>
          </w:p>
        </w:tc>
        <w:tc>
          <w:tcPr>
            <w:tcW w:w="2044" w:type="dxa"/>
            <w:tcBorders>
              <w:top w:val="nil"/>
              <w:left w:val="nil"/>
              <w:bottom w:val="nil"/>
              <w:right w:val="nil"/>
            </w:tcBorders>
            <w:shd w:val="clear" w:color="000000" w:fill="F2F2F2"/>
            <w:noWrap/>
            <w:vAlign w:val="bottom"/>
            <w:hideMark/>
          </w:tcPr>
          <w:p w14:paraId="0B5E6B0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0F39D797" w14:textId="77777777" w:rsidTr="00C03FA1">
        <w:trPr>
          <w:trHeight w:val="267"/>
        </w:trPr>
        <w:tc>
          <w:tcPr>
            <w:tcW w:w="236" w:type="dxa"/>
            <w:tcBorders>
              <w:top w:val="nil"/>
              <w:left w:val="nil"/>
              <w:bottom w:val="nil"/>
              <w:right w:val="nil"/>
            </w:tcBorders>
            <w:shd w:val="clear" w:color="auto" w:fill="auto"/>
            <w:noWrap/>
            <w:vAlign w:val="bottom"/>
            <w:hideMark/>
          </w:tcPr>
          <w:p w14:paraId="1C77DC1F"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3D444663"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Community Mental Health Teams</w:t>
            </w:r>
          </w:p>
        </w:tc>
        <w:tc>
          <w:tcPr>
            <w:tcW w:w="2044" w:type="dxa"/>
            <w:tcBorders>
              <w:top w:val="nil"/>
              <w:left w:val="single" w:sz="4" w:space="0" w:color="auto"/>
              <w:bottom w:val="nil"/>
              <w:right w:val="nil"/>
            </w:tcBorders>
            <w:shd w:val="clear" w:color="auto" w:fill="auto"/>
            <w:noWrap/>
            <w:vAlign w:val="bottom"/>
            <w:hideMark/>
          </w:tcPr>
          <w:p w14:paraId="7F4D157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731.7*** (697.5, 765.9)</w:t>
            </w:r>
          </w:p>
        </w:tc>
        <w:tc>
          <w:tcPr>
            <w:tcW w:w="2044" w:type="dxa"/>
            <w:tcBorders>
              <w:top w:val="nil"/>
              <w:left w:val="nil"/>
              <w:bottom w:val="nil"/>
              <w:right w:val="nil"/>
            </w:tcBorders>
            <w:shd w:val="clear" w:color="auto" w:fill="auto"/>
            <w:noWrap/>
            <w:vAlign w:val="bottom"/>
            <w:hideMark/>
          </w:tcPr>
          <w:p w14:paraId="4B3E27D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-0.7*** (-0.9, -0.4)</w:t>
            </w:r>
          </w:p>
        </w:tc>
        <w:tc>
          <w:tcPr>
            <w:tcW w:w="2044" w:type="dxa"/>
            <w:tcBorders>
              <w:top w:val="nil"/>
              <w:left w:val="nil"/>
              <w:bottom w:val="nil"/>
              <w:right w:val="nil"/>
            </w:tcBorders>
            <w:shd w:val="clear" w:color="auto" w:fill="auto"/>
            <w:noWrap/>
            <w:vAlign w:val="bottom"/>
            <w:hideMark/>
          </w:tcPr>
          <w:p w14:paraId="2A8C1FD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131.6** (39.5, 223.7)</w:t>
            </w:r>
          </w:p>
        </w:tc>
        <w:tc>
          <w:tcPr>
            <w:tcW w:w="2044" w:type="dxa"/>
            <w:tcBorders>
              <w:top w:val="nil"/>
              <w:left w:val="nil"/>
              <w:bottom w:val="nil"/>
              <w:right w:val="nil"/>
            </w:tcBorders>
            <w:shd w:val="clear" w:color="auto" w:fill="auto"/>
            <w:noWrap/>
            <w:vAlign w:val="bottom"/>
            <w:hideMark/>
          </w:tcPr>
          <w:p w14:paraId="5CADD9F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20.3*** (9.8, 30.9)</w:t>
            </w:r>
          </w:p>
        </w:tc>
        <w:tc>
          <w:tcPr>
            <w:tcW w:w="2044" w:type="dxa"/>
            <w:tcBorders>
              <w:top w:val="nil"/>
              <w:left w:val="nil"/>
              <w:bottom w:val="nil"/>
              <w:right w:val="nil"/>
            </w:tcBorders>
            <w:shd w:val="clear" w:color="auto" w:fill="auto"/>
            <w:noWrap/>
            <w:vAlign w:val="bottom"/>
            <w:hideMark/>
          </w:tcPr>
          <w:p w14:paraId="14908D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436.6*** (331.2, 541.9)</w:t>
            </w:r>
          </w:p>
        </w:tc>
        <w:tc>
          <w:tcPr>
            <w:tcW w:w="2044" w:type="dxa"/>
            <w:tcBorders>
              <w:top w:val="nil"/>
              <w:left w:val="nil"/>
              <w:bottom w:val="nil"/>
              <w:right w:val="nil"/>
            </w:tcBorders>
            <w:shd w:val="clear" w:color="auto" w:fill="auto"/>
            <w:noWrap/>
            <w:vAlign w:val="bottom"/>
            <w:hideMark/>
          </w:tcPr>
          <w:p w14:paraId="089D224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C03FA1" w:rsidRPr="00A80562" w14:paraId="5794B0AC" w14:textId="77777777" w:rsidTr="00C03FA1">
        <w:trPr>
          <w:trHeight w:val="267"/>
        </w:trPr>
        <w:tc>
          <w:tcPr>
            <w:tcW w:w="236" w:type="dxa"/>
            <w:tcBorders>
              <w:top w:val="nil"/>
              <w:left w:val="nil"/>
              <w:bottom w:val="nil"/>
              <w:right w:val="nil"/>
            </w:tcBorders>
            <w:shd w:val="clear" w:color="auto" w:fill="auto"/>
            <w:noWrap/>
            <w:vAlign w:val="bottom"/>
            <w:hideMark/>
          </w:tcPr>
          <w:p w14:paraId="391079BF"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481B6F93"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Crisis Teams</w:t>
            </w:r>
          </w:p>
        </w:tc>
        <w:tc>
          <w:tcPr>
            <w:tcW w:w="2044" w:type="dxa"/>
            <w:tcBorders>
              <w:top w:val="nil"/>
              <w:left w:val="single" w:sz="4" w:space="0" w:color="auto"/>
              <w:bottom w:val="nil"/>
              <w:right w:val="nil"/>
            </w:tcBorders>
            <w:shd w:val="clear" w:color="000000" w:fill="F2F2F2"/>
            <w:noWrap/>
            <w:vAlign w:val="bottom"/>
            <w:hideMark/>
          </w:tcPr>
          <w:p w14:paraId="5F94366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38.5*** (31.9, 45.1)</w:t>
            </w:r>
          </w:p>
        </w:tc>
        <w:tc>
          <w:tcPr>
            <w:tcW w:w="2044" w:type="dxa"/>
            <w:tcBorders>
              <w:top w:val="nil"/>
              <w:left w:val="nil"/>
              <w:bottom w:val="nil"/>
              <w:right w:val="nil"/>
            </w:tcBorders>
            <w:shd w:val="clear" w:color="000000" w:fill="F2F2F2"/>
            <w:noWrap/>
            <w:vAlign w:val="bottom"/>
            <w:hideMark/>
          </w:tcPr>
          <w:p w14:paraId="53F85C7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(-0.1, 0.1)</w:t>
            </w:r>
          </w:p>
        </w:tc>
        <w:tc>
          <w:tcPr>
            <w:tcW w:w="2044" w:type="dxa"/>
            <w:tcBorders>
              <w:top w:val="nil"/>
              <w:left w:val="nil"/>
              <w:bottom w:val="nil"/>
              <w:right w:val="nil"/>
            </w:tcBorders>
            <w:shd w:val="clear" w:color="000000" w:fill="F2F2F2"/>
            <w:noWrap/>
            <w:vAlign w:val="bottom"/>
            <w:hideMark/>
          </w:tcPr>
          <w:p w14:paraId="79FF566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-25.5 (-54.6, 3.7)</w:t>
            </w:r>
          </w:p>
        </w:tc>
        <w:tc>
          <w:tcPr>
            <w:tcW w:w="2044" w:type="dxa"/>
            <w:tcBorders>
              <w:top w:val="nil"/>
              <w:left w:val="nil"/>
              <w:bottom w:val="nil"/>
              <w:right w:val="nil"/>
            </w:tcBorders>
            <w:shd w:val="clear" w:color="000000" w:fill="F2F2F2"/>
            <w:noWrap/>
            <w:vAlign w:val="bottom"/>
            <w:hideMark/>
          </w:tcPr>
          <w:p w14:paraId="53A1C6B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2.2* (0.2, 4.2)</w:t>
            </w:r>
          </w:p>
        </w:tc>
        <w:tc>
          <w:tcPr>
            <w:tcW w:w="2044" w:type="dxa"/>
            <w:tcBorders>
              <w:top w:val="nil"/>
              <w:left w:val="nil"/>
              <w:bottom w:val="nil"/>
              <w:right w:val="nil"/>
            </w:tcBorders>
            <w:shd w:val="clear" w:color="000000" w:fill="F2F2F2"/>
            <w:noWrap/>
            <w:vAlign w:val="bottom"/>
            <w:hideMark/>
          </w:tcPr>
          <w:p w14:paraId="00504D1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 (-5.8, 19.9)</w:t>
            </w:r>
          </w:p>
        </w:tc>
        <w:tc>
          <w:tcPr>
            <w:tcW w:w="2044" w:type="dxa"/>
            <w:tcBorders>
              <w:top w:val="nil"/>
              <w:left w:val="nil"/>
              <w:bottom w:val="nil"/>
              <w:right w:val="nil"/>
            </w:tcBorders>
            <w:shd w:val="clear" w:color="000000" w:fill="F2F2F2"/>
            <w:noWrap/>
            <w:vAlign w:val="bottom"/>
            <w:hideMark/>
          </w:tcPr>
          <w:p w14:paraId="23AA4E9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58F801A7" w14:textId="77777777" w:rsidTr="00C03FA1">
        <w:trPr>
          <w:trHeight w:val="267"/>
        </w:trPr>
        <w:tc>
          <w:tcPr>
            <w:tcW w:w="236" w:type="dxa"/>
            <w:tcBorders>
              <w:top w:val="nil"/>
              <w:left w:val="nil"/>
              <w:bottom w:val="nil"/>
              <w:right w:val="nil"/>
            </w:tcBorders>
            <w:shd w:val="clear" w:color="auto" w:fill="auto"/>
            <w:noWrap/>
            <w:vAlign w:val="bottom"/>
            <w:hideMark/>
          </w:tcPr>
          <w:p w14:paraId="7E4A8DD9"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0D30B618"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Psychiatric Liaison</w:t>
            </w:r>
          </w:p>
        </w:tc>
        <w:tc>
          <w:tcPr>
            <w:tcW w:w="2044" w:type="dxa"/>
            <w:tcBorders>
              <w:top w:val="nil"/>
              <w:left w:val="single" w:sz="4" w:space="0" w:color="auto"/>
              <w:bottom w:val="nil"/>
              <w:right w:val="nil"/>
            </w:tcBorders>
            <w:shd w:val="clear" w:color="auto" w:fill="auto"/>
            <w:noWrap/>
            <w:vAlign w:val="bottom"/>
            <w:hideMark/>
          </w:tcPr>
          <w:p w14:paraId="20C67EB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59.4*** (53.5, 65.3)</w:t>
            </w:r>
          </w:p>
        </w:tc>
        <w:tc>
          <w:tcPr>
            <w:tcW w:w="2044" w:type="dxa"/>
            <w:tcBorders>
              <w:top w:val="nil"/>
              <w:left w:val="nil"/>
              <w:bottom w:val="nil"/>
              <w:right w:val="nil"/>
            </w:tcBorders>
            <w:shd w:val="clear" w:color="auto" w:fill="auto"/>
            <w:noWrap/>
            <w:vAlign w:val="bottom"/>
            <w:hideMark/>
          </w:tcPr>
          <w:p w14:paraId="79F86E6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(-0.1, 0)</w:t>
            </w:r>
          </w:p>
        </w:tc>
        <w:tc>
          <w:tcPr>
            <w:tcW w:w="2044" w:type="dxa"/>
            <w:tcBorders>
              <w:top w:val="nil"/>
              <w:left w:val="nil"/>
              <w:bottom w:val="nil"/>
              <w:right w:val="nil"/>
            </w:tcBorders>
            <w:shd w:val="clear" w:color="auto" w:fill="auto"/>
            <w:noWrap/>
            <w:vAlign w:val="bottom"/>
            <w:hideMark/>
          </w:tcPr>
          <w:p w14:paraId="4AB02E2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-35.8** (-57.4, -14.2)</w:t>
            </w:r>
          </w:p>
        </w:tc>
        <w:tc>
          <w:tcPr>
            <w:tcW w:w="2044" w:type="dxa"/>
            <w:tcBorders>
              <w:top w:val="nil"/>
              <w:left w:val="nil"/>
              <w:bottom w:val="nil"/>
              <w:right w:val="nil"/>
            </w:tcBorders>
            <w:shd w:val="clear" w:color="auto" w:fill="auto"/>
            <w:noWrap/>
            <w:vAlign w:val="bottom"/>
            <w:hideMark/>
          </w:tcPr>
          <w:p w14:paraId="63E8363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2.5* (0.3, 4.8)</w:t>
            </w:r>
          </w:p>
        </w:tc>
        <w:tc>
          <w:tcPr>
            <w:tcW w:w="2044" w:type="dxa"/>
            <w:tcBorders>
              <w:top w:val="nil"/>
              <w:left w:val="nil"/>
              <w:bottom w:val="nil"/>
              <w:right w:val="nil"/>
            </w:tcBorders>
            <w:shd w:val="clear" w:color="auto" w:fill="auto"/>
            <w:noWrap/>
            <w:vAlign w:val="bottom"/>
            <w:hideMark/>
          </w:tcPr>
          <w:p w14:paraId="5E74827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2.2 (-17.9, 22.3)</w:t>
            </w:r>
          </w:p>
        </w:tc>
        <w:tc>
          <w:tcPr>
            <w:tcW w:w="2044" w:type="dxa"/>
            <w:tcBorders>
              <w:top w:val="nil"/>
              <w:left w:val="nil"/>
              <w:bottom w:val="nil"/>
              <w:right w:val="nil"/>
            </w:tcBorders>
            <w:shd w:val="clear" w:color="auto" w:fill="auto"/>
            <w:noWrap/>
            <w:vAlign w:val="bottom"/>
            <w:hideMark/>
          </w:tcPr>
          <w:p w14:paraId="36BF038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11630AC4" w14:textId="77777777" w:rsidTr="00C03FA1">
        <w:trPr>
          <w:trHeight w:val="267"/>
        </w:trPr>
        <w:tc>
          <w:tcPr>
            <w:tcW w:w="3119" w:type="dxa"/>
            <w:gridSpan w:val="2"/>
            <w:tcBorders>
              <w:top w:val="nil"/>
              <w:left w:val="nil"/>
              <w:bottom w:val="single" w:sz="4" w:space="0" w:color="auto"/>
              <w:right w:val="nil"/>
            </w:tcBorders>
            <w:shd w:val="clear" w:color="auto" w:fill="auto"/>
            <w:noWrap/>
            <w:vAlign w:val="bottom"/>
            <w:hideMark/>
          </w:tcPr>
          <w:p w14:paraId="3D643DC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Inpatient admissions:</w:t>
            </w:r>
          </w:p>
        </w:tc>
        <w:tc>
          <w:tcPr>
            <w:tcW w:w="2044" w:type="dxa"/>
            <w:tcBorders>
              <w:top w:val="nil"/>
              <w:left w:val="single" w:sz="4" w:space="0" w:color="auto"/>
              <w:bottom w:val="single" w:sz="4" w:space="0" w:color="auto"/>
              <w:right w:val="nil"/>
            </w:tcBorders>
            <w:shd w:val="clear" w:color="auto" w:fill="auto"/>
            <w:noWrap/>
            <w:vAlign w:val="bottom"/>
            <w:hideMark/>
          </w:tcPr>
          <w:p w14:paraId="49A3F56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3209798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30873FF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4FAD314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424969F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1573AA9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C03FA1" w:rsidRPr="00A80562" w14:paraId="5107B165" w14:textId="77777777" w:rsidTr="00C03FA1">
        <w:trPr>
          <w:trHeight w:val="267"/>
        </w:trPr>
        <w:tc>
          <w:tcPr>
            <w:tcW w:w="236" w:type="dxa"/>
            <w:tcBorders>
              <w:top w:val="nil"/>
              <w:left w:val="nil"/>
              <w:bottom w:val="nil"/>
              <w:right w:val="nil"/>
            </w:tcBorders>
            <w:shd w:val="clear" w:color="auto" w:fill="auto"/>
            <w:noWrap/>
            <w:vAlign w:val="bottom"/>
            <w:hideMark/>
          </w:tcPr>
          <w:p w14:paraId="1FA0BA60"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741ABF0D"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Total admissions</w:t>
            </w:r>
          </w:p>
        </w:tc>
        <w:tc>
          <w:tcPr>
            <w:tcW w:w="2044" w:type="dxa"/>
            <w:tcBorders>
              <w:top w:val="nil"/>
              <w:left w:val="single" w:sz="4" w:space="0" w:color="auto"/>
              <w:bottom w:val="nil"/>
              <w:right w:val="nil"/>
            </w:tcBorders>
            <w:shd w:val="clear" w:color="000000" w:fill="F2F2F2"/>
            <w:noWrap/>
            <w:vAlign w:val="bottom"/>
            <w:hideMark/>
          </w:tcPr>
          <w:p w14:paraId="41204F2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16.31*** (14, 18.62)</w:t>
            </w:r>
          </w:p>
        </w:tc>
        <w:tc>
          <w:tcPr>
            <w:tcW w:w="2044" w:type="dxa"/>
            <w:tcBorders>
              <w:top w:val="nil"/>
              <w:left w:val="nil"/>
              <w:bottom w:val="nil"/>
              <w:right w:val="nil"/>
            </w:tcBorders>
            <w:shd w:val="clear" w:color="000000" w:fill="F2F2F2"/>
            <w:noWrap/>
            <w:vAlign w:val="bottom"/>
            <w:hideMark/>
          </w:tcPr>
          <w:p w14:paraId="0F8A827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(-0.03, 0.01)</w:t>
            </w:r>
          </w:p>
        </w:tc>
        <w:tc>
          <w:tcPr>
            <w:tcW w:w="2044" w:type="dxa"/>
            <w:tcBorders>
              <w:top w:val="nil"/>
              <w:left w:val="nil"/>
              <w:bottom w:val="nil"/>
              <w:right w:val="nil"/>
            </w:tcBorders>
            <w:shd w:val="clear" w:color="000000" w:fill="F2F2F2"/>
            <w:noWrap/>
            <w:vAlign w:val="bottom"/>
            <w:hideMark/>
          </w:tcPr>
          <w:p w14:paraId="4FBCA2A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-3.36 (-9.85, 3.12)</w:t>
            </w:r>
          </w:p>
        </w:tc>
        <w:tc>
          <w:tcPr>
            <w:tcW w:w="2044" w:type="dxa"/>
            <w:tcBorders>
              <w:top w:val="nil"/>
              <w:left w:val="nil"/>
              <w:bottom w:val="nil"/>
              <w:right w:val="nil"/>
            </w:tcBorders>
            <w:shd w:val="clear" w:color="000000" w:fill="F2F2F2"/>
            <w:noWrap/>
            <w:vAlign w:val="bottom"/>
            <w:hideMark/>
          </w:tcPr>
          <w:p w14:paraId="12B948E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 (-0.44, 0.84)</w:t>
            </w:r>
          </w:p>
        </w:tc>
        <w:tc>
          <w:tcPr>
            <w:tcW w:w="2044" w:type="dxa"/>
            <w:tcBorders>
              <w:top w:val="nil"/>
              <w:left w:val="nil"/>
              <w:bottom w:val="nil"/>
              <w:right w:val="nil"/>
            </w:tcBorders>
            <w:shd w:val="clear" w:color="000000" w:fill="F2F2F2"/>
            <w:noWrap/>
            <w:vAlign w:val="bottom"/>
            <w:hideMark/>
          </w:tcPr>
          <w:p w14:paraId="692D692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-0.37 (-6.33, 5.59)</w:t>
            </w:r>
          </w:p>
        </w:tc>
        <w:tc>
          <w:tcPr>
            <w:tcW w:w="2044" w:type="dxa"/>
            <w:tcBorders>
              <w:top w:val="nil"/>
              <w:left w:val="nil"/>
              <w:bottom w:val="nil"/>
              <w:right w:val="nil"/>
            </w:tcBorders>
            <w:shd w:val="clear" w:color="000000" w:fill="F2F2F2"/>
            <w:noWrap/>
            <w:vAlign w:val="bottom"/>
            <w:hideMark/>
          </w:tcPr>
          <w:p w14:paraId="0E28DF3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3729F91D" w14:textId="77777777" w:rsidTr="00C03FA1">
        <w:trPr>
          <w:trHeight w:val="267"/>
        </w:trPr>
        <w:tc>
          <w:tcPr>
            <w:tcW w:w="236" w:type="dxa"/>
            <w:tcBorders>
              <w:top w:val="nil"/>
              <w:left w:val="nil"/>
              <w:bottom w:val="nil"/>
              <w:right w:val="nil"/>
            </w:tcBorders>
            <w:shd w:val="clear" w:color="auto" w:fill="auto"/>
            <w:noWrap/>
            <w:vAlign w:val="bottom"/>
            <w:hideMark/>
          </w:tcPr>
          <w:p w14:paraId="2F2D51EC"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78ACA997"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First admissions</w:t>
            </w:r>
          </w:p>
        </w:tc>
        <w:tc>
          <w:tcPr>
            <w:tcW w:w="2044" w:type="dxa"/>
            <w:tcBorders>
              <w:top w:val="nil"/>
              <w:left w:val="single" w:sz="4" w:space="0" w:color="auto"/>
              <w:bottom w:val="nil"/>
              <w:right w:val="nil"/>
            </w:tcBorders>
            <w:shd w:val="clear" w:color="auto" w:fill="auto"/>
            <w:noWrap/>
            <w:vAlign w:val="bottom"/>
            <w:hideMark/>
          </w:tcPr>
          <w:p w14:paraId="12F3046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7.8*** (4.29, 11.31)</w:t>
            </w:r>
          </w:p>
        </w:tc>
        <w:tc>
          <w:tcPr>
            <w:tcW w:w="2044" w:type="dxa"/>
            <w:tcBorders>
              <w:top w:val="nil"/>
              <w:left w:val="nil"/>
              <w:bottom w:val="nil"/>
              <w:right w:val="nil"/>
            </w:tcBorders>
            <w:shd w:val="clear" w:color="auto" w:fill="auto"/>
            <w:noWrap/>
            <w:vAlign w:val="bottom"/>
            <w:hideMark/>
          </w:tcPr>
          <w:p w14:paraId="0FFD020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(-0.01, 0.03)</w:t>
            </w:r>
          </w:p>
        </w:tc>
        <w:tc>
          <w:tcPr>
            <w:tcW w:w="2044" w:type="dxa"/>
            <w:tcBorders>
              <w:top w:val="nil"/>
              <w:left w:val="nil"/>
              <w:bottom w:val="nil"/>
              <w:right w:val="nil"/>
            </w:tcBorders>
            <w:shd w:val="clear" w:color="auto" w:fill="auto"/>
            <w:noWrap/>
            <w:vAlign w:val="bottom"/>
            <w:hideMark/>
          </w:tcPr>
          <w:p w14:paraId="784427E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-2.79 (-6.42, 0.84)</w:t>
            </w:r>
          </w:p>
        </w:tc>
        <w:tc>
          <w:tcPr>
            <w:tcW w:w="2044" w:type="dxa"/>
            <w:tcBorders>
              <w:top w:val="nil"/>
              <w:left w:val="nil"/>
              <w:bottom w:val="nil"/>
              <w:right w:val="nil"/>
            </w:tcBorders>
            <w:shd w:val="clear" w:color="auto" w:fill="auto"/>
            <w:noWrap/>
            <w:vAlign w:val="bottom"/>
            <w:hideMark/>
          </w:tcPr>
          <w:p w14:paraId="69BC975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0.15 (-0.22, 0.51)</w:t>
            </w:r>
          </w:p>
        </w:tc>
        <w:tc>
          <w:tcPr>
            <w:tcW w:w="2044" w:type="dxa"/>
            <w:tcBorders>
              <w:top w:val="nil"/>
              <w:left w:val="nil"/>
              <w:bottom w:val="nil"/>
              <w:right w:val="nil"/>
            </w:tcBorders>
            <w:shd w:val="clear" w:color="auto" w:fill="auto"/>
            <w:noWrap/>
            <w:vAlign w:val="bottom"/>
            <w:hideMark/>
          </w:tcPr>
          <w:p w14:paraId="0306181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-0.61 (-4.1, 2.88)</w:t>
            </w:r>
          </w:p>
        </w:tc>
        <w:tc>
          <w:tcPr>
            <w:tcW w:w="2044" w:type="dxa"/>
            <w:tcBorders>
              <w:top w:val="nil"/>
              <w:left w:val="nil"/>
              <w:bottom w:val="nil"/>
              <w:right w:val="nil"/>
            </w:tcBorders>
            <w:shd w:val="clear" w:color="auto" w:fill="auto"/>
            <w:noWrap/>
            <w:vAlign w:val="bottom"/>
            <w:hideMark/>
          </w:tcPr>
          <w:p w14:paraId="1BD78C3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40F3176D" w14:textId="77777777" w:rsidTr="00C03FA1">
        <w:trPr>
          <w:trHeight w:val="267"/>
        </w:trPr>
        <w:tc>
          <w:tcPr>
            <w:tcW w:w="236" w:type="dxa"/>
            <w:tcBorders>
              <w:top w:val="nil"/>
              <w:left w:val="nil"/>
              <w:bottom w:val="nil"/>
              <w:right w:val="nil"/>
            </w:tcBorders>
            <w:shd w:val="clear" w:color="auto" w:fill="auto"/>
            <w:noWrap/>
            <w:vAlign w:val="bottom"/>
            <w:hideMark/>
          </w:tcPr>
          <w:p w14:paraId="604698B0"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0F5C78E6"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Admissions to acute/PICU wards</w:t>
            </w:r>
          </w:p>
        </w:tc>
        <w:tc>
          <w:tcPr>
            <w:tcW w:w="2044" w:type="dxa"/>
            <w:tcBorders>
              <w:top w:val="nil"/>
              <w:left w:val="single" w:sz="4" w:space="0" w:color="auto"/>
              <w:bottom w:val="nil"/>
              <w:right w:val="nil"/>
            </w:tcBorders>
            <w:shd w:val="clear" w:color="000000" w:fill="F2F2F2"/>
            <w:noWrap/>
            <w:vAlign w:val="bottom"/>
            <w:hideMark/>
          </w:tcPr>
          <w:p w14:paraId="6996C4A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10.99*** (9.59, 12.38)</w:t>
            </w:r>
          </w:p>
        </w:tc>
        <w:tc>
          <w:tcPr>
            <w:tcW w:w="2044" w:type="dxa"/>
            <w:tcBorders>
              <w:top w:val="nil"/>
              <w:left w:val="nil"/>
              <w:bottom w:val="nil"/>
              <w:right w:val="nil"/>
            </w:tcBorders>
            <w:shd w:val="clear" w:color="000000" w:fill="F2F2F2"/>
            <w:noWrap/>
            <w:vAlign w:val="bottom"/>
            <w:hideMark/>
          </w:tcPr>
          <w:p w14:paraId="580418B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(-0.02, 0.01)</w:t>
            </w:r>
          </w:p>
        </w:tc>
        <w:tc>
          <w:tcPr>
            <w:tcW w:w="2044" w:type="dxa"/>
            <w:tcBorders>
              <w:top w:val="nil"/>
              <w:left w:val="nil"/>
              <w:bottom w:val="nil"/>
              <w:right w:val="nil"/>
            </w:tcBorders>
            <w:shd w:val="clear" w:color="000000" w:fill="F2F2F2"/>
            <w:noWrap/>
            <w:vAlign w:val="bottom"/>
            <w:hideMark/>
          </w:tcPr>
          <w:p w14:paraId="3035AFC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-3.09 (-7.57, 1.4)</w:t>
            </w:r>
          </w:p>
        </w:tc>
        <w:tc>
          <w:tcPr>
            <w:tcW w:w="2044" w:type="dxa"/>
            <w:tcBorders>
              <w:top w:val="nil"/>
              <w:left w:val="nil"/>
              <w:bottom w:val="nil"/>
              <w:right w:val="nil"/>
            </w:tcBorders>
            <w:shd w:val="clear" w:color="000000" w:fill="F2F2F2"/>
            <w:noWrap/>
            <w:vAlign w:val="bottom"/>
            <w:hideMark/>
          </w:tcPr>
          <w:p w14:paraId="16A42F3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0.17 (-0.3, 0.64)</w:t>
            </w:r>
          </w:p>
        </w:tc>
        <w:tc>
          <w:tcPr>
            <w:tcW w:w="2044" w:type="dxa"/>
            <w:tcBorders>
              <w:top w:val="nil"/>
              <w:left w:val="nil"/>
              <w:bottom w:val="nil"/>
              <w:right w:val="nil"/>
            </w:tcBorders>
            <w:shd w:val="clear" w:color="000000" w:fill="F2F2F2"/>
            <w:noWrap/>
            <w:vAlign w:val="bottom"/>
            <w:hideMark/>
          </w:tcPr>
          <w:p w14:paraId="33B4425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-0.56 (-5.02, 3.9)</w:t>
            </w:r>
          </w:p>
        </w:tc>
        <w:tc>
          <w:tcPr>
            <w:tcW w:w="2044" w:type="dxa"/>
            <w:tcBorders>
              <w:top w:val="nil"/>
              <w:left w:val="nil"/>
              <w:bottom w:val="nil"/>
              <w:right w:val="nil"/>
            </w:tcBorders>
            <w:shd w:val="clear" w:color="000000" w:fill="F2F2F2"/>
            <w:noWrap/>
            <w:vAlign w:val="bottom"/>
            <w:hideMark/>
          </w:tcPr>
          <w:p w14:paraId="2562235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6ECDB752" w14:textId="77777777" w:rsidTr="00C03FA1">
        <w:trPr>
          <w:trHeight w:val="267"/>
        </w:trPr>
        <w:tc>
          <w:tcPr>
            <w:tcW w:w="236" w:type="dxa"/>
            <w:tcBorders>
              <w:top w:val="nil"/>
              <w:left w:val="nil"/>
              <w:bottom w:val="nil"/>
              <w:right w:val="nil"/>
            </w:tcBorders>
            <w:shd w:val="clear" w:color="auto" w:fill="auto"/>
            <w:noWrap/>
            <w:vAlign w:val="bottom"/>
            <w:hideMark/>
          </w:tcPr>
          <w:p w14:paraId="48D6815F"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682DEC01"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 who were discharged in last 30 days</w:t>
            </w:r>
          </w:p>
        </w:tc>
        <w:tc>
          <w:tcPr>
            <w:tcW w:w="2044" w:type="dxa"/>
            <w:tcBorders>
              <w:top w:val="nil"/>
              <w:left w:val="single" w:sz="4" w:space="0" w:color="auto"/>
              <w:bottom w:val="nil"/>
              <w:right w:val="nil"/>
            </w:tcBorders>
            <w:shd w:val="clear" w:color="auto" w:fill="auto"/>
            <w:noWrap/>
            <w:vAlign w:val="bottom"/>
            <w:hideMark/>
          </w:tcPr>
          <w:p w14:paraId="44C3E20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7.46*** (5.67, 9.25)</w:t>
            </w:r>
          </w:p>
        </w:tc>
        <w:tc>
          <w:tcPr>
            <w:tcW w:w="2044" w:type="dxa"/>
            <w:tcBorders>
              <w:top w:val="nil"/>
              <w:left w:val="nil"/>
              <w:bottom w:val="nil"/>
              <w:right w:val="nil"/>
            </w:tcBorders>
            <w:shd w:val="clear" w:color="auto" w:fill="auto"/>
            <w:noWrap/>
            <w:vAlign w:val="bottom"/>
            <w:hideMark/>
          </w:tcPr>
          <w:p w14:paraId="29C3874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(-0.02, 0.01)</w:t>
            </w:r>
          </w:p>
        </w:tc>
        <w:tc>
          <w:tcPr>
            <w:tcW w:w="2044" w:type="dxa"/>
            <w:tcBorders>
              <w:top w:val="nil"/>
              <w:left w:val="nil"/>
              <w:bottom w:val="nil"/>
              <w:right w:val="nil"/>
            </w:tcBorders>
            <w:shd w:val="clear" w:color="auto" w:fill="auto"/>
            <w:noWrap/>
            <w:vAlign w:val="bottom"/>
            <w:hideMark/>
          </w:tcPr>
          <w:p w14:paraId="4D28987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-2.92* (-5.46, -0.38)</w:t>
            </w:r>
          </w:p>
        </w:tc>
        <w:tc>
          <w:tcPr>
            <w:tcW w:w="2044" w:type="dxa"/>
            <w:tcBorders>
              <w:top w:val="nil"/>
              <w:left w:val="nil"/>
              <w:bottom w:val="nil"/>
              <w:right w:val="nil"/>
            </w:tcBorders>
            <w:shd w:val="clear" w:color="auto" w:fill="auto"/>
            <w:noWrap/>
            <w:vAlign w:val="bottom"/>
            <w:hideMark/>
          </w:tcPr>
          <w:p w14:paraId="296EBF0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(-0.21, 0.25)</w:t>
            </w:r>
          </w:p>
        </w:tc>
        <w:tc>
          <w:tcPr>
            <w:tcW w:w="2044" w:type="dxa"/>
            <w:tcBorders>
              <w:top w:val="nil"/>
              <w:left w:val="nil"/>
              <w:bottom w:val="nil"/>
              <w:right w:val="nil"/>
            </w:tcBorders>
            <w:shd w:val="clear" w:color="auto" w:fill="auto"/>
            <w:noWrap/>
            <w:vAlign w:val="bottom"/>
            <w:hideMark/>
          </w:tcPr>
          <w:p w14:paraId="18A2BA7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-2.59 (-5.57, 0.38)</w:t>
            </w:r>
          </w:p>
        </w:tc>
        <w:tc>
          <w:tcPr>
            <w:tcW w:w="2044" w:type="dxa"/>
            <w:tcBorders>
              <w:top w:val="nil"/>
              <w:left w:val="nil"/>
              <w:bottom w:val="nil"/>
              <w:right w:val="nil"/>
            </w:tcBorders>
            <w:shd w:val="clear" w:color="auto" w:fill="auto"/>
            <w:noWrap/>
            <w:vAlign w:val="bottom"/>
            <w:hideMark/>
          </w:tcPr>
          <w:p w14:paraId="35D95CE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0FA2C169" w14:textId="77777777" w:rsidTr="00C03FA1">
        <w:trPr>
          <w:trHeight w:val="267"/>
        </w:trPr>
        <w:tc>
          <w:tcPr>
            <w:tcW w:w="236" w:type="dxa"/>
            <w:tcBorders>
              <w:top w:val="nil"/>
              <w:left w:val="nil"/>
              <w:bottom w:val="nil"/>
              <w:right w:val="nil"/>
            </w:tcBorders>
            <w:shd w:val="clear" w:color="auto" w:fill="auto"/>
            <w:noWrap/>
            <w:vAlign w:val="bottom"/>
            <w:hideMark/>
          </w:tcPr>
          <w:p w14:paraId="64FEC7D6"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1D45511C"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Total bed days</w:t>
            </w:r>
          </w:p>
        </w:tc>
        <w:tc>
          <w:tcPr>
            <w:tcW w:w="2044" w:type="dxa"/>
            <w:tcBorders>
              <w:top w:val="nil"/>
              <w:left w:val="single" w:sz="4" w:space="0" w:color="auto"/>
              <w:bottom w:val="nil"/>
              <w:right w:val="nil"/>
            </w:tcBorders>
            <w:shd w:val="clear" w:color="000000" w:fill="F2F2F2"/>
            <w:noWrap/>
            <w:vAlign w:val="bottom"/>
            <w:hideMark/>
          </w:tcPr>
          <w:p w14:paraId="0745560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1252.9*** (1191, 1314.7)</w:t>
            </w:r>
          </w:p>
        </w:tc>
        <w:tc>
          <w:tcPr>
            <w:tcW w:w="2044" w:type="dxa"/>
            <w:tcBorders>
              <w:top w:val="nil"/>
              <w:left w:val="nil"/>
              <w:bottom w:val="nil"/>
              <w:right w:val="nil"/>
            </w:tcBorders>
            <w:shd w:val="clear" w:color="000000" w:fill="F2F2F2"/>
            <w:noWrap/>
            <w:vAlign w:val="bottom"/>
            <w:hideMark/>
          </w:tcPr>
          <w:p w14:paraId="0A01D62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 (-1.9, -0.7)</w:t>
            </w:r>
          </w:p>
        </w:tc>
        <w:tc>
          <w:tcPr>
            <w:tcW w:w="2044" w:type="dxa"/>
            <w:tcBorders>
              <w:top w:val="nil"/>
              <w:left w:val="nil"/>
              <w:bottom w:val="nil"/>
              <w:right w:val="nil"/>
            </w:tcBorders>
            <w:shd w:val="clear" w:color="000000" w:fill="F2F2F2"/>
            <w:noWrap/>
            <w:vAlign w:val="bottom"/>
            <w:hideMark/>
          </w:tcPr>
          <w:p w14:paraId="03819C4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-28.4 (-847.5, 790.6)</w:t>
            </w:r>
          </w:p>
        </w:tc>
        <w:tc>
          <w:tcPr>
            <w:tcW w:w="2044" w:type="dxa"/>
            <w:tcBorders>
              <w:top w:val="nil"/>
              <w:left w:val="nil"/>
              <w:bottom w:val="nil"/>
              <w:right w:val="nil"/>
            </w:tcBorders>
            <w:shd w:val="clear" w:color="000000" w:fill="F2F2F2"/>
            <w:noWrap/>
            <w:vAlign w:val="bottom"/>
            <w:hideMark/>
          </w:tcPr>
          <w:p w14:paraId="1E55A1F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1.6 (-49.7, 52.9)</w:t>
            </w:r>
          </w:p>
        </w:tc>
        <w:tc>
          <w:tcPr>
            <w:tcW w:w="2044" w:type="dxa"/>
            <w:tcBorders>
              <w:top w:val="nil"/>
              <w:left w:val="nil"/>
              <w:bottom w:val="nil"/>
              <w:right w:val="nil"/>
            </w:tcBorders>
            <w:shd w:val="clear" w:color="000000" w:fill="F2F2F2"/>
            <w:noWrap/>
            <w:vAlign w:val="bottom"/>
            <w:hideMark/>
          </w:tcPr>
          <w:p w14:paraId="56336DD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 (-194.7, 184.6)</w:t>
            </w:r>
          </w:p>
        </w:tc>
        <w:tc>
          <w:tcPr>
            <w:tcW w:w="2044" w:type="dxa"/>
            <w:tcBorders>
              <w:top w:val="nil"/>
              <w:left w:val="nil"/>
              <w:bottom w:val="nil"/>
              <w:right w:val="nil"/>
            </w:tcBorders>
            <w:shd w:val="clear" w:color="000000" w:fill="F2F2F2"/>
            <w:noWrap/>
            <w:vAlign w:val="bottom"/>
            <w:hideMark/>
          </w:tcPr>
          <w:p w14:paraId="0E09237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6EE982FD" w14:textId="77777777" w:rsidTr="00C03FA1">
        <w:trPr>
          <w:trHeight w:val="267"/>
        </w:trPr>
        <w:tc>
          <w:tcPr>
            <w:tcW w:w="236" w:type="dxa"/>
            <w:tcBorders>
              <w:top w:val="nil"/>
              <w:left w:val="nil"/>
              <w:bottom w:val="nil"/>
              <w:right w:val="nil"/>
            </w:tcBorders>
            <w:shd w:val="clear" w:color="auto" w:fill="auto"/>
            <w:noWrap/>
            <w:vAlign w:val="bottom"/>
            <w:hideMark/>
          </w:tcPr>
          <w:p w14:paraId="71E2948F"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1C6A33BA"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Unique inpatients</w:t>
            </w:r>
          </w:p>
        </w:tc>
        <w:tc>
          <w:tcPr>
            <w:tcW w:w="2044" w:type="dxa"/>
            <w:tcBorders>
              <w:top w:val="nil"/>
              <w:left w:val="single" w:sz="4" w:space="0" w:color="auto"/>
              <w:bottom w:val="nil"/>
              <w:right w:val="nil"/>
            </w:tcBorders>
            <w:shd w:val="clear" w:color="auto" w:fill="auto"/>
            <w:noWrap/>
            <w:vAlign w:val="bottom"/>
            <w:hideMark/>
          </w:tcPr>
          <w:p w14:paraId="314F312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194.6*** (185.1, 204.1)</w:t>
            </w:r>
          </w:p>
        </w:tc>
        <w:tc>
          <w:tcPr>
            <w:tcW w:w="2044" w:type="dxa"/>
            <w:tcBorders>
              <w:top w:val="nil"/>
              <w:left w:val="nil"/>
              <w:bottom w:val="nil"/>
              <w:right w:val="nil"/>
            </w:tcBorders>
            <w:shd w:val="clear" w:color="auto" w:fill="auto"/>
            <w:noWrap/>
            <w:vAlign w:val="bottom"/>
            <w:hideMark/>
          </w:tcPr>
          <w:p w14:paraId="461C683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 (-0.3, -0.1)</w:t>
            </w:r>
          </w:p>
        </w:tc>
        <w:tc>
          <w:tcPr>
            <w:tcW w:w="2044" w:type="dxa"/>
            <w:tcBorders>
              <w:top w:val="nil"/>
              <w:left w:val="nil"/>
              <w:bottom w:val="nil"/>
              <w:right w:val="nil"/>
            </w:tcBorders>
            <w:shd w:val="clear" w:color="auto" w:fill="auto"/>
            <w:noWrap/>
            <w:vAlign w:val="bottom"/>
            <w:hideMark/>
          </w:tcPr>
          <w:p w14:paraId="4AD6429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-8.3 (-71.7, 55.1)</w:t>
            </w:r>
          </w:p>
        </w:tc>
        <w:tc>
          <w:tcPr>
            <w:tcW w:w="2044" w:type="dxa"/>
            <w:tcBorders>
              <w:top w:val="nil"/>
              <w:left w:val="nil"/>
              <w:bottom w:val="nil"/>
              <w:right w:val="nil"/>
            </w:tcBorders>
            <w:shd w:val="clear" w:color="auto" w:fill="auto"/>
            <w:noWrap/>
            <w:vAlign w:val="bottom"/>
            <w:hideMark/>
          </w:tcPr>
          <w:p w14:paraId="18C69C4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0.4 (-4, 4.8)</w:t>
            </w:r>
          </w:p>
        </w:tc>
        <w:tc>
          <w:tcPr>
            <w:tcW w:w="2044" w:type="dxa"/>
            <w:tcBorders>
              <w:top w:val="nil"/>
              <w:left w:val="nil"/>
              <w:bottom w:val="nil"/>
              <w:right w:val="nil"/>
            </w:tcBorders>
            <w:shd w:val="clear" w:color="auto" w:fill="auto"/>
            <w:noWrap/>
            <w:vAlign w:val="bottom"/>
            <w:hideMark/>
          </w:tcPr>
          <w:p w14:paraId="1666842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-2.5 (-29.3, 24.3)</w:t>
            </w:r>
          </w:p>
        </w:tc>
        <w:tc>
          <w:tcPr>
            <w:tcW w:w="2044" w:type="dxa"/>
            <w:tcBorders>
              <w:top w:val="nil"/>
              <w:left w:val="nil"/>
              <w:bottom w:val="nil"/>
              <w:right w:val="nil"/>
            </w:tcBorders>
            <w:shd w:val="clear" w:color="auto" w:fill="auto"/>
            <w:noWrap/>
            <w:vAlign w:val="bottom"/>
            <w:hideMark/>
          </w:tcPr>
          <w:p w14:paraId="75E8614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C03FA1" w:rsidRPr="00A80562" w14:paraId="3E1D02F0" w14:textId="77777777" w:rsidTr="00C03FA1">
        <w:trPr>
          <w:trHeight w:val="267"/>
        </w:trPr>
        <w:tc>
          <w:tcPr>
            <w:tcW w:w="236" w:type="dxa"/>
            <w:tcBorders>
              <w:top w:val="nil"/>
              <w:left w:val="nil"/>
              <w:bottom w:val="nil"/>
              <w:right w:val="nil"/>
            </w:tcBorders>
            <w:shd w:val="clear" w:color="auto" w:fill="auto"/>
            <w:noWrap/>
            <w:vAlign w:val="bottom"/>
            <w:hideMark/>
          </w:tcPr>
          <w:p w14:paraId="0F5310C9"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00B79FA7"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Inpatient length of stay</w:t>
            </w:r>
          </w:p>
        </w:tc>
        <w:tc>
          <w:tcPr>
            <w:tcW w:w="2044" w:type="dxa"/>
            <w:tcBorders>
              <w:top w:val="nil"/>
              <w:left w:val="single" w:sz="4" w:space="0" w:color="auto"/>
              <w:bottom w:val="nil"/>
              <w:right w:val="nil"/>
            </w:tcBorders>
            <w:shd w:val="clear" w:color="000000" w:fill="F2F2F2"/>
            <w:noWrap/>
            <w:vAlign w:val="bottom"/>
            <w:hideMark/>
          </w:tcPr>
          <w:p w14:paraId="1F7478B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90.8*** (82.7, 99)</w:t>
            </w:r>
          </w:p>
        </w:tc>
        <w:tc>
          <w:tcPr>
            <w:tcW w:w="2044" w:type="dxa"/>
            <w:tcBorders>
              <w:top w:val="nil"/>
              <w:left w:val="nil"/>
              <w:bottom w:val="nil"/>
              <w:right w:val="nil"/>
            </w:tcBorders>
            <w:shd w:val="clear" w:color="000000" w:fill="F2F2F2"/>
            <w:noWrap/>
            <w:vAlign w:val="bottom"/>
            <w:hideMark/>
          </w:tcPr>
          <w:p w14:paraId="52482DB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 (-0.3, -0.2)</w:t>
            </w:r>
          </w:p>
        </w:tc>
        <w:tc>
          <w:tcPr>
            <w:tcW w:w="2044" w:type="dxa"/>
            <w:tcBorders>
              <w:top w:val="nil"/>
              <w:left w:val="nil"/>
              <w:bottom w:val="nil"/>
              <w:right w:val="nil"/>
            </w:tcBorders>
            <w:shd w:val="clear" w:color="000000" w:fill="F2F2F2"/>
            <w:noWrap/>
            <w:vAlign w:val="bottom"/>
            <w:hideMark/>
          </w:tcPr>
          <w:p w14:paraId="360FC3E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3.7 (-8.2, 15.6)</w:t>
            </w:r>
          </w:p>
        </w:tc>
        <w:tc>
          <w:tcPr>
            <w:tcW w:w="2044" w:type="dxa"/>
            <w:tcBorders>
              <w:top w:val="nil"/>
              <w:left w:val="nil"/>
              <w:bottom w:val="nil"/>
              <w:right w:val="nil"/>
            </w:tcBorders>
            <w:shd w:val="clear" w:color="000000" w:fill="F2F2F2"/>
            <w:noWrap/>
            <w:vAlign w:val="bottom"/>
            <w:hideMark/>
          </w:tcPr>
          <w:p w14:paraId="15DA557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 (-1, 1.2)</w:t>
            </w:r>
          </w:p>
        </w:tc>
        <w:tc>
          <w:tcPr>
            <w:tcW w:w="2044" w:type="dxa"/>
            <w:tcBorders>
              <w:top w:val="nil"/>
              <w:left w:val="nil"/>
              <w:bottom w:val="nil"/>
              <w:right w:val="nil"/>
            </w:tcBorders>
            <w:shd w:val="clear" w:color="000000" w:fill="F2F2F2"/>
            <w:noWrap/>
            <w:vAlign w:val="bottom"/>
            <w:hideMark/>
          </w:tcPr>
          <w:p w14:paraId="740DC86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4.7 (-9.3, 18.7)</w:t>
            </w:r>
          </w:p>
        </w:tc>
        <w:tc>
          <w:tcPr>
            <w:tcW w:w="2044" w:type="dxa"/>
            <w:tcBorders>
              <w:top w:val="nil"/>
              <w:left w:val="nil"/>
              <w:bottom w:val="nil"/>
              <w:right w:val="nil"/>
            </w:tcBorders>
            <w:shd w:val="clear" w:color="000000" w:fill="F2F2F2"/>
            <w:noWrap/>
            <w:vAlign w:val="bottom"/>
            <w:hideMark/>
          </w:tcPr>
          <w:p w14:paraId="4FCE72F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5E9FBB14" w14:textId="77777777" w:rsidTr="00C03FA1">
        <w:trPr>
          <w:trHeight w:val="267"/>
        </w:trPr>
        <w:tc>
          <w:tcPr>
            <w:tcW w:w="3119" w:type="dxa"/>
            <w:gridSpan w:val="2"/>
            <w:tcBorders>
              <w:top w:val="nil"/>
              <w:left w:val="nil"/>
              <w:bottom w:val="single" w:sz="4" w:space="0" w:color="auto"/>
              <w:right w:val="nil"/>
            </w:tcBorders>
            <w:shd w:val="clear" w:color="auto" w:fill="auto"/>
            <w:noWrap/>
            <w:vAlign w:val="bottom"/>
            <w:hideMark/>
          </w:tcPr>
          <w:p w14:paraId="7A06742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HoNOS assessments:</w:t>
            </w:r>
          </w:p>
        </w:tc>
        <w:tc>
          <w:tcPr>
            <w:tcW w:w="2044" w:type="dxa"/>
            <w:tcBorders>
              <w:top w:val="nil"/>
              <w:left w:val="single" w:sz="4" w:space="0" w:color="auto"/>
              <w:bottom w:val="single" w:sz="4" w:space="0" w:color="auto"/>
              <w:right w:val="nil"/>
            </w:tcBorders>
            <w:shd w:val="clear" w:color="auto" w:fill="auto"/>
            <w:noWrap/>
            <w:vAlign w:val="bottom"/>
            <w:hideMark/>
          </w:tcPr>
          <w:p w14:paraId="64A3A4A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74F0B7C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51C7BCC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76A172C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2ABC683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18F7345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C03FA1" w:rsidRPr="00A80562" w14:paraId="2D499CE6" w14:textId="77777777" w:rsidTr="00C03FA1">
        <w:trPr>
          <w:trHeight w:val="267"/>
        </w:trPr>
        <w:tc>
          <w:tcPr>
            <w:tcW w:w="236" w:type="dxa"/>
            <w:tcBorders>
              <w:top w:val="nil"/>
              <w:left w:val="nil"/>
              <w:bottom w:val="nil"/>
              <w:right w:val="nil"/>
            </w:tcBorders>
            <w:shd w:val="clear" w:color="auto" w:fill="auto"/>
            <w:noWrap/>
            <w:vAlign w:val="bottom"/>
            <w:hideMark/>
          </w:tcPr>
          <w:p w14:paraId="30D8E76D"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0C330F6D"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Total assessments</w:t>
            </w:r>
          </w:p>
        </w:tc>
        <w:tc>
          <w:tcPr>
            <w:tcW w:w="2044" w:type="dxa"/>
            <w:tcBorders>
              <w:top w:val="nil"/>
              <w:left w:val="single" w:sz="4" w:space="0" w:color="auto"/>
              <w:bottom w:val="nil"/>
              <w:right w:val="nil"/>
            </w:tcBorders>
            <w:shd w:val="clear" w:color="000000" w:fill="F2F2F2"/>
            <w:noWrap/>
            <w:vAlign w:val="bottom"/>
            <w:hideMark/>
          </w:tcPr>
          <w:p w14:paraId="1DE37F5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196.59*** (186.03, 207.14)</w:t>
            </w:r>
          </w:p>
        </w:tc>
        <w:tc>
          <w:tcPr>
            <w:tcW w:w="2044" w:type="dxa"/>
            <w:tcBorders>
              <w:top w:val="nil"/>
              <w:left w:val="nil"/>
              <w:bottom w:val="nil"/>
              <w:right w:val="nil"/>
            </w:tcBorders>
            <w:shd w:val="clear" w:color="000000" w:fill="F2F2F2"/>
            <w:noWrap/>
            <w:vAlign w:val="bottom"/>
            <w:hideMark/>
          </w:tcPr>
          <w:p w14:paraId="3B9A30E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(-0.09, 0.1)</w:t>
            </w:r>
          </w:p>
        </w:tc>
        <w:tc>
          <w:tcPr>
            <w:tcW w:w="2044" w:type="dxa"/>
            <w:tcBorders>
              <w:top w:val="nil"/>
              <w:left w:val="nil"/>
              <w:bottom w:val="nil"/>
              <w:right w:val="nil"/>
            </w:tcBorders>
            <w:shd w:val="clear" w:color="000000" w:fill="F2F2F2"/>
            <w:noWrap/>
            <w:vAlign w:val="bottom"/>
            <w:hideMark/>
          </w:tcPr>
          <w:p w14:paraId="255231F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-32.31 (-79.31, 14.68)</w:t>
            </w:r>
          </w:p>
        </w:tc>
        <w:tc>
          <w:tcPr>
            <w:tcW w:w="2044" w:type="dxa"/>
            <w:tcBorders>
              <w:top w:val="nil"/>
              <w:left w:val="nil"/>
              <w:bottom w:val="nil"/>
              <w:right w:val="nil"/>
            </w:tcBorders>
            <w:shd w:val="clear" w:color="000000" w:fill="F2F2F2"/>
            <w:noWrap/>
            <w:vAlign w:val="bottom"/>
            <w:hideMark/>
          </w:tcPr>
          <w:p w14:paraId="5D5448E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1.17 (-4.51, 6.86)</w:t>
            </w:r>
          </w:p>
        </w:tc>
        <w:tc>
          <w:tcPr>
            <w:tcW w:w="2044" w:type="dxa"/>
            <w:tcBorders>
              <w:top w:val="nil"/>
              <w:left w:val="nil"/>
              <w:bottom w:val="nil"/>
              <w:right w:val="nil"/>
            </w:tcBorders>
            <w:shd w:val="clear" w:color="000000" w:fill="F2F2F2"/>
            <w:noWrap/>
            <w:vAlign w:val="bottom"/>
            <w:hideMark/>
          </w:tcPr>
          <w:p w14:paraId="057D437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-14.71 (-65.27, 35.84)</w:t>
            </w:r>
          </w:p>
        </w:tc>
        <w:tc>
          <w:tcPr>
            <w:tcW w:w="2044" w:type="dxa"/>
            <w:tcBorders>
              <w:top w:val="nil"/>
              <w:left w:val="nil"/>
              <w:bottom w:val="nil"/>
              <w:right w:val="nil"/>
            </w:tcBorders>
            <w:shd w:val="clear" w:color="000000" w:fill="F2F2F2"/>
            <w:noWrap/>
            <w:vAlign w:val="bottom"/>
            <w:hideMark/>
          </w:tcPr>
          <w:p w14:paraId="3191467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C03FA1" w:rsidRPr="00A80562" w14:paraId="352F99AC" w14:textId="77777777" w:rsidTr="00C03FA1">
        <w:trPr>
          <w:trHeight w:val="267"/>
        </w:trPr>
        <w:tc>
          <w:tcPr>
            <w:tcW w:w="236" w:type="dxa"/>
            <w:tcBorders>
              <w:top w:val="nil"/>
              <w:left w:val="nil"/>
              <w:bottom w:val="nil"/>
              <w:right w:val="nil"/>
            </w:tcBorders>
            <w:shd w:val="clear" w:color="auto" w:fill="auto"/>
            <w:noWrap/>
            <w:vAlign w:val="bottom"/>
            <w:hideMark/>
          </w:tcPr>
          <w:p w14:paraId="7C14F094"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4A5E537A"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Initial assessments</w:t>
            </w:r>
          </w:p>
        </w:tc>
        <w:tc>
          <w:tcPr>
            <w:tcW w:w="2044" w:type="dxa"/>
            <w:tcBorders>
              <w:top w:val="nil"/>
              <w:left w:val="single" w:sz="4" w:space="0" w:color="auto"/>
              <w:bottom w:val="nil"/>
              <w:right w:val="nil"/>
            </w:tcBorders>
            <w:shd w:val="clear" w:color="auto" w:fill="auto"/>
            <w:noWrap/>
            <w:vAlign w:val="bottom"/>
            <w:hideMark/>
          </w:tcPr>
          <w:p w14:paraId="1FB556F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98.07*** (92.53, 103.61)</w:t>
            </w:r>
          </w:p>
        </w:tc>
        <w:tc>
          <w:tcPr>
            <w:tcW w:w="2044" w:type="dxa"/>
            <w:tcBorders>
              <w:top w:val="nil"/>
              <w:left w:val="nil"/>
              <w:bottom w:val="nil"/>
              <w:right w:val="nil"/>
            </w:tcBorders>
            <w:shd w:val="clear" w:color="auto" w:fill="auto"/>
            <w:noWrap/>
            <w:vAlign w:val="bottom"/>
            <w:hideMark/>
          </w:tcPr>
          <w:p w14:paraId="0AD563C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0.05* (0, 0.1)</w:t>
            </w:r>
          </w:p>
        </w:tc>
        <w:tc>
          <w:tcPr>
            <w:tcW w:w="2044" w:type="dxa"/>
            <w:tcBorders>
              <w:top w:val="nil"/>
              <w:left w:val="nil"/>
              <w:bottom w:val="nil"/>
              <w:right w:val="nil"/>
            </w:tcBorders>
            <w:shd w:val="clear" w:color="auto" w:fill="auto"/>
            <w:noWrap/>
            <w:vAlign w:val="bottom"/>
            <w:hideMark/>
          </w:tcPr>
          <w:p w14:paraId="37615EF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-20.46 (-48.17, 7.24)</w:t>
            </w:r>
          </w:p>
        </w:tc>
        <w:tc>
          <w:tcPr>
            <w:tcW w:w="2044" w:type="dxa"/>
            <w:tcBorders>
              <w:top w:val="nil"/>
              <w:left w:val="nil"/>
              <w:bottom w:val="nil"/>
              <w:right w:val="nil"/>
            </w:tcBorders>
            <w:shd w:val="clear" w:color="auto" w:fill="auto"/>
            <w:noWrap/>
            <w:vAlign w:val="bottom"/>
            <w:hideMark/>
          </w:tcPr>
          <w:p w14:paraId="2D8456B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0.39 (-2.71, 3.5)</w:t>
            </w:r>
          </w:p>
        </w:tc>
        <w:tc>
          <w:tcPr>
            <w:tcW w:w="2044" w:type="dxa"/>
            <w:tcBorders>
              <w:top w:val="nil"/>
              <w:left w:val="nil"/>
              <w:bottom w:val="nil"/>
              <w:right w:val="nil"/>
            </w:tcBorders>
            <w:shd w:val="clear" w:color="auto" w:fill="auto"/>
            <w:noWrap/>
            <w:vAlign w:val="bottom"/>
            <w:hideMark/>
          </w:tcPr>
          <w:p w14:paraId="48FF541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-14.57 (-40.44, 11.31)</w:t>
            </w:r>
          </w:p>
        </w:tc>
        <w:tc>
          <w:tcPr>
            <w:tcW w:w="2044" w:type="dxa"/>
            <w:tcBorders>
              <w:top w:val="nil"/>
              <w:left w:val="nil"/>
              <w:bottom w:val="nil"/>
              <w:right w:val="nil"/>
            </w:tcBorders>
            <w:shd w:val="clear" w:color="auto" w:fill="auto"/>
            <w:noWrap/>
            <w:vAlign w:val="bottom"/>
            <w:hideMark/>
          </w:tcPr>
          <w:p w14:paraId="0648E2C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C03FA1" w:rsidRPr="00A80562" w14:paraId="15AD190A" w14:textId="77777777" w:rsidTr="00C03FA1">
        <w:trPr>
          <w:trHeight w:val="267"/>
        </w:trPr>
        <w:tc>
          <w:tcPr>
            <w:tcW w:w="236" w:type="dxa"/>
            <w:tcBorders>
              <w:top w:val="nil"/>
              <w:left w:val="nil"/>
              <w:bottom w:val="nil"/>
              <w:right w:val="nil"/>
            </w:tcBorders>
            <w:shd w:val="clear" w:color="auto" w:fill="auto"/>
            <w:noWrap/>
            <w:vAlign w:val="bottom"/>
            <w:hideMark/>
          </w:tcPr>
          <w:p w14:paraId="7E271E9E"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3DCE8A03"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Ongoing assessments</w:t>
            </w:r>
          </w:p>
        </w:tc>
        <w:tc>
          <w:tcPr>
            <w:tcW w:w="2044" w:type="dxa"/>
            <w:tcBorders>
              <w:top w:val="nil"/>
              <w:left w:val="single" w:sz="4" w:space="0" w:color="auto"/>
              <w:bottom w:val="nil"/>
              <w:right w:val="nil"/>
            </w:tcBorders>
            <w:shd w:val="clear" w:color="000000" w:fill="F2F2F2"/>
            <w:noWrap/>
            <w:vAlign w:val="bottom"/>
            <w:hideMark/>
          </w:tcPr>
          <w:p w14:paraId="37915D3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71.28*** (65.89, 76.68)</w:t>
            </w:r>
          </w:p>
        </w:tc>
        <w:tc>
          <w:tcPr>
            <w:tcW w:w="2044" w:type="dxa"/>
            <w:tcBorders>
              <w:top w:val="nil"/>
              <w:left w:val="nil"/>
              <w:bottom w:val="nil"/>
              <w:right w:val="nil"/>
            </w:tcBorders>
            <w:shd w:val="clear" w:color="000000" w:fill="F2F2F2"/>
            <w:noWrap/>
            <w:vAlign w:val="bottom"/>
            <w:hideMark/>
          </w:tcPr>
          <w:p w14:paraId="5EB310A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-0.04 (-0.09, 0)</w:t>
            </w:r>
          </w:p>
        </w:tc>
        <w:tc>
          <w:tcPr>
            <w:tcW w:w="2044" w:type="dxa"/>
            <w:tcBorders>
              <w:top w:val="nil"/>
              <w:left w:val="nil"/>
              <w:bottom w:val="nil"/>
              <w:right w:val="nil"/>
            </w:tcBorders>
            <w:shd w:val="clear" w:color="000000" w:fill="F2F2F2"/>
            <w:noWrap/>
            <w:vAlign w:val="bottom"/>
            <w:hideMark/>
          </w:tcPr>
          <w:p w14:paraId="1692BD8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-2.49 (-24.39, 19.41)</w:t>
            </w:r>
          </w:p>
        </w:tc>
        <w:tc>
          <w:tcPr>
            <w:tcW w:w="2044" w:type="dxa"/>
            <w:tcBorders>
              <w:top w:val="nil"/>
              <w:left w:val="nil"/>
              <w:bottom w:val="nil"/>
              <w:right w:val="nil"/>
            </w:tcBorders>
            <w:shd w:val="clear" w:color="000000" w:fill="F2F2F2"/>
            <w:noWrap/>
            <w:vAlign w:val="bottom"/>
            <w:hideMark/>
          </w:tcPr>
          <w:p w14:paraId="167E666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0.59 (-2.02, 3.2)</w:t>
            </w:r>
          </w:p>
        </w:tc>
        <w:tc>
          <w:tcPr>
            <w:tcW w:w="2044" w:type="dxa"/>
            <w:tcBorders>
              <w:top w:val="nil"/>
              <w:left w:val="nil"/>
              <w:bottom w:val="nil"/>
              <w:right w:val="nil"/>
            </w:tcBorders>
            <w:shd w:val="clear" w:color="000000" w:fill="F2F2F2"/>
            <w:noWrap/>
            <w:vAlign w:val="bottom"/>
            <w:hideMark/>
          </w:tcPr>
          <w:p w14:paraId="0A2B15E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6.37 (-17.18, 29.91)</w:t>
            </w:r>
          </w:p>
        </w:tc>
        <w:tc>
          <w:tcPr>
            <w:tcW w:w="2044" w:type="dxa"/>
            <w:tcBorders>
              <w:top w:val="nil"/>
              <w:left w:val="nil"/>
              <w:bottom w:val="nil"/>
              <w:right w:val="nil"/>
            </w:tcBorders>
            <w:shd w:val="clear" w:color="000000" w:fill="F2F2F2"/>
            <w:noWrap/>
            <w:vAlign w:val="bottom"/>
            <w:hideMark/>
          </w:tcPr>
          <w:p w14:paraId="31F4C16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C03FA1" w:rsidRPr="00A80562" w14:paraId="11D37F84" w14:textId="77777777" w:rsidTr="00C03FA1">
        <w:trPr>
          <w:trHeight w:val="267"/>
        </w:trPr>
        <w:tc>
          <w:tcPr>
            <w:tcW w:w="236" w:type="dxa"/>
            <w:tcBorders>
              <w:top w:val="nil"/>
              <w:left w:val="nil"/>
              <w:bottom w:val="nil"/>
              <w:right w:val="nil"/>
            </w:tcBorders>
            <w:shd w:val="clear" w:color="auto" w:fill="auto"/>
            <w:noWrap/>
            <w:vAlign w:val="bottom"/>
            <w:hideMark/>
          </w:tcPr>
          <w:p w14:paraId="2CA64F14"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03347FD2"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Discharge assessments</w:t>
            </w:r>
          </w:p>
        </w:tc>
        <w:tc>
          <w:tcPr>
            <w:tcW w:w="2044" w:type="dxa"/>
            <w:tcBorders>
              <w:top w:val="nil"/>
              <w:left w:val="single" w:sz="4" w:space="0" w:color="auto"/>
              <w:bottom w:val="nil"/>
              <w:right w:val="nil"/>
            </w:tcBorders>
            <w:shd w:val="clear" w:color="auto" w:fill="auto"/>
            <w:noWrap/>
            <w:vAlign w:val="bottom"/>
            <w:hideMark/>
          </w:tcPr>
          <w:p w14:paraId="10184EB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27*** (23.66, 30.35)</w:t>
            </w:r>
          </w:p>
        </w:tc>
        <w:tc>
          <w:tcPr>
            <w:tcW w:w="2044" w:type="dxa"/>
            <w:tcBorders>
              <w:top w:val="nil"/>
              <w:left w:val="nil"/>
              <w:bottom w:val="nil"/>
              <w:right w:val="nil"/>
            </w:tcBorders>
            <w:shd w:val="clear" w:color="auto" w:fill="auto"/>
            <w:noWrap/>
            <w:vAlign w:val="bottom"/>
            <w:hideMark/>
          </w:tcPr>
          <w:p w14:paraId="0F8FA70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(-0.03, 0.03)</w:t>
            </w:r>
          </w:p>
        </w:tc>
        <w:tc>
          <w:tcPr>
            <w:tcW w:w="2044" w:type="dxa"/>
            <w:tcBorders>
              <w:top w:val="nil"/>
              <w:left w:val="nil"/>
              <w:bottom w:val="nil"/>
              <w:right w:val="nil"/>
            </w:tcBorders>
            <w:shd w:val="clear" w:color="auto" w:fill="auto"/>
            <w:noWrap/>
            <w:vAlign w:val="bottom"/>
            <w:hideMark/>
          </w:tcPr>
          <w:p w14:paraId="1506C5E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-7.58 (-20.3, 5.15)</w:t>
            </w:r>
          </w:p>
        </w:tc>
        <w:tc>
          <w:tcPr>
            <w:tcW w:w="2044" w:type="dxa"/>
            <w:tcBorders>
              <w:top w:val="nil"/>
              <w:left w:val="nil"/>
              <w:bottom w:val="nil"/>
              <w:right w:val="nil"/>
            </w:tcBorders>
            <w:shd w:val="clear" w:color="auto" w:fill="auto"/>
            <w:noWrap/>
            <w:vAlign w:val="bottom"/>
            <w:hideMark/>
          </w:tcPr>
          <w:p w14:paraId="3FE20D8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 (-1.7, 1.76)</w:t>
            </w:r>
          </w:p>
        </w:tc>
        <w:tc>
          <w:tcPr>
            <w:tcW w:w="2044" w:type="dxa"/>
            <w:tcBorders>
              <w:top w:val="nil"/>
              <w:left w:val="nil"/>
              <w:bottom w:val="nil"/>
              <w:right w:val="nil"/>
            </w:tcBorders>
            <w:shd w:val="clear" w:color="auto" w:fill="auto"/>
            <w:noWrap/>
            <w:vAlign w:val="bottom"/>
            <w:hideMark/>
          </w:tcPr>
          <w:p w14:paraId="5E2D9DC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-7.18 (-25.52, 11.17)</w:t>
            </w:r>
          </w:p>
        </w:tc>
        <w:tc>
          <w:tcPr>
            <w:tcW w:w="2044" w:type="dxa"/>
            <w:tcBorders>
              <w:top w:val="nil"/>
              <w:left w:val="nil"/>
              <w:bottom w:val="nil"/>
              <w:right w:val="nil"/>
            </w:tcBorders>
            <w:shd w:val="clear" w:color="auto" w:fill="auto"/>
            <w:noWrap/>
            <w:vAlign w:val="bottom"/>
            <w:hideMark/>
          </w:tcPr>
          <w:p w14:paraId="170ABBC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2BF1B963" w14:textId="77777777" w:rsidTr="00C03FA1">
        <w:trPr>
          <w:trHeight w:val="267"/>
        </w:trPr>
        <w:tc>
          <w:tcPr>
            <w:tcW w:w="3119" w:type="dxa"/>
            <w:gridSpan w:val="2"/>
            <w:tcBorders>
              <w:top w:val="nil"/>
              <w:left w:val="nil"/>
              <w:bottom w:val="single" w:sz="4" w:space="0" w:color="auto"/>
              <w:right w:val="nil"/>
            </w:tcBorders>
            <w:shd w:val="clear" w:color="auto" w:fill="auto"/>
            <w:noWrap/>
            <w:vAlign w:val="bottom"/>
            <w:hideMark/>
          </w:tcPr>
          <w:p w14:paraId="79CFAED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HoNOS scores:</w:t>
            </w:r>
          </w:p>
        </w:tc>
        <w:tc>
          <w:tcPr>
            <w:tcW w:w="2044" w:type="dxa"/>
            <w:tcBorders>
              <w:top w:val="nil"/>
              <w:left w:val="single" w:sz="4" w:space="0" w:color="auto"/>
              <w:bottom w:val="single" w:sz="4" w:space="0" w:color="auto"/>
              <w:right w:val="nil"/>
            </w:tcBorders>
            <w:shd w:val="clear" w:color="auto" w:fill="auto"/>
            <w:noWrap/>
            <w:vAlign w:val="bottom"/>
            <w:hideMark/>
          </w:tcPr>
          <w:p w14:paraId="2F73375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721DBD5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79F6C00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0A31903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2A75F5A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0A5CFA0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C03FA1" w:rsidRPr="00A80562" w14:paraId="68AD8B7A" w14:textId="77777777" w:rsidTr="00C03FA1">
        <w:trPr>
          <w:trHeight w:val="267"/>
        </w:trPr>
        <w:tc>
          <w:tcPr>
            <w:tcW w:w="236" w:type="dxa"/>
            <w:tcBorders>
              <w:top w:val="nil"/>
              <w:left w:val="nil"/>
              <w:bottom w:val="nil"/>
              <w:right w:val="nil"/>
            </w:tcBorders>
            <w:shd w:val="clear" w:color="auto" w:fill="auto"/>
            <w:noWrap/>
            <w:vAlign w:val="bottom"/>
            <w:hideMark/>
          </w:tcPr>
          <w:p w14:paraId="7361DDAF"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0C8270CC"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total score</w:t>
            </w:r>
          </w:p>
        </w:tc>
        <w:tc>
          <w:tcPr>
            <w:tcW w:w="2044" w:type="dxa"/>
            <w:tcBorders>
              <w:top w:val="nil"/>
              <w:left w:val="single" w:sz="4" w:space="0" w:color="auto"/>
              <w:bottom w:val="nil"/>
              <w:right w:val="nil"/>
            </w:tcBorders>
            <w:shd w:val="clear" w:color="000000" w:fill="F2F2F2"/>
            <w:noWrap/>
            <w:vAlign w:val="bottom"/>
            <w:hideMark/>
          </w:tcPr>
          <w:p w14:paraId="032DFD1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12.136*** (11.995, 12.278)</w:t>
            </w:r>
          </w:p>
        </w:tc>
        <w:tc>
          <w:tcPr>
            <w:tcW w:w="2044" w:type="dxa"/>
            <w:tcBorders>
              <w:top w:val="nil"/>
              <w:left w:val="nil"/>
              <w:bottom w:val="nil"/>
              <w:right w:val="nil"/>
            </w:tcBorders>
            <w:shd w:val="clear" w:color="000000" w:fill="F2F2F2"/>
            <w:noWrap/>
            <w:vAlign w:val="bottom"/>
            <w:hideMark/>
          </w:tcPr>
          <w:p w14:paraId="1652C03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-0.005*** (-0.007, -0.004)</w:t>
            </w:r>
          </w:p>
        </w:tc>
        <w:tc>
          <w:tcPr>
            <w:tcW w:w="2044" w:type="dxa"/>
            <w:tcBorders>
              <w:top w:val="nil"/>
              <w:left w:val="nil"/>
              <w:bottom w:val="nil"/>
              <w:right w:val="nil"/>
            </w:tcBorders>
            <w:shd w:val="clear" w:color="000000" w:fill="F2F2F2"/>
            <w:noWrap/>
            <w:vAlign w:val="bottom"/>
            <w:hideMark/>
          </w:tcPr>
          <w:p w14:paraId="7FA57AB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-0.27* (-0.504, -0.036)</w:t>
            </w:r>
          </w:p>
        </w:tc>
        <w:tc>
          <w:tcPr>
            <w:tcW w:w="2044" w:type="dxa"/>
            <w:tcBorders>
              <w:top w:val="nil"/>
              <w:left w:val="nil"/>
              <w:bottom w:val="nil"/>
              <w:right w:val="nil"/>
            </w:tcBorders>
            <w:shd w:val="clear" w:color="000000" w:fill="F2F2F2"/>
            <w:noWrap/>
            <w:vAlign w:val="bottom"/>
            <w:hideMark/>
          </w:tcPr>
          <w:p w14:paraId="0A61A2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0.057*** (0.03, 0.084)</w:t>
            </w:r>
          </w:p>
        </w:tc>
        <w:tc>
          <w:tcPr>
            <w:tcW w:w="2044" w:type="dxa"/>
            <w:tcBorders>
              <w:top w:val="nil"/>
              <w:left w:val="nil"/>
              <w:bottom w:val="nil"/>
              <w:right w:val="nil"/>
            </w:tcBorders>
            <w:shd w:val="clear" w:color="000000" w:fill="F2F2F2"/>
            <w:noWrap/>
            <w:vAlign w:val="bottom"/>
            <w:hideMark/>
          </w:tcPr>
          <w:p w14:paraId="5EAFC16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0.581*** (0.259, 0.903)</w:t>
            </w:r>
          </w:p>
        </w:tc>
        <w:tc>
          <w:tcPr>
            <w:tcW w:w="2044" w:type="dxa"/>
            <w:tcBorders>
              <w:top w:val="nil"/>
              <w:left w:val="nil"/>
              <w:bottom w:val="nil"/>
              <w:right w:val="nil"/>
            </w:tcBorders>
            <w:shd w:val="clear" w:color="000000" w:fill="F2F2F2"/>
            <w:noWrap/>
            <w:vAlign w:val="bottom"/>
            <w:hideMark/>
          </w:tcPr>
          <w:p w14:paraId="179C77D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29C19EC7"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64CCBF8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Overactive, aggressive, disruptive or agitated behaviour</w:t>
            </w:r>
          </w:p>
        </w:tc>
        <w:tc>
          <w:tcPr>
            <w:tcW w:w="2044" w:type="dxa"/>
            <w:tcBorders>
              <w:top w:val="nil"/>
              <w:left w:val="single" w:sz="4" w:space="0" w:color="auto"/>
              <w:bottom w:val="nil"/>
              <w:right w:val="nil"/>
            </w:tcBorders>
            <w:shd w:val="clear" w:color="auto" w:fill="auto"/>
            <w:noWrap/>
            <w:vAlign w:val="bottom"/>
            <w:hideMark/>
          </w:tcPr>
          <w:p w14:paraId="1DDB9F3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0D76E0CA"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249A4B86"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4E50189D"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71CD1D11"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64E113CD" w14:textId="77777777" w:rsidR="00C03FA1" w:rsidRPr="00A80562" w:rsidRDefault="00C03FA1" w:rsidP="00C03FA1">
            <w:pPr>
              <w:spacing w:after="0" w:line="240" w:lineRule="auto"/>
              <w:jc w:val="left"/>
              <w:rPr>
                <w:rFonts w:eastAsia="Times New Roman"/>
                <w:lang w:eastAsia="en-GB"/>
              </w:rPr>
            </w:pPr>
          </w:p>
        </w:tc>
      </w:tr>
      <w:tr w:rsidR="00C03FA1" w:rsidRPr="00A80562" w14:paraId="03FA45D1" w14:textId="77777777" w:rsidTr="00C03FA1">
        <w:trPr>
          <w:trHeight w:val="267"/>
        </w:trPr>
        <w:tc>
          <w:tcPr>
            <w:tcW w:w="236" w:type="dxa"/>
            <w:tcBorders>
              <w:top w:val="nil"/>
              <w:left w:val="nil"/>
              <w:bottom w:val="nil"/>
              <w:right w:val="nil"/>
            </w:tcBorders>
            <w:shd w:val="clear" w:color="auto" w:fill="auto"/>
            <w:noWrap/>
            <w:vAlign w:val="bottom"/>
            <w:hideMark/>
          </w:tcPr>
          <w:p w14:paraId="03F50313"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6983AE04"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7BB7BF8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47.8*** (46.76, 48.84)</w:t>
            </w:r>
          </w:p>
        </w:tc>
        <w:tc>
          <w:tcPr>
            <w:tcW w:w="2044" w:type="dxa"/>
            <w:tcBorders>
              <w:top w:val="nil"/>
              <w:left w:val="nil"/>
              <w:bottom w:val="nil"/>
              <w:right w:val="nil"/>
            </w:tcBorders>
            <w:shd w:val="clear" w:color="000000" w:fill="F2F2F2"/>
            <w:noWrap/>
            <w:vAlign w:val="bottom"/>
            <w:hideMark/>
          </w:tcPr>
          <w:p w14:paraId="533C2D8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(-0.02, 0)</w:t>
            </w:r>
          </w:p>
        </w:tc>
        <w:tc>
          <w:tcPr>
            <w:tcW w:w="2044" w:type="dxa"/>
            <w:tcBorders>
              <w:top w:val="nil"/>
              <w:left w:val="nil"/>
              <w:bottom w:val="nil"/>
              <w:right w:val="nil"/>
            </w:tcBorders>
            <w:shd w:val="clear" w:color="000000" w:fill="F2F2F2"/>
            <w:noWrap/>
            <w:vAlign w:val="bottom"/>
            <w:hideMark/>
          </w:tcPr>
          <w:p w14:paraId="46AAB15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0.17 (-1.56, 1.89)</w:t>
            </w:r>
          </w:p>
        </w:tc>
        <w:tc>
          <w:tcPr>
            <w:tcW w:w="2044" w:type="dxa"/>
            <w:tcBorders>
              <w:top w:val="nil"/>
              <w:left w:val="nil"/>
              <w:bottom w:val="nil"/>
              <w:right w:val="nil"/>
            </w:tcBorders>
            <w:shd w:val="clear" w:color="000000" w:fill="F2F2F2"/>
            <w:noWrap/>
            <w:vAlign w:val="bottom"/>
            <w:hideMark/>
          </w:tcPr>
          <w:p w14:paraId="1D630E2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0.17 (-0.03, 0.36)</w:t>
            </w:r>
          </w:p>
        </w:tc>
        <w:tc>
          <w:tcPr>
            <w:tcW w:w="2044" w:type="dxa"/>
            <w:tcBorders>
              <w:top w:val="nil"/>
              <w:left w:val="nil"/>
              <w:bottom w:val="nil"/>
              <w:right w:val="nil"/>
            </w:tcBorders>
            <w:shd w:val="clear" w:color="000000" w:fill="F2F2F2"/>
            <w:noWrap/>
            <w:vAlign w:val="bottom"/>
            <w:hideMark/>
          </w:tcPr>
          <w:p w14:paraId="7C22F86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2.66* (0.28, 5.03)</w:t>
            </w:r>
          </w:p>
        </w:tc>
        <w:tc>
          <w:tcPr>
            <w:tcW w:w="2044" w:type="dxa"/>
            <w:tcBorders>
              <w:top w:val="nil"/>
              <w:left w:val="nil"/>
              <w:bottom w:val="nil"/>
              <w:right w:val="nil"/>
            </w:tcBorders>
            <w:shd w:val="clear" w:color="000000" w:fill="F2F2F2"/>
            <w:noWrap/>
            <w:vAlign w:val="bottom"/>
            <w:hideMark/>
          </w:tcPr>
          <w:p w14:paraId="64A0B2D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15B48814" w14:textId="77777777" w:rsidTr="00C03FA1">
        <w:trPr>
          <w:trHeight w:val="267"/>
        </w:trPr>
        <w:tc>
          <w:tcPr>
            <w:tcW w:w="236" w:type="dxa"/>
            <w:tcBorders>
              <w:top w:val="nil"/>
              <w:left w:val="nil"/>
              <w:bottom w:val="nil"/>
              <w:right w:val="nil"/>
            </w:tcBorders>
            <w:shd w:val="clear" w:color="auto" w:fill="auto"/>
            <w:noWrap/>
            <w:vAlign w:val="bottom"/>
            <w:hideMark/>
          </w:tcPr>
          <w:p w14:paraId="335516A1"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6251DEB3"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79D96C6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0.893*** (0.868, 0.917)</w:t>
            </w:r>
          </w:p>
        </w:tc>
        <w:tc>
          <w:tcPr>
            <w:tcW w:w="2044" w:type="dxa"/>
            <w:tcBorders>
              <w:top w:val="nil"/>
              <w:left w:val="nil"/>
              <w:bottom w:val="nil"/>
              <w:right w:val="nil"/>
            </w:tcBorders>
            <w:shd w:val="clear" w:color="auto" w:fill="auto"/>
            <w:noWrap/>
            <w:vAlign w:val="bottom"/>
            <w:hideMark/>
          </w:tcPr>
          <w:p w14:paraId="2521143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(-0.001, 0)</w:t>
            </w:r>
          </w:p>
        </w:tc>
        <w:tc>
          <w:tcPr>
            <w:tcW w:w="2044" w:type="dxa"/>
            <w:tcBorders>
              <w:top w:val="nil"/>
              <w:left w:val="nil"/>
              <w:bottom w:val="nil"/>
              <w:right w:val="nil"/>
            </w:tcBorders>
            <w:shd w:val="clear" w:color="auto" w:fill="auto"/>
            <w:noWrap/>
            <w:vAlign w:val="bottom"/>
            <w:hideMark/>
          </w:tcPr>
          <w:p w14:paraId="01118FF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-0.096*** (-0.137, -0.056)</w:t>
            </w:r>
          </w:p>
        </w:tc>
        <w:tc>
          <w:tcPr>
            <w:tcW w:w="2044" w:type="dxa"/>
            <w:tcBorders>
              <w:top w:val="nil"/>
              <w:left w:val="nil"/>
              <w:bottom w:val="nil"/>
              <w:right w:val="nil"/>
            </w:tcBorders>
            <w:shd w:val="clear" w:color="auto" w:fill="auto"/>
            <w:noWrap/>
            <w:vAlign w:val="bottom"/>
            <w:hideMark/>
          </w:tcPr>
          <w:p w14:paraId="19CCFEF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0.015*** (0.01, 0.019)</w:t>
            </w:r>
          </w:p>
        </w:tc>
        <w:tc>
          <w:tcPr>
            <w:tcW w:w="2044" w:type="dxa"/>
            <w:tcBorders>
              <w:top w:val="nil"/>
              <w:left w:val="nil"/>
              <w:bottom w:val="nil"/>
              <w:right w:val="nil"/>
            </w:tcBorders>
            <w:shd w:val="clear" w:color="auto" w:fill="auto"/>
            <w:noWrap/>
            <w:vAlign w:val="bottom"/>
            <w:hideMark/>
          </w:tcPr>
          <w:p w14:paraId="685D92A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0.125*** (0.069, 0.18)</w:t>
            </w:r>
          </w:p>
        </w:tc>
        <w:tc>
          <w:tcPr>
            <w:tcW w:w="2044" w:type="dxa"/>
            <w:tcBorders>
              <w:top w:val="nil"/>
              <w:left w:val="nil"/>
              <w:bottom w:val="nil"/>
              <w:right w:val="nil"/>
            </w:tcBorders>
            <w:shd w:val="clear" w:color="auto" w:fill="auto"/>
            <w:noWrap/>
            <w:vAlign w:val="bottom"/>
            <w:hideMark/>
          </w:tcPr>
          <w:p w14:paraId="68D02F5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11E5B5EC"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49D5239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Non-accidental self-injury</w:t>
            </w:r>
          </w:p>
        </w:tc>
        <w:tc>
          <w:tcPr>
            <w:tcW w:w="2044" w:type="dxa"/>
            <w:tcBorders>
              <w:top w:val="nil"/>
              <w:left w:val="single" w:sz="4" w:space="0" w:color="auto"/>
              <w:bottom w:val="nil"/>
              <w:right w:val="nil"/>
            </w:tcBorders>
            <w:shd w:val="clear" w:color="auto" w:fill="auto"/>
            <w:noWrap/>
            <w:vAlign w:val="bottom"/>
            <w:hideMark/>
          </w:tcPr>
          <w:p w14:paraId="10C2ED7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211BA127"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3C02293D"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39F4DB5B"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019015DE"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0FA39708" w14:textId="77777777" w:rsidR="00C03FA1" w:rsidRPr="00A80562" w:rsidRDefault="00C03FA1" w:rsidP="00C03FA1">
            <w:pPr>
              <w:spacing w:after="0" w:line="240" w:lineRule="auto"/>
              <w:jc w:val="left"/>
              <w:rPr>
                <w:rFonts w:eastAsia="Times New Roman"/>
                <w:lang w:eastAsia="en-GB"/>
              </w:rPr>
            </w:pPr>
          </w:p>
        </w:tc>
      </w:tr>
      <w:tr w:rsidR="00C03FA1" w:rsidRPr="00A80562" w14:paraId="55ABF869" w14:textId="77777777" w:rsidTr="00C03FA1">
        <w:trPr>
          <w:trHeight w:val="267"/>
        </w:trPr>
        <w:tc>
          <w:tcPr>
            <w:tcW w:w="236" w:type="dxa"/>
            <w:tcBorders>
              <w:top w:val="nil"/>
              <w:left w:val="nil"/>
              <w:bottom w:val="nil"/>
              <w:right w:val="nil"/>
            </w:tcBorders>
            <w:shd w:val="clear" w:color="auto" w:fill="auto"/>
            <w:noWrap/>
            <w:vAlign w:val="bottom"/>
            <w:hideMark/>
          </w:tcPr>
          <w:p w14:paraId="3480DD90"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4EC0AFB2"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512121B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25.87*** (24.89, 26.85)</w:t>
            </w:r>
          </w:p>
        </w:tc>
        <w:tc>
          <w:tcPr>
            <w:tcW w:w="2044" w:type="dxa"/>
            <w:tcBorders>
              <w:top w:val="nil"/>
              <w:left w:val="nil"/>
              <w:bottom w:val="nil"/>
              <w:right w:val="nil"/>
            </w:tcBorders>
            <w:shd w:val="clear" w:color="000000" w:fill="F2F2F2"/>
            <w:noWrap/>
            <w:vAlign w:val="bottom"/>
            <w:hideMark/>
          </w:tcPr>
          <w:p w14:paraId="7F16FD6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 (0.02, 0.04)</w:t>
            </w:r>
          </w:p>
        </w:tc>
        <w:tc>
          <w:tcPr>
            <w:tcW w:w="2044" w:type="dxa"/>
            <w:tcBorders>
              <w:top w:val="nil"/>
              <w:left w:val="nil"/>
              <w:bottom w:val="nil"/>
              <w:right w:val="nil"/>
            </w:tcBorders>
            <w:shd w:val="clear" w:color="000000" w:fill="F2F2F2"/>
            <w:noWrap/>
            <w:vAlign w:val="bottom"/>
            <w:hideMark/>
          </w:tcPr>
          <w:p w14:paraId="30048B2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0.89 (-0.73, 2.51)</w:t>
            </w:r>
          </w:p>
        </w:tc>
        <w:tc>
          <w:tcPr>
            <w:tcW w:w="2044" w:type="dxa"/>
            <w:tcBorders>
              <w:top w:val="nil"/>
              <w:left w:val="nil"/>
              <w:bottom w:val="nil"/>
              <w:right w:val="nil"/>
            </w:tcBorders>
            <w:shd w:val="clear" w:color="000000" w:fill="F2F2F2"/>
            <w:noWrap/>
            <w:vAlign w:val="bottom"/>
            <w:hideMark/>
          </w:tcPr>
          <w:p w14:paraId="395A065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 (-0.29, 0.09)</w:t>
            </w:r>
          </w:p>
        </w:tc>
        <w:tc>
          <w:tcPr>
            <w:tcW w:w="2044" w:type="dxa"/>
            <w:tcBorders>
              <w:top w:val="nil"/>
              <w:left w:val="nil"/>
              <w:bottom w:val="nil"/>
              <w:right w:val="nil"/>
            </w:tcBorders>
            <w:shd w:val="clear" w:color="000000" w:fill="F2F2F2"/>
            <w:noWrap/>
            <w:vAlign w:val="bottom"/>
            <w:hideMark/>
          </w:tcPr>
          <w:p w14:paraId="4DB22EE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 (-2.84, 1.63)</w:t>
            </w:r>
          </w:p>
        </w:tc>
        <w:tc>
          <w:tcPr>
            <w:tcW w:w="2044" w:type="dxa"/>
            <w:tcBorders>
              <w:top w:val="nil"/>
              <w:left w:val="nil"/>
              <w:bottom w:val="nil"/>
              <w:right w:val="nil"/>
            </w:tcBorders>
            <w:shd w:val="clear" w:color="000000" w:fill="F2F2F2"/>
            <w:noWrap/>
            <w:vAlign w:val="bottom"/>
            <w:hideMark/>
          </w:tcPr>
          <w:p w14:paraId="47BDC14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2ABE35AC" w14:textId="77777777" w:rsidTr="00C03FA1">
        <w:trPr>
          <w:trHeight w:val="267"/>
        </w:trPr>
        <w:tc>
          <w:tcPr>
            <w:tcW w:w="236" w:type="dxa"/>
            <w:tcBorders>
              <w:top w:val="nil"/>
              <w:left w:val="nil"/>
              <w:bottom w:val="nil"/>
              <w:right w:val="nil"/>
            </w:tcBorders>
            <w:shd w:val="clear" w:color="auto" w:fill="auto"/>
            <w:noWrap/>
            <w:vAlign w:val="bottom"/>
            <w:hideMark/>
          </w:tcPr>
          <w:p w14:paraId="4165C284"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77E40AC8"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027E89C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0.521*** (0.5, 0.542)</w:t>
            </w:r>
          </w:p>
        </w:tc>
        <w:tc>
          <w:tcPr>
            <w:tcW w:w="2044" w:type="dxa"/>
            <w:tcBorders>
              <w:top w:val="nil"/>
              <w:left w:val="nil"/>
              <w:bottom w:val="nil"/>
              <w:right w:val="nil"/>
            </w:tcBorders>
            <w:shd w:val="clear" w:color="auto" w:fill="auto"/>
            <w:noWrap/>
            <w:vAlign w:val="bottom"/>
            <w:hideMark/>
          </w:tcPr>
          <w:p w14:paraId="4B78592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0.001)</w:t>
            </w:r>
          </w:p>
        </w:tc>
        <w:tc>
          <w:tcPr>
            <w:tcW w:w="2044" w:type="dxa"/>
            <w:tcBorders>
              <w:top w:val="nil"/>
              <w:left w:val="nil"/>
              <w:bottom w:val="nil"/>
              <w:right w:val="nil"/>
            </w:tcBorders>
            <w:shd w:val="clear" w:color="auto" w:fill="auto"/>
            <w:noWrap/>
            <w:vAlign w:val="bottom"/>
            <w:hideMark/>
          </w:tcPr>
          <w:p w14:paraId="6301206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-0.033 (-0.068, 0.002)</w:t>
            </w:r>
          </w:p>
        </w:tc>
        <w:tc>
          <w:tcPr>
            <w:tcW w:w="2044" w:type="dxa"/>
            <w:tcBorders>
              <w:top w:val="nil"/>
              <w:left w:val="nil"/>
              <w:bottom w:val="nil"/>
              <w:right w:val="nil"/>
            </w:tcBorders>
            <w:shd w:val="clear" w:color="auto" w:fill="auto"/>
            <w:noWrap/>
            <w:vAlign w:val="bottom"/>
            <w:hideMark/>
          </w:tcPr>
          <w:p w14:paraId="3D45348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0.005* (0.001, 0.009)</w:t>
            </w:r>
          </w:p>
        </w:tc>
        <w:tc>
          <w:tcPr>
            <w:tcW w:w="2044" w:type="dxa"/>
            <w:tcBorders>
              <w:top w:val="nil"/>
              <w:left w:val="nil"/>
              <w:bottom w:val="nil"/>
              <w:right w:val="nil"/>
            </w:tcBorders>
            <w:shd w:val="clear" w:color="auto" w:fill="auto"/>
            <w:noWrap/>
            <w:vAlign w:val="bottom"/>
            <w:hideMark/>
          </w:tcPr>
          <w:p w14:paraId="22FE38A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0.041 (-0.008, 0.089)</w:t>
            </w:r>
          </w:p>
        </w:tc>
        <w:tc>
          <w:tcPr>
            <w:tcW w:w="2044" w:type="dxa"/>
            <w:tcBorders>
              <w:top w:val="nil"/>
              <w:left w:val="nil"/>
              <w:bottom w:val="nil"/>
              <w:right w:val="nil"/>
            </w:tcBorders>
            <w:shd w:val="clear" w:color="auto" w:fill="auto"/>
            <w:noWrap/>
            <w:vAlign w:val="bottom"/>
            <w:hideMark/>
          </w:tcPr>
          <w:p w14:paraId="0DD11F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36E3CBE5"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5E1DC96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Problem-drinking or drug-taking</w:t>
            </w:r>
          </w:p>
        </w:tc>
        <w:tc>
          <w:tcPr>
            <w:tcW w:w="2044" w:type="dxa"/>
            <w:tcBorders>
              <w:top w:val="nil"/>
              <w:left w:val="single" w:sz="4" w:space="0" w:color="auto"/>
              <w:bottom w:val="nil"/>
              <w:right w:val="nil"/>
            </w:tcBorders>
            <w:shd w:val="clear" w:color="auto" w:fill="auto"/>
            <w:noWrap/>
            <w:vAlign w:val="bottom"/>
            <w:hideMark/>
          </w:tcPr>
          <w:p w14:paraId="37C5081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1CD3CAEC"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041C898B"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55D549C0"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727B23B0"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79150813" w14:textId="77777777" w:rsidR="00C03FA1" w:rsidRPr="00A80562" w:rsidRDefault="00C03FA1" w:rsidP="00C03FA1">
            <w:pPr>
              <w:spacing w:after="0" w:line="240" w:lineRule="auto"/>
              <w:jc w:val="left"/>
              <w:rPr>
                <w:rFonts w:eastAsia="Times New Roman"/>
                <w:lang w:eastAsia="en-GB"/>
              </w:rPr>
            </w:pPr>
          </w:p>
        </w:tc>
      </w:tr>
      <w:tr w:rsidR="00C03FA1" w:rsidRPr="00A80562" w14:paraId="1D6770FD" w14:textId="77777777" w:rsidTr="00C03FA1">
        <w:trPr>
          <w:trHeight w:val="267"/>
        </w:trPr>
        <w:tc>
          <w:tcPr>
            <w:tcW w:w="236" w:type="dxa"/>
            <w:tcBorders>
              <w:top w:val="nil"/>
              <w:left w:val="nil"/>
              <w:bottom w:val="nil"/>
              <w:right w:val="nil"/>
            </w:tcBorders>
            <w:shd w:val="clear" w:color="auto" w:fill="auto"/>
            <w:noWrap/>
            <w:vAlign w:val="bottom"/>
            <w:hideMark/>
          </w:tcPr>
          <w:p w14:paraId="5C11E7EE"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35FB8A33"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0DF1A03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22.95*** (22.07, 23.82)</w:t>
            </w:r>
          </w:p>
        </w:tc>
        <w:tc>
          <w:tcPr>
            <w:tcW w:w="2044" w:type="dxa"/>
            <w:tcBorders>
              <w:top w:val="nil"/>
              <w:left w:val="nil"/>
              <w:bottom w:val="nil"/>
              <w:right w:val="nil"/>
            </w:tcBorders>
            <w:shd w:val="clear" w:color="000000" w:fill="F2F2F2"/>
            <w:noWrap/>
            <w:vAlign w:val="bottom"/>
            <w:hideMark/>
          </w:tcPr>
          <w:p w14:paraId="099C481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 0.01)</w:t>
            </w:r>
          </w:p>
        </w:tc>
        <w:tc>
          <w:tcPr>
            <w:tcW w:w="2044" w:type="dxa"/>
            <w:tcBorders>
              <w:top w:val="nil"/>
              <w:left w:val="nil"/>
              <w:bottom w:val="nil"/>
              <w:right w:val="nil"/>
            </w:tcBorders>
            <w:shd w:val="clear" w:color="000000" w:fill="F2F2F2"/>
            <w:noWrap/>
            <w:vAlign w:val="bottom"/>
            <w:hideMark/>
          </w:tcPr>
          <w:p w14:paraId="4B8608E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-1.27 (-2.71, 0.18)</w:t>
            </w:r>
          </w:p>
        </w:tc>
        <w:tc>
          <w:tcPr>
            <w:tcW w:w="2044" w:type="dxa"/>
            <w:tcBorders>
              <w:top w:val="nil"/>
              <w:left w:val="nil"/>
              <w:bottom w:val="nil"/>
              <w:right w:val="nil"/>
            </w:tcBorders>
            <w:shd w:val="clear" w:color="000000" w:fill="F2F2F2"/>
            <w:noWrap/>
            <w:vAlign w:val="bottom"/>
            <w:hideMark/>
          </w:tcPr>
          <w:p w14:paraId="70102D0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0.04 (-0.13, 0.2)</w:t>
            </w:r>
          </w:p>
        </w:tc>
        <w:tc>
          <w:tcPr>
            <w:tcW w:w="2044" w:type="dxa"/>
            <w:tcBorders>
              <w:top w:val="nil"/>
              <w:left w:val="nil"/>
              <w:bottom w:val="nil"/>
              <w:right w:val="nil"/>
            </w:tcBorders>
            <w:shd w:val="clear" w:color="000000" w:fill="F2F2F2"/>
            <w:noWrap/>
            <w:vAlign w:val="bottom"/>
            <w:hideMark/>
          </w:tcPr>
          <w:p w14:paraId="379C5EB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-0.74 (-2.72, 1.25)</w:t>
            </w:r>
          </w:p>
        </w:tc>
        <w:tc>
          <w:tcPr>
            <w:tcW w:w="2044" w:type="dxa"/>
            <w:tcBorders>
              <w:top w:val="nil"/>
              <w:left w:val="nil"/>
              <w:bottom w:val="nil"/>
              <w:right w:val="nil"/>
            </w:tcBorders>
            <w:shd w:val="clear" w:color="000000" w:fill="F2F2F2"/>
            <w:noWrap/>
            <w:vAlign w:val="bottom"/>
            <w:hideMark/>
          </w:tcPr>
          <w:p w14:paraId="04E9EE4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44ECC224" w14:textId="77777777" w:rsidTr="00C03FA1">
        <w:trPr>
          <w:trHeight w:val="267"/>
        </w:trPr>
        <w:tc>
          <w:tcPr>
            <w:tcW w:w="236" w:type="dxa"/>
            <w:tcBorders>
              <w:top w:val="nil"/>
              <w:left w:val="nil"/>
              <w:bottom w:val="nil"/>
              <w:right w:val="nil"/>
            </w:tcBorders>
            <w:shd w:val="clear" w:color="auto" w:fill="auto"/>
            <w:noWrap/>
            <w:vAlign w:val="bottom"/>
            <w:hideMark/>
          </w:tcPr>
          <w:p w14:paraId="2466672A"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07907427"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4BC4B0F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0.466*** (0.447, 0.486)</w:t>
            </w:r>
          </w:p>
        </w:tc>
        <w:tc>
          <w:tcPr>
            <w:tcW w:w="2044" w:type="dxa"/>
            <w:tcBorders>
              <w:top w:val="nil"/>
              <w:left w:val="nil"/>
              <w:bottom w:val="nil"/>
              <w:right w:val="nil"/>
            </w:tcBorders>
            <w:shd w:val="clear" w:color="auto" w:fill="auto"/>
            <w:noWrap/>
            <w:vAlign w:val="bottom"/>
            <w:hideMark/>
          </w:tcPr>
          <w:p w14:paraId="53C6DC4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44" w:type="dxa"/>
            <w:tcBorders>
              <w:top w:val="nil"/>
              <w:left w:val="nil"/>
              <w:bottom w:val="nil"/>
              <w:right w:val="nil"/>
            </w:tcBorders>
            <w:shd w:val="clear" w:color="auto" w:fill="auto"/>
            <w:noWrap/>
            <w:vAlign w:val="bottom"/>
            <w:hideMark/>
          </w:tcPr>
          <w:p w14:paraId="0EFDB87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-0.092*** (-0.124, -0.059)</w:t>
            </w:r>
          </w:p>
        </w:tc>
        <w:tc>
          <w:tcPr>
            <w:tcW w:w="2044" w:type="dxa"/>
            <w:tcBorders>
              <w:top w:val="nil"/>
              <w:left w:val="nil"/>
              <w:bottom w:val="nil"/>
              <w:right w:val="nil"/>
            </w:tcBorders>
            <w:shd w:val="clear" w:color="auto" w:fill="auto"/>
            <w:noWrap/>
            <w:vAlign w:val="bottom"/>
            <w:hideMark/>
          </w:tcPr>
          <w:p w14:paraId="369A357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0.007*** (0.003, 0.011)</w:t>
            </w:r>
          </w:p>
        </w:tc>
        <w:tc>
          <w:tcPr>
            <w:tcW w:w="2044" w:type="dxa"/>
            <w:tcBorders>
              <w:top w:val="nil"/>
              <w:left w:val="nil"/>
              <w:bottom w:val="nil"/>
              <w:right w:val="nil"/>
            </w:tcBorders>
            <w:shd w:val="clear" w:color="auto" w:fill="auto"/>
            <w:noWrap/>
            <w:vAlign w:val="bottom"/>
            <w:hideMark/>
          </w:tcPr>
          <w:p w14:paraId="55023C0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0.016 (-0.028, 0.061)</w:t>
            </w:r>
          </w:p>
        </w:tc>
        <w:tc>
          <w:tcPr>
            <w:tcW w:w="2044" w:type="dxa"/>
            <w:tcBorders>
              <w:top w:val="nil"/>
              <w:left w:val="nil"/>
              <w:bottom w:val="nil"/>
              <w:right w:val="nil"/>
            </w:tcBorders>
            <w:shd w:val="clear" w:color="auto" w:fill="auto"/>
            <w:noWrap/>
            <w:vAlign w:val="bottom"/>
            <w:hideMark/>
          </w:tcPr>
          <w:p w14:paraId="51C6711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42AEB4A6"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49E0A98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Cognitive problems</w:t>
            </w:r>
          </w:p>
        </w:tc>
        <w:tc>
          <w:tcPr>
            <w:tcW w:w="2044" w:type="dxa"/>
            <w:tcBorders>
              <w:top w:val="nil"/>
              <w:left w:val="single" w:sz="4" w:space="0" w:color="auto"/>
              <w:bottom w:val="nil"/>
              <w:right w:val="nil"/>
            </w:tcBorders>
            <w:shd w:val="clear" w:color="auto" w:fill="auto"/>
            <w:noWrap/>
            <w:vAlign w:val="bottom"/>
            <w:hideMark/>
          </w:tcPr>
          <w:p w14:paraId="4AD59B8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7FBD70CC"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219D36A0"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27455CFC"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2B0D069D"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2DC3916C" w14:textId="77777777" w:rsidR="00C03FA1" w:rsidRPr="00A80562" w:rsidRDefault="00C03FA1" w:rsidP="00C03FA1">
            <w:pPr>
              <w:spacing w:after="0" w:line="240" w:lineRule="auto"/>
              <w:jc w:val="left"/>
              <w:rPr>
                <w:rFonts w:eastAsia="Times New Roman"/>
                <w:lang w:eastAsia="en-GB"/>
              </w:rPr>
            </w:pPr>
          </w:p>
        </w:tc>
      </w:tr>
      <w:tr w:rsidR="00C03FA1" w:rsidRPr="00A80562" w14:paraId="6F95A71F" w14:textId="77777777" w:rsidTr="00C03FA1">
        <w:trPr>
          <w:trHeight w:val="267"/>
        </w:trPr>
        <w:tc>
          <w:tcPr>
            <w:tcW w:w="236" w:type="dxa"/>
            <w:tcBorders>
              <w:top w:val="nil"/>
              <w:left w:val="nil"/>
              <w:bottom w:val="nil"/>
              <w:right w:val="nil"/>
            </w:tcBorders>
            <w:shd w:val="clear" w:color="auto" w:fill="auto"/>
            <w:noWrap/>
            <w:vAlign w:val="bottom"/>
            <w:hideMark/>
          </w:tcPr>
          <w:p w14:paraId="43552B08"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3560ACDF"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58D4AE1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46.47*** (44.8, 48.13)</w:t>
            </w:r>
          </w:p>
        </w:tc>
        <w:tc>
          <w:tcPr>
            <w:tcW w:w="2044" w:type="dxa"/>
            <w:tcBorders>
              <w:top w:val="nil"/>
              <w:left w:val="nil"/>
              <w:bottom w:val="nil"/>
              <w:right w:val="nil"/>
            </w:tcBorders>
            <w:shd w:val="clear" w:color="000000" w:fill="F2F2F2"/>
            <w:noWrap/>
            <w:vAlign w:val="bottom"/>
            <w:hideMark/>
          </w:tcPr>
          <w:p w14:paraId="72289D3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-0.04*** (-0.06, -0.03)</w:t>
            </w:r>
          </w:p>
        </w:tc>
        <w:tc>
          <w:tcPr>
            <w:tcW w:w="2044" w:type="dxa"/>
            <w:tcBorders>
              <w:top w:val="nil"/>
              <w:left w:val="nil"/>
              <w:bottom w:val="nil"/>
              <w:right w:val="nil"/>
            </w:tcBorders>
            <w:shd w:val="clear" w:color="000000" w:fill="F2F2F2"/>
            <w:noWrap/>
            <w:vAlign w:val="bottom"/>
            <w:hideMark/>
          </w:tcPr>
          <w:p w14:paraId="1B23816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-3.18* (-5.65, -0.71)</w:t>
            </w:r>
          </w:p>
        </w:tc>
        <w:tc>
          <w:tcPr>
            <w:tcW w:w="2044" w:type="dxa"/>
            <w:tcBorders>
              <w:top w:val="nil"/>
              <w:left w:val="nil"/>
              <w:bottom w:val="nil"/>
              <w:right w:val="nil"/>
            </w:tcBorders>
            <w:shd w:val="clear" w:color="000000" w:fill="F2F2F2"/>
            <w:noWrap/>
            <w:vAlign w:val="bottom"/>
            <w:hideMark/>
          </w:tcPr>
          <w:p w14:paraId="3C26FD3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0.49*** (0.3, 0.68)</w:t>
            </w:r>
          </w:p>
        </w:tc>
        <w:tc>
          <w:tcPr>
            <w:tcW w:w="2044" w:type="dxa"/>
            <w:tcBorders>
              <w:top w:val="nil"/>
              <w:left w:val="nil"/>
              <w:bottom w:val="nil"/>
              <w:right w:val="nil"/>
            </w:tcBorders>
            <w:shd w:val="clear" w:color="000000" w:fill="F2F2F2"/>
            <w:noWrap/>
            <w:vAlign w:val="bottom"/>
            <w:hideMark/>
          </w:tcPr>
          <w:p w14:paraId="3ECE044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4.16** (1.34, 6.99)</w:t>
            </w:r>
          </w:p>
        </w:tc>
        <w:tc>
          <w:tcPr>
            <w:tcW w:w="2044" w:type="dxa"/>
            <w:tcBorders>
              <w:top w:val="nil"/>
              <w:left w:val="nil"/>
              <w:bottom w:val="nil"/>
              <w:right w:val="nil"/>
            </w:tcBorders>
            <w:shd w:val="clear" w:color="000000" w:fill="F2F2F2"/>
            <w:noWrap/>
            <w:vAlign w:val="bottom"/>
            <w:hideMark/>
          </w:tcPr>
          <w:p w14:paraId="0087AA1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(2, 0, 1)</w:t>
            </w:r>
          </w:p>
        </w:tc>
      </w:tr>
      <w:tr w:rsidR="00C03FA1" w:rsidRPr="00A80562" w14:paraId="63D8DC7B" w14:textId="77777777" w:rsidTr="00C03FA1">
        <w:trPr>
          <w:trHeight w:val="267"/>
        </w:trPr>
        <w:tc>
          <w:tcPr>
            <w:tcW w:w="236" w:type="dxa"/>
            <w:tcBorders>
              <w:top w:val="nil"/>
              <w:left w:val="nil"/>
              <w:bottom w:val="nil"/>
              <w:right w:val="nil"/>
            </w:tcBorders>
            <w:shd w:val="clear" w:color="auto" w:fill="auto"/>
            <w:noWrap/>
            <w:vAlign w:val="bottom"/>
            <w:hideMark/>
          </w:tcPr>
          <w:p w14:paraId="5B393DE2"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3E07E297"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4F8C8C6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0.949*** (0.912, 0.985)</w:t>
            </w:r>
          </w:p>
        </w:tc>
        <w:tc>
          <w:tcPr>
            <w:tcW w:w="2044" w:type="dxa"/>
            <w:tcBorders>
              <w:top w:val="nil"/>
              <w:left w:val="nil"/>
              <w:bottom w:val="nil"/>
              <w:right w:val="nil"/>
            </w:tcBorders>
            <w:shd w:val="clear" w:color="auto" w:fill="auto"/>
            <w:noWrap/>
            <w:vAlign w:val="bottom"/>
            <w:hideMark/>
          </w:tcPr>
          <w:p w14:paraId="5DF230B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44" w:type="dxa"/>
            <w:tcBorders>
              <w:top w:val="nil"/>
              <w:left w:val="nil"/>
              <w:bottom w:val="nil"/>
              <w:right w:val="nil"/>
            </w:tcBorders>
            <w:shd w:val="clear" w:color="auto" w:fill="auto"/>
            <w:noWrap/>
            <w:vAlign w:val="bottom"/>
            <w:hideMark/>
          </w:tcPr>
          <w:p w14:paraId="2F42CCC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-0.055 (-0.114, 0.004)</w:t>
            </w:r>
          </w:p>
        </w:tc>
        <w:tc>
          <w:tcPr>
            <w:tcW w:w="2044" w:type="dxa"/>
            <w:tcBorders>
              <w:top w:val="nil"/>
              <w:left w:val="nil"/>
              <w:bottom w:val="nil"/>
              <w:right w:val="nil"/>
            </w:tcBorders>
            <w:shd w:val="clear" w:color="auto" w:fill="auto"/>
            <w:noWrap/>
            <w:vAlign w:val="bottom"/>
            <w:hideMark/>
          </w:tcPr>
          <w:p w14:paraId="30B66C9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0.011*** (0.006, 0.015)</w:t>
            </w:r>
          </w:p>
        </w:tc>
        <w:tc>
          <w:tcPr>
            <w:tcW w:w="2044" w:type="dxa"/>
            <w:tcBorders>
              <w:top w:val="nil"/>
              <w:left w:val="nil"/>
              <w:bottom w:val="nil"/>
              <w:right w:val="nil"/>
            </w:tcBorders>
            <w:shd w:val="clear" w:color="auto" w:fill="auto"/>
            <w:noWrap/>
            <w:vAlign w:val="bottom"/>
            <w:hideMark/>
          </w:tcPr>
          <w:p w14:paraId="616FF00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0.102** (0.04, 0.165)</w:t>
            </w:r>
          </w:p>
        </w:tc>
        <w:tc>
          <w:tcPr>
            <w:tcW w:w="2044" w:type="dxa"/>
            <w:tcBorders>
              <w:top w:val="nil"/>
              <w:left w:val="nil"/>
              <w:bottom w:val="nil"/>
              <w:right w:val="nil"/>
            </w:tcBorders>
            <w:shd w:val="clear" w:color="auto" w:fill="auto"/>
            <w:noWrap/>
            <w:vAlign w:val="bottom"/>
            <w:hideMark/>
          </w:tcPr>
          <w:p w14:paraId="1E59532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0D1D86DD"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118F538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Physical illness or disability or disability problems</w:t>
            </w:r>
          </w:p>
        </w:tc>
        <w:tc>
          <w:tcPr>
            <w:tcW w:w="2044" w:type="dxa"/>
            <w:tcBorders>
              <w:top w:val="nil"/>
              <w:left w:val="single" w:sz="4" w:space="0" w:color="auto"/>
              <w:bottom w:val="nil"/>
              <w:right w:val="nil"/>
            </w:tcBorders>
            <w:shd w:val="clear" w:color="auto" w:fill="auto"/>
            <w:noWrap/>
            <w:vAlign w:val="bottom"/>
            <w:hideMark/>
          </w:tcPr>
          <w:p w14:paraId="4284D4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7CE4F6D1"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76DDA629"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303C6503"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17FBF025"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37387CEE" w14:textId="77777777" w:rsidR="00C03FA1" w:rsidRPr="00A80562" w:rsidRDefault="00C03FA1" w:rsidP="00C03FA1">
            <w:pPr>
              <w:spacing w:after="0" w:line="240" w:lineRule="auto"/>
              <w:jc w:val="left"/>
              <w:rPr>
                <w:rFonts w:eastAsia="Times New Roman"/>
                <w:lang w:eastAsia="en-GB"/>
              </w:rPr>
            </w:pPr>
          </w:p>
        </w:tc>
      </w:tr>
      <w:tr w:rsidR="00C03FA1" w:rsidRPr="00A80562" w14:paraId="0F1BDE60" w14:textId="77777777" w:rsidTr="00C03FA1">
        <w:trPr>
          <w:trHeight w:val="267"/>
        </w:trPr>
        <w:tc>
          <w:tcPr>
            <w:tcW w:w="236" w:type="dxa"/>
            <w:tcBorders>
              <w:top w:val="nil"/>
              <w:left w:val="nil"/>
              <w:bottom w:val="nil"/>
              <w:right w:val="nil"/>
            </w:tcBorders>
            <w:shd w:val="clear" w:color="auto" w:fill="auto"/>
            <w:noWrap/>
            <w:vAlign w:val="bottom"/>
            <w:hideMark/>
          </w:tcPr>
          <w:p w14:paraId="40CB7BF1"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595E941B"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1C64BB8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50.21*** (48.53, 51.89)</w:t>
            </w:r>
          </w:p>
        </w:tc>
        <w:tc>
          <w:tcPr>
            <w:tcW w:w="2044" w:type="dxa"/>
            <w:tcBorders>
              <w:top w:val="nil"/>
              <w:left w:val="nil"/>
              <w:bottom w:val="nil"/>
              <w:right w:val="nil"/>
            </w:tcBorders>
            <w:shd w:val="clear" w:color="000000" w:fill="F2F2F2"/>
            <w:noWrap/>
            <w:vAlign w:val="bottom"/>
            <w:hideMark/>
          </w:tcPr>
          <w:p w14:paraId="5F7C181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(-0.03, 0.01)</w:t>
            </w:r>
          </w:p>
        </w:tc>
        <w:tc>
          <w:tcPr>
            <w:tcW w:w="2044" w:type="dxa"/>
            <w:tcBorders>
              <w:top w:val="nil"/>
              <w:left w:val="nil"/>
              <w:bottom w:val="nil"/>
              <w:right w:val="nil"/>
            </w:tcBorders>
            <w:shd w:val="clear" w:color="000000" w:fill="F2F2F2"/>
            <w:noWrap/>
            <w:vAlign w:val="bottom"/>
            <w:hideMark/>
          </w:tcPr>
          <w:p w14:paraId="36B42A1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-1.37 (-5.19, 2.45)</w:t>
            </w:r>
          </w:p>
        </w:tc>
        <w:tc>
          <w:tcPr>
            <w:tcW w:w="2044" w:type="dxa"/>
            <w:tcBorders>
              <w:top w:val="nil"/>
              <w:left w:val="nil"/>
              <w:bottom w:val="nil"/>
              <w:right w:val="nil"/>
            </w:tcBorders>
            <w:shd w:val="clear" w:color="000000" w:fill="F2F2F2"/>
            <w:noWrap/>
            <w:vAlign w:val="bottom"/>
            <w:hideMark/>
          </w:tcPr>
          <w:p w14:paraId="38BF1C4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(-0.25, 0.29)</w:t>
            </w:r>
          </w:p>
        </w:tc>
        <w:tc>
          <w:tcPr>
            <w:tcW w:w="2044" w:type="dxa"/>
            <w:tcBorders>
              <w:top w:val="nil"/>
              <w:left w:val="nil"/>
              <w:bottom w:val="nil"/>
              <w:right w:val="nil"/>
            </w:tcBorders>
            <w:shd w:val="clear" w:color="000000" w:fill="F2F2F2"/>
            <w:noWrap/>
            <w:vAlign w:val="bottom"/>
            <w:hideMark/>
          </w:tcPr>
          <w:p w14:paraId="16ADAA6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-1.07 (-4.05, 1.92)</w:t>
            </w:r>
          </w:p>
        </w:tc>
        <w:tc>
          <w:tcPr>
            <w:tcW w:w="2044" w:type="dxa"/>
            <w:tcBorders>
              <w:top w:val="nil"/>
              <w:left w:val="nil"/>
              <w:bottom w:val="nil"/>
              <w:right w:val="nil"/>
            </w:tcBorders>
            <w:shd w:val="clear" w:color="000000" w:fill="F2F2F2"/>
            <w:noWrap/>
            <w:vAlign w:val="bottom"/>
            <w:hideMark/>
          </w:tcPr>
          <w:p w14:paraId="1F6F625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7520900A" w14:textId="77777777" w:rsidTr="00C03FA1">
        <w:trPr>
          <w:trHeight w:val="267"/>
        </w:trPr>
        <w:tc>
          <w:tcPr>
            <w:tcW w:w="236" w:type="dxa"/>
            <w:tcBorders>
              <w:top w:val="nil"/>
              <w:left w:val="nil"/>
              <w:bottom w:val="nil"/>
              <w:right w:val="nil"/>
            </w:tcBorders>
            <w:shd w:val="clear" w:color="auto" w:fill="auto"/>
            <w:noWrap/>
            <w:vAlign w:val="bottom"/>
            <w:hideMark/>
          </w:tcPr>
          <w:p w14:paraId="3B2EC2A5"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0BEE0F82"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46D5A05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1.066*** (1.04, 1.091)</w:t>
            </w:r>
          </w:p>
        </w:tc>
        <w:tc>
          <w:tcPr>
            <w:tcW w:w="2044" w:type="dxa"/>
            <w:tcBorders>
              <w:top w:val="nil"/>
              <w:left w:val="nil"/>
              <w:bottom w:val="nil"/>
              <w:right w:val="nil"/>
            </w:tcBorders>
            <w:shd w:val="clear" w:color="auto" w:fill="auto"/>
            <w:noWrap/>
            <w:vAlign w:val="bottom"/>
            <w:hideMark/>
          </w:tcPr>
          <w:p w14:paraId="0C758A6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(-0.001, 0)</w:t>
            </w:r>
          </w:p>
        </w:tc>
        <w:tc>
          <w:tcPr>
            <w:tcW w:w="2044" w:type="dxa"/>
            <w:tcBorders>
              <w:top w:val="nil"/>
              <w:left w:val="nil"/>
              <w:bottom w:val="nil"/>
              <w:right w:val="nil"/>
            </w:tcBorders>
            <w:shd w:val="clear" w:color="auto" w:fill="auto"/>
            <w:noWrap/>
            <w:vAlign w:val="bottom"/>
            <w:hideMark/>
          </w:tcPr>
          <w:p w14:paraId="144AF52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-0.114*** (-0.178, -0.051)</w:t>
            </w:r>
          </w:p>
        </w:tc>
        <w:tc>
          <w:tcPr>
            <w:tcW w:w="2044" w:type="dxa"/>
            <w:tcBorders>
              <w:top w:val="nil"/>
              <w:left w:val="nil"/>
              <w:bottom w:val="nil"/>
              <w:right w:val="nil"/>
            </w:tcBorders>
            <w:shd w:val="clear" w:color="auto" w:fill="auto"/>
            <w:noWrap/>
            <w:vAlign w:val="bottom"/>
            <w:hideMark/>
          </w:tcPr>
          <w:p w14:paraId="1AAC607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0.012*** (0.007, 0.017)</w:t>
            </w:r>
          </w:p>
        </w:tc>
        <w:tc>
          <w:tcPr>
            <w:tcW w:w="2044" w:type="dxa"/>
            <w:tcBorders>
              <w:top w:val="nil"/>
              <w:left w:val="nil"/>
              <w:bottom w:val="nil"/>
              <w:right w:val="nil"/>
            </w:tcBorders>
            <w:shd w:val="clear" w:color="auto" w:fill="auto"/>
            <w:noWrap/>
            <w:vAlign w:val="bottom"/>
            <w:hideMark/>
          </w:tcPr>
          <w:p w14:paraId="61FD9A0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0.064** (0.025, 0.104)</w:t>
            </w:r>
          </w:p>
        </w:tc>
        <w:tc>
          <w:tcPr>
            <w:tcW w:w="2044" w:type="dxa"/>
            <w:tcBorders>
              <w:top w:val="nil"/>
              <w:left w:val="nil"/>
              <w:bottom w:val="nil"/>
              <w:right w:val="nil"/>
            </w:tcBorders>
            <w:shd w:val="clear" w:color="auto" w:fill="auto"/>
            <w:noWrap/>
            <w:vAlign w:val="bottom"/>
            <w:hideMark/>
          </w:tcPr>
          <w:p w14:paraId="590A245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(2, 0, 0)</w:t>
            </w:r>
          </w:p>
        </w:tc>
      </w:tr>
      <w:tr w:rsidR="00C03FA1" w:rsidRPr="00A80562" w14:paraId="153FFF3A"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7D42D48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associated with hallucinations and delusions</w:t>
            </w:r>
          </w:p>
        </w:tc>
        <w:tc>
          <w:tcPr>
            <w:tcW w:w="2044" w:type="dxa"/>
            <w:tcBorders>
              <w:top w:val="nil"/>
              <w:left w:val="single" w:sz="4" w:space="0" w:color="auto"/>
              <w:bottom w:val="nil"/>
              <w:right w:val="nil"/>
            </w:tcBorders>
            <w:shd w:val="clear" w:color="auto" w:fill="auto"/>
            <w:noWrap/>
            <w:vAlign w:val="bottom"/>
            <w:hideMark/>
          </w:tcPr>
          <w:p w14:paraId="07E12E6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64BE88D3"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7C93EB34"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51B320F3"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6003FC3E"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13F0BAEE" w14:textId="77777777" w:rsidR="00C03FA1" w:rsidRPr="00A80562" w:rsidRDefault="00C03FA1" w:rsidP="00C03FA1">
            <w:pPr>
              <w:spacing w:after="0" w:line="240" w:lineRule="auto"/>
              <w:jc w:val="left"/>
              <w:rPr>
                <w:rFonts w:eastAsia="Times New Roman"/>
                <w:lang w:eastAsia="en-GB"/>
              </w:rPr>
            </w:pPr>
          </w:p>
        </w:tc>
      </w:tr>
      <w:tr w:rsidR="00C03FA1" w:rsidRPr="00A80562" w14:paraId="51DC8E40" w14:textId="77777777" w:rsidTr="00C03FA1">
        <w:trPr>
          <w:trHeight w:val="267"/>
        </w:trPr>
        <w:tc>
          <w:tcPr>
            <w:tcW w:w="236" w:type="dxa"/>
            <w:tcBorders>
              <w:top w:val="nil"/>
              <w:left w:val="nil"/>
              <w:bottom w:val="nil"/>
              <w:right w:val="nil"/>
            </w:tcBorders>
            <w:shd w:val="clear" w:color="auto" w:fill="auto"/>
            <w:noWrap/>
            <w:vAlign w:val="bottom"/>
            <w:hideMark/>
          </w:tcPr>
          <w:p w14:paraId="532F017A"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4D588202"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578054A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28.04*** (27.01, 29.08)</w:t>
            </w:r>
          </w:p>
        </w:tc>
        <w:tc>
          <w:tcPr>
            <w:tcW w:w="2044" w:type="dxa"/>
            <w:tcBorders>
              <w:top w:val="nil"/>
              <w:left w:val="nil"/>
              <w:bottom w:val="nil"/>
              <w:right w:val="nil"/>
            </w:tcBorders>
            <w:shd w:val="clear" w:color="000000" w:fill="F2F2F2"/>
            <w:noWrap/>
            <w:vAlign w:val="bottom"/>
            <w:hideMark/>
          </w:tcPr>
          <w:p w14:paraId="713C60E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0.01)</w:t>
            </w:r>
          </w:p>
        </w:tc>
        <w:tc>
          <w:tcPr>
            <w:tcW w:w="2044" w:type="dxa"/>
            <w:tcBorders>
              <w:top w:val="nil"/>
              <w:left w:val="nil"/>
              <w:bottom w:val="nil"/>
              <w:right w:val="nil"/>
            </w:tcBorders>
            <w:shd w:val="clear" w:color="000000" w:fill="F2F2F2"/>
            <w:noWrap/>
            <w:vAlign w:val="bottom"/>
            <w:hideMark/>
          </w:tcPr>
          <w:p w14:paraId="345EA71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2.18* (0.3, 4.06)</w:t>
            </w:r>
          </w:p>
        </w:tc>
        <w:tc>
          <w:tcPr>
            <w:tcW w:w="2044" w:type="dxa"/>
            <w:tcBorders>
              <w:top w:val="nil"/>
              <w:left w:val="nil"/>
              <w:bottom w:val="nil"/>
              <w:right w:val="nil"/>
            </w:tcBorders>
            <w:shd w:val="clear" w:color="000000" w:fill="F2F2F2"/>
            <w:noWrap/>
            <w:vAlign w:val="bottom"/>
            <w:hideMark/>
          </w:tcPr>
          <w:p w14:paraId="2E3D965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(-0.21, 0.16)</w:t>
            </w:r>
          </w:p>
        </w:tc>
        <w:tc>
          <w:tcPr>
            <w:tcW w:w="2044" w:type="dxa"/>
            <w:tcBorders>
              <w:top w:val="nil"/>
              <w:left w:val="nil"/>
              <w:bottom w:val="nil"/>
              <w:right w:val="nil"/>
            </w:tcBorders>
            <w:shd w:val="clear" w:color="000000" w:fill="F2F2F2"/>
            <w:noWrap/>
            <w:vAlign w:val="bottom"/>
            <w:hideMark/>
          </w:tcPr>
          <w:p w14:paraId="0BBD782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1.83* (0.31, 3.36)</w:t>
            </w:r>
          </w:p>
        </w:tc>
        <w:tc>
          <w:tcPr>
            <w:tcW w:w="2044" w:type="dxa"/>
            <w:tcBorders>
              <w:top w:val="nil"/>
              <w:left w:val="nil"/>
              <w:bottom w:val="nil"/>
              <w:right w:val="nil"/>
            </w:tcBorders>
            <w:shd w:val="clear" w:color="000000" w:fill="F2F2F2"/>
            <w:noWrap/>
            <w:vAlign w:val="bottom"/>
            <w:hideMark/>
          </w:tcPr>
          <w:p w14:paraId="7EB71CE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C03FA1" w:rsidRPr="00A80562" w14:paraId="01813DF7" w14:textId="77777777" w:rsidTr="00C03FA1">
        <w:trPr>
          <w:trHeight w:val="267"/>
        </w:trPr>
        <w:tc>
          <w:tcPr>
            <w:tcW w:w="236" w:type="dxa"/>
            <w:tcBorders>
              <w:top w:val="nil"/>
              <w:left w:val="nil"/>
              <w:bottom w:val="nil"/>
              <w:right w:val="nil"/>
            </w:tcBorders>
            <w:shd w:val="clear" w:color="auto" w:fill="auto"/>
            <w:noWrap/>
            <w:vAlign w:val="bottom"/>
            <w:hideMark/>
          </w:tcPr>
          <w:p w14:paraId="154A2045"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57C4A393"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2DC4143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0.612*** (0.588, 0.636)</w:t>
            </w:r>
          </w:p>
        </w:tc>
        <w:tc>
          <w:tcPr>
            <w:tcW w:w="2044" w:type="dxa"/>
            <w:tcBorders>
              <w:top w:val="nil"/>
              <w:left w:val="nil"/>
              <w:bottom w:val="nil"/>
              <w:right w:val="nil"/>
            </w:tcBorders>
            <w:shd w:val="clear" w:color="auto" w:fill="auto"/>
            <w:noWrap/>
            <w:vAlign w:val="bottom"/>
            <w:hideMark/>
          </w:tcPr>
          <w:p w14:paraId="56479B2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44" w:type="dxa"/>
            <w:tcBorders>
              <w:top w:val="nil"/>
              <w:left w:val="nil"/>
              <w:bottom w:val="nil"/>
              <w:right w:val="nil"/>
            </w:tcBorders>
            <w:shd w:val="clear" w:color="auto" w:fill="auto"/>
            <w:noWrap/>
            <w:vAlign w:val="bottom"/>
            <w:hideMark/>
          </w:tcPr>
          <w:p w14:paraId="1419057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0.018 (-0.021, 0.057)</w:t>
            </w:r>
          </w:p>
        </w:tc>
        <w:tc>
          <w:tcPr>
            <w:tcW w:w="2044" w:type="dxa"/>
            <w:tcBorders>
              <w:top w:val="nil"/>
              <w:left w:val="nil"/>
              <w:bottom w:val="nil"/>
              <w:right w:val="nil"/>
            </w:tcBorders>
            <w:shd w:val="clear" w:color="auto" w:fill="auto"/>
            <w:noWrap/>
            <w:vAlign w:val="bottom"/>
            <w:hideMark/>
          </w:tcPr>
          <w:p w14:paraId="1EF339D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0.003 (-0.001, 0.008)</w:t>
            </w:r>
          </w:p>
        </w:tc>
        <w:tc>
          <w:tcPr>
            <w:tcW w:w="2044" w:type="dxa"/>
            <w:tcBorders>
              <w:top w:val="nil"/>
              <w:left w:val="nil"/>
              <w:bottom w:val="nil"/>
              <w:right w:val="nil"/>
            </w:tcBorders>
            <w:shd w:val="clear" w:color="auto" w:fill="auto"/>
            <w:noWrap/>
            <w:vAlign w:val="bottom"/>
            <w:hideMark/>
          </w:tcPr>
          <w:p w14:paraId="73FF9D6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0.066* (0.012, 0.12)</w:t>
            </w:r>
          </w:p>
        </w:tc>
        <w:tc>
          <w:tcPr>
            <w:tcW w:w="2044" w:type="dxa"/>
            <w:tcBorders>
              <w:top w:val="nil"/>
              <w:left w:val="nil"/>
              <w:bottom w:val="nil"/>
              <w:right w:val="nil"/>
            </w:tcBorders>
            <w:shd w:val="clear" w:color="auto" w:fill="auto"/>
            <w:noWrap/>
            <w:vAlign w:val="bottom"/>
            <w:hideMark/>
          </w:tcPr>
          <w:p w14:paraId="3045D17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73C2CDED"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5632D2A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with depressed mood</w:t>
            </w:r>
          </w:p>
        </w:tc>
        <w:tc>
          <w:tcPr>
            <w:tcW w:w="2044" w:type="dxa"/>
            <w:tcBorders>
              <w:top w:val="nil"/>
              <w:left w:val="single" w:sz="4" w:space="0" w:color="auto"/>
              <w:bottom w:val="nil"/>
              <w:right w:val="nil"/>
            </w:tcBorders>
            <w:shd w:val="clear" w:color="auto" w:fill="auto"/>
            <w:noWrap/>
            <w:vAlign w:val="bottom"/>
            <w:hideMark/>
          </w:tcPr>
          <w:p w14:paraId="76C7DA5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6C0FE4BD"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38C71C39"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49929065"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16BA5CCB"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06869305" w14:textId="77777777" w:rsidR="00C03FA1" w:rsidRPr="00A80562" w:rsidRDefault="00C03FA1" w:rsidP="00C03FA1">
            <w:pPr>
              <w:spacing w:after="0" w:line="240" w:lineRule="auto"/>
              <w:jc w:val="left"/>
              <w:rPr>
                <w:rFonts w:eastAsia="Times New Roman"/>
                <w:lang w:eastAsia="en-GB"/>
              </w:rPr>
            </w:pPr>
          </w:p>
        </w:tc>
      </w:tr>
      <w:tr w:rsidR="00C03FA1" w:rsidRPr="00A80562" w14:paraId="60BD55C7" w14:textId="77777777" w:rsidTr="00C03FA1">
        <w:trPr>
          <w:trHeight w:val="267"/>
        </w:trPr>
        <w:tc>
          <w:tcPr>
            <w:tcW w:w="236" w:type="dxa"/>
            <w:tcBorders>
              <w:top w:val="nil"/>
              <w:left w:val="nil"/>
              <w:bottom w:val="nil"/>
              <w:right w:val="nil"/>
            </w:tcBorders>
            <w:shd w:val="clear" w:color="auto" w:fill="auto"/>
            <w:noWrap/>
            <w:vAlign w:val="bottom"/>
            <w:hideMark/>
          </w:tcPr>
          <w:p w14:paraId="1362F642"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568E10E0"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232A457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75.62*** (74.79, 76.44)</w:t>
            </w:r>
          </w:p>
        </w:tc>
        <w:tc>
          <w:tcPr>
            <w:tcW w:w="2044" w:type="dxa"/>
            <w:tcBorders>
              <w:top w:val="nil"/>
              <w:left w:val="nil"/>
              <w:bottom w:val="nil"/>
              <w:right w:val="nil"/>
            </w:tcBorders>
            <w:shd w:val="clear" w:color="000000" w:fill="F2F2F2"/>
            <w:noWrap/>
            <w:vAlign w:val="bottom"/>
            <w:hideMark/>
          </w:tcPr>
          <w:p w14:paraId="27B84CF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(0.01, 0.03)</w:t>
            </w:r>
          </w:p>
        </w:tc>
        <w:tc>
          <w:tcPr>
            <w:tcW w:w="2044" w:type="dxa"/>
            <w:tcBorders>
              <w:top w:val="nil"/>
              <w:left w:val="nil"/>
              <w:bottom w:val="nil"/>
              <w:right w:val="nil"/>
            </w:tcBorders>
            <w:shd w:val="clear" w:color="000000" w:fill="F2F2F2"/>
            <w:noWrap/>
            <w:vAlign w:val="bottom"/>
            <w:hideMark/>
          </w:tcPr>
          <w:p w14:paraId="646C511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1.98** (0.61, 3.35)</w:t>
            </w:r>
          </w:p>
        </w:tc>
        <w:tc>
          <w:tcPr>
            <w:tcW w:w="2044" w:type="dxa"/>
            <w:tcBorders>
              <w:top w:val="nil"/>
              <w:left w:val="nil"/>
              <w:bottom w:val="nil"/>
              <w:right w:val="nil"/>
            </w:tcBorders>
            <w:shd w:val="clear" w:color="000000" w:fill="F2F2F2"/>
            <w:noWrap/>
            <w:vAlign w:val="bottom"/>
            <w:hideMark/>
          </w:tcPr>
          <w:p w14:paraId="2A6F477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-0.19* (-0.34, -0.03)</w:t>
            </w:r>
          </w:p>
        </w:tc>
        <w:tc>
          <w:tcPr>
            <w:tcW w:w="2044" w:type="dxa"/>
            <w:tcBorders>
              <w:top w:val="nil"/>
              <w:left w:val="nil"/>
              <w:bottom w:val="nil"/>
              <w:right w:val="nil"/>
            </w:tcBorders>
            <w:shd w:val="clear" w:color="000000" w:fill="F2F2F2"/>
            <w:noWrap/>
            <w:vAlign w:val="bottom"/>
            <w:hideMark/>
          </w:tcPr>
          <w:p w14:paraId="0A15092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-0.83 (-2.71, 1.05)</w:t>
            </w:r>
          </w:p>
        </w:tc>
        <w:tc>
          <w:tcPr>
            <w:tcW w:w="2044" w:type="dxa"/>
            <w:tcBorders>
              <w:top w:val="nil"/>
              <w:left w:val="nil"/>
              <w:bottom w:val="nil"/>
              <w:right w:val="nil"/>
            </w:tcBorders>
            <w:shd w:val="clear" w:color="000000" w:fill="F2F2F2"/>
            <w:noWrap/>
            <w:vAlign w:val="bottom"/>
            <w:hideMark/>
          </w:tcPr>
          <w:p w14:paraId="640CF91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5D9F7FBC" w14:textId="77777777" w:rsidTr="00C03FA1">
        <w:trPr>
          <w:trHeight w:val="267"/>
        </w:trPr>
        <w:tc>
          <w:tcPr>
            <w:tcW w:w="236" w:type="dxa"/>
            <w:tcBorders>
              <w:top w:val="nil"/>
              <w:left w:val="nil"/>
              <w:bottom w:val="nil"/>
              <w:right w:val="nil"/>
            </w:tcBorders>
            <w:shd w:val="clear" w:color="auto" w:fill="auto"/>
            <w:noWrap/>
            <w:vAlign w:val="bottom"/>
            <w:hideMark/>
          </w:tcPr>
          <w:p w14:paraId="5A908C62"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76666450"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512353A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1.612*** (1.589, 1.636)</w:t>
            </w:r>
          </w:p>
        </w:tc>
        <w:tc>
          <w:tcPr>
            <w:tcW w:w="2044" w:type="dxa"/>
            <w:tcBorders>
              <w:top w:val="nil"/>
              <w:left w:val="nil"/>
              <w:bottom w:val="nil"/>
              <w:right w:val="nil"/>
            </w:tcBorders>
            <w:shd w:val="clear" w:color="auto" w:fill="auto"/>
            <w:noWrap/>
            <w:vAlign w:val="bottom"/>
            <w:hideMark/>
          </w:tcPr>
          <w:p w14:paraId="534D6B5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44" w:type="dxa"/>
            <w:tcBorders>
              <w:top w:val="nil"/>
              <w:left w:val="nil"/>
              <w:bottom w:val="nil"/>
              <w:right w:val="nil"/>
            </w:tcBorders>
            <w:shd w:val="clear" w:color="auto" w:fill="auto"/>
            <w:noWrap/>
            <w:vAlign w:val="bottom"/>
            <w:hideMark/>
          </w:tcPr>
          <w:p w14:paraId="5C1AABA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0.004 (-0.035, 0.042)</w:t>
            </w:r>
          </w:p>
        </w:tc>
        <w:tc>
          <w:tcPr>
            <w:tcW w:w="2044" w:type="dxa"/>
            <w:tcBorders>
              <w:top w:val="nil"/>
              <w:left w:val="nil"/>
              <w:bottom w:val="nil"/>
              <w:right w:val="nil"/>
            </w:tcBorders>
            <w:shd w:val="clear" w:color="auto" w:fill="auto"/>
            <w:noWrap/>
            <w:vAlign w:val="bottom"/>
            <w:hideMark/>
          </w:tcPr>
          <w:p w14:paraId="0637625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(-0.005, 0.004)</w:t>
            </w:r>
          </w:p>
        </w:tc>
        <w:tc>
          <w:tcPr>
            <w:tcW w:w="2044" w:type="dxa"/>
            <w:tcBorders>
              <w:top w:val="nil"/>
              <w:left w:val="nil"/>
              <w:bottom w:val="nil"/>
              <w:right w:val="nil"/>
            </w:tcBorders>
            <w:shd w:val="clear" w:color="auto" w:fill="auto"/>
            <w:noWrap/>
            <w:vAlign w:val="bottom"/>
            <w:hideMark/>
          </w:tcPr>
          <w:p w14:paraId="15C33F3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-0.007 (-0.06, 0.046)</w:t>
            </w:r>
          </w:p>
        </w:tc>
        <w:tc>
          <w:tcPr>
            <w:tcW w:w="2044" w:type="dxa"/>
            <w:tcBorders>
              <w:top w:val="nil"/>
              <w:left w:val="nil"/>
              <w:bottom w:val="nil"/>
              <w:right w:val="nil"/>
            </w:tcBorders>
            <w:shd w:val="clear" w:color="auto" w:fill="auto"/>
            <w:noWrap/>
            <w:vAlign w:val="bottom"/>
            <w:hideMark/>
          </w:tcPr>
          <w:p w14:paraId="7E5D555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0843B55C"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4AF431D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Other mental and behavioural problems</w:t>
            </w:r>
          </w:p>
        </w:tc>
        <w:tc>
          <w:tcPr>
            <w:tcW w:w="2044" w:type="dxa"/>
            <w:tcBorders>
              <w:top w:val="nil"/>
              <w:left w:val="single" w:sz="4" w:space="0" w:color="auto"/>
              <w:bottom w:val="nil"/>
              <w:right w:val="nil"/>
            </w:tcBorders>
            <w:shd w:val="clear" w:color="auto" w:fill="auto"/>
            <w:noWrap/>
            <w:vAlign w:val="bottom"/>
            <w:hideMark/>
          </w:tcPr>
          <w:p w14:paraId="1528666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49ECABAC"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1782B8CF"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0CF89014"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36BC0F8E"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67AD8E94" w14:textId="77777777" w:rsidR="00C03FA1" w:rsidRPr="00A80562" w:rsidRDefault="00C03FA1" w:rsidP="00C03FA1">
            <w:pPr>
              <w:spacing w:after="0" w:line="240" w:lineRule="auto"/>
              <w:jc w:val="left"/>
              <w:rPr>
                <w:rFonts w:eastAsia="Times New Roman"/>
                <w:lang w:eastAsia="en-GB"/>
              </w:rPr>
            </w:pPr>
          </w:p>
        </w:tc>
      </w:tr>
      <w:tr w:rsidR="00C03FA1" w:rsidRPr="00A80562" w14:paraId="40CB8411" w14:textId="77777777" w:rsidTr="00C03FA1">
        <w:trPr>
          <w:trHeight w:val="267"/>
        </w:trPr>
        <w:tc>
          <w:tcPr>
            <w:tcW w:w="236" w:type="dxa"/>
            <w:tcBorders>
              <w:top w:val="nil"/>
              <w:left w:val="nil"/>
              <w:bottom w:val="nil"/>
              <w:right w:val="nil"/>
            </w:tcBorders>
            <w:shd w:val="clear" w:color="auto" w:fill="auto"/>
            <w:noWrap/>
            <w:vAlign w:val="bottom"/>
            <w:hideMark/>
          </w:tcPr>
          <w:p w14:paraId="28914BFC"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691CD9E9"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12E0B7E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77.75*** (77.02, 78.47)</w:t>
            </w:r>
          </w:p>
        </w:tc>
        <w:tc>
          <w:tcPr>
            <w:tcW w:w="2044" w:type="dxa"/>
            <w:tcBorders>
              <w:top w:val="nil"/>
              <w:left w:val="nil"/>
              <w:bottom w:val="nil"/>
              <w:right w:val="nil"/>
            </w:tcBorders>
            <w:shd w:val="clear" w:color="000000" w:fill="F2F2F2"/>
            <w:noWrap/>
            <w:vAlign w:val="bottom"/>
            <w:hideMark/>
          </w:tcPr>
          <w:p w14:paraId="51FC073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 (0.03, 0.04)</w:t>
            </w:r>
          </w:p>
        </w:tc>
        <w:tc>
          <w:tcPr>
            <w:tcW w:w="2044" w:type="dxa"/>
            <w:tcBorders>
              <w:top w:val="nil"/>
              <w:left w:val="nil"/>
              <w:bottom w:val="nil"/>
              <w:right w:val="nil"/>
            </w:tcBorders>
            <w:shd w:val="clear" w:color="000000" w:fill="F2F2F2"/>
            <w:noWrap/>
            <w:vAlign w:val="bottom"/>
            <w:hideMark/>
          </w:tcPr>
          <w:p w14:paraId="4CAD8AD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1.61** (0.4, 2.81)</w:t>
            </w:r>
          </w:p>
        </w:tc>
        <w:tc>
          <w:tcPr>
            <w:tcW w:w="2044" w:type="dxa"/>
            <w:tcBorders>
              <w:top w:val="nil"/>
              <w:left w:val="nil"/>
              <w:bottom w:val="nil"/>
              <w:right w:val="nil"/>
            </w:tcBorders>
            <w:shd w:val="clear" w:color="000000" w:fill="F2F2F2"/>
            <w:noWrap/>
            <w:vAlign w:val="bottom"/>
            <w:hideMark/>
          </w:tcPr>
          <w:p w14:paraId="38B44D5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-0.26*** (-0.4, -0.12)</w:t>
            </w:r>
          </w:p>
        </w:tc>
        <w:tc>
          <w:tcPr>
            <w:tcW w:w="2044" w:type="dxa"/>
            <w:tcBorders>
              <w:top w:val="nil"/>
              <w:left w:val="nil"/>
              <w:bottom w:val="nil"/>
              <w:right w:val="nil"/>
            </w:tcBorders>
            <w:shd w:val="clear" w:color="000000" w:fill="F2F2F2"/>
            <w:noWrap/>
            <w:vAlign w:val="bottom"/>
            <w:hideMark/>
          </w:tcPr>
          <w:p w14:paraId="780810B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-2.28** (-3.94, -0.62)</w:t>
            </w:r>
          </w:p>
        </w:tc>
        <w:tc>
          <w:tcPr>
            <w:tcW w:w="2044" w:type="dxa"/>
            <w:tcBorders>
              <w:top w:val="nil"/>
              <w:left w:val="nil"/>
              <w:bottom w:val="nil"/>
              <w:right w:val="nil"/>
            </w:tcBorders>
            <w:shd w:val="clear" w:color="000000" w:fill="F2F2F2"/>
            <w:noWrap/>
            <w:vAlign w:val="bottom"/>
            <w:hideMark/>
          </w:tcPr>
          <w:p w14:paraId="687738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5E38F485" w14:textId="77777777" w:rsidTr="00C03FA1">
        <w:trPr>
          <w:trHeight w:val="267"/>
        </w:trPr>
        <w:tc>
          <w:tcPr>
            <w:tcW w:w="236" w:type="dxa"/>
            <w:tcBorders>
              <w:top w:val="nil"/>
              <w:left w:val="nil"/>
              <w:bottom w:val="nil"/>
              <w:right w:val="nil"/>
            </w:tcBorders>
            <w:shd w:val="clear" w:color="auto" w:fill="auto"/>
            <w:noWrap/>
            <w:vAlign w:val="bottom"/>
            <w:hideMark/>
          </w:tcPr>
          <w:p w14:paraId="5A96475B"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523C5D54"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70D52F3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1.858*** (1.832, 1.885)</w:t>
            </w:r>
          </w:p>
        </w:tc>
        <w:tc>
          <w:tcPr>
            <w:tcW w:w="2044" w:type="dxa"/>
            <w:tcBorders>
              <w:top w:val="nil"/>
              <w:left w:val="nil"/>
              <w:bottom w:val="nil"/>
              <w:right w:val="nil"/>
            </w:tcBorders>
            <w:shd w:val="clear" w:color="auto" w:fill="auto"/>
            <w:noWrap/>
            <w:vAlign w:val="bottom"/>
            <w:hideMark/>
          </w:tcPr>
          <w:p w14:paraId="3D821B3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44" w:type="dxa"/>
            <w:tcBorders>
              <w:top w:val="nil"/>
              <w:left w:val="nil"/>
              <w:bottom w:val="nil"/>
              <w:right w:val="nil"/>
            </w:tcBorders>
            <w:shd w:val="clear" w:color="auto" w:fill="auto"/>
            <w:noWrap/>
            <w:vAlign w:val="bottom"/>
            <w:hideMark/>
          </w:tcPr>
          <w:p w14:paraId="4359ED2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-0.068** (-0.111, -0.024)</w:t>
            </w:r>
          </w:p>
        </w:tc>
        <w:tc>
          <w:tcPr>
            <w:tcW w:w="2044" w:type="dxa"/>
            <w:tcBorders>
              <w:top w:val="nil"/>
              <w:left w:val="nil"/>
              <w:bottom w:val="nil"/>
              <w:right w:val="nil"/>
            </w:tcBorders>
            <w:shd w:val="clear" w:color="auto" w:fill="auto"/>
            <w:noWrap/>
            <w:vAlign w:val="bottom"/>
            <w:hideMark/>
          </w:tcPr>
          <w:p w14:paraId="6BEC06D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0.006* (0.001, 0.011)</w:t>
            </w:r>
          </w:p>
        </w:tc>
        <w:tc>
          <w:tcPr>
            <w:tcW w:w="2044" w:type="dxa"/>
            <w:tcBorders>
              <w:top w:val="nil"/>
              <w:left w:val="nil"/>
              <w:bottom w:val="nil"/>
              <w:right w:val="nil"/>
            </w:tcBorders>
            <w:shd w:val="clear" w:color="auto" w:fill="auto"/>
            <w:noWrap/>
            <w:vAlign w:val="bottom"/>
            <w:hideMark/>
          </w:tcPr>
          <w:p w14:paraId="58D0961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0.029 (-0.032, 0.089)</w:t>
            </w:r>
          </w:p>
        </w:tc>
        <w:tc>
          <w:tcPr>
            <w:tcW w:w="2044" w:type="dxa"/>
            <w:tcBorders>
              <w:top w:val="nil"/>
              <w:left w:val="nil"/>
              <w:bottom w:val="nil"/>
              <w:right w:val="nil"/>
            </w:tcBorders>
            <w:shd w:val="clear" w:color="auto" w:fill="auto"/>
            <w:noWrap/>
            <w:vAlign w:val="bottom"/>
            <w:hideMark/>
          </w:tcPr>
          <w:p w14:paraId="5519EA2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4AB8899D"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4A09730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with relationships:</w:t>
            </w:r>
          </w:p>
        </w:tc>
        <w:tc>
          <w:tcPr>
            <w:tcW w:w="2044" w:type="dxa"/>
            <w:tcBorders>
              <w:top w:val="nil"/>
              <w:left w:val="single" w:sz="4" w:space="0" w:color="auto"/>
              <w:bottom w:val="nil"/>
              <w:right w:val="nil"/>
            </w:tcBorders>
            <w:shd w:val="clear" w:color="auto" w:fill="auto"/>
            <w:noWrap/>
            <w:vAlign w:val="bottom"/>
            <w:hideMark/>
          </w:tcPr>
          <w:p w14:paraId="678F804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073A0E3A"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59406B09"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1757194E"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0372816F"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5ADC265C" w14:textId="77777777" w:rsidR="00C03FA1" w:rsidRPr="00A80562" w:rsidRDefault="00C03FA1" w:rsidP="00C03FA1">
            <w:pPr>
              <w:spacing w:after="0" w:line="240" w:lineRule="auto"/>
              <w:jc w:val="left"/>
              <w:rPr>
                <w:rFonts w:eastAsia="Times New Roman"/>
                <w:lang w:eastAsia="en-GB"/>
              </w:rPr>
            </w:pPr>
          </w:p>
        </w:tc>
      </w:tr>
      <w:tr w:rsidR="00C03FA1" w:rsidRPr="00A80562" w14:paraId="36FF43CE" w14:textId="77777777" w:rsidTr="00C03FA1">
        <w:trPr>
          <w:trHeight w:val="267"/>
        </w:trPr>
        <w:tc>
          <w:tcPr>
            <w:tcW w:w="236" w:type="dxa"/>
            <w:tcBorders>
              <w:top w:val="nil"/>
              <w:left w:val="nil"/>
              <w:bottom w:val="nil"/>
              <w:right w:val="nil"/>
            </w:tcBorders>
            <w:shd w:val="clear" w:color="auto" w:fill="auto"/>
            <w:noWrap/>
            <w:vAlign w:val="bottom"/>
            <w:hideMark/>
          </w:tcPr>
          <w:p w14:paraId="24841EFC"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7BA55FF1"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125E9B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63*** (61.81, 64.2)</w:t>
            </w:r>
          </w:p>
        </w:tc>
        <w:tc>
          <w:tcPr>
            <w:tcW w:w="2044" w:type="dxa"/>
            <w:tcBorders>
              <w:top w:val="nil"/>
              <w:left w:val="nil"/>
              <w:bottom w:val="nil"/>
              <w:right w:val="nil"/>
            </w:tcBorders>
            <w:shd w:val="clear" w:color="000000" w:fill="F2F2F2"/>
            <w:noWrap/>
            <w:vAlign w:val="bottom"/>
            <w:hideMark/>
          </w:tcPr>
          <w:p w14:paraId="528C266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(-0.03, -0.01)</w:t>
            </w:r>
          </w:p>
        </w:tc>
        <w:tc>
          <w:tcPr>
            <w:tcW w:w="2044" w:type="dxa"/>
            <w:tcBorders>
              <w:top w:val="nil"/>
              <w:left w:val="nil"/>
              <w:bottom w:val="nil"/>
              <w:right w:val="nil"/>
            </w:tcBorders>
            <w:shd w:val="clear" w:color="000000" w:fill="F2F2F2"/>
            <w:noWrap/>
            <w:vAlign w:val="bottom"/>
            <w:hideMark/>
          </w:tcPr>
          <w:p w14:paraId="65A9D47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11*** (9.02, 12.98)</w:t>
            </w:r>
          </w:p>
        </w:tc>
        <w:tc>
          <w:tcPr>
            <w:tcW w:w="2044" w:type="dxa"/>
            <w:tcBorders>
              <w:top w:val="nil"/>
              <w:left w:val="nil"/>
              <w:bottom w:val="nil"/>
              <w:right w:val="nil"/>
            </w:tcBorders>
            <w:shd w:val="clear" w:color="000000" w:fill="F2F2F2"/>
            <w:noWrap/>
            <w:vAlign w:val="bottom"/>
            <w:hideMark/>
          </w:tcPr>
          <w:p w14:paraId="3F49E3E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-0.8*** (-1.03, -0.58)</w:t>
            </w:r>
          </w:p>
        </w:tc>
        <w:tc>
          <w:tcPr>
            <w:tcW w:w="2044" w:type="dxa"/>
            <w:tcBorders>
              <w:top w:val="nil"/>
              <w:left w:val="nil"/>
              <w:bottom w:val="nil"/>
              <w:right w:val="nil"/>
            </w:tcBorders>
            <w:shd w:val="clear" w:color="000000" w:fill="F2F2F2"/>
            <w:noWrap/>
            <w:vAlign w:val="bottom"/>
            <w:hideMark/>
          </w:tcPr>
          <w:p w14:paraId="10B7FD1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-1.04 (-3.77, 1.69)</w:t>
            </w:r>
          </w:p>
        </w:tc>
        <w:tc>
          <w:tcPr>
            <w:tcW w:w="2044" w:type="dxa"/>
            <w:tcBorders>
              <w:top w:val="nil"/>
              <w:left w:val="nil"/>
              <w:bottom w:val="nil"/>
              <w:right w:val="nil"/>
            </w:tcBorders>
            <w:shd w:val="clear" w:color="000000" w:fill="F2F2F2"/>
            <w:noWrap/>
            <w:vAlign w:val="bottom"/>
            <w:hideMark/>
          </w:tcPr>
          <w:p w14:paraId="7D761B3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7A45EBE0" w14:textId="77777777" w:rsidTr="00C03FA1">
        <w:trPr>
          <w:trHeight w:val="267"/>
        </w:trPr>
        <w:tc>
          <w:tcPr>
            <w:tcW w:w="236" w:type="dxa"/>
            <w:tcBorders>
              <w:top w:val="nil"/>
              <w:left w:val="nil"/>
              <w:bottom w:val="nil"/>
              <w:right w:val="nil"/>
            </w:tcBorders>
            <w:shd w:val="clear" w:color="auto" w:fill="auto"/>
            <w:noWrap/>
            <w:vAlign w:val="bottom"/>
            <w:hideMark/>
          </w:tcPr>
          <w:p w14:paraId="79D91777"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18662413"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2182997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1.29*** (1.262, 1.319)</w:t>
            </w:r>
          </w:p>
        </w:tc>
        <w:tc>
          <w:tcPr>
            <w:tcW w:w="2044" w:type="dxa"/>
            <w:tcBorders>
              <w:top w:val="nil"/>
              <w:left w:val="nil"/>
              <w:bottom w:val="nil"/>
              <w:right w:val="nil"/>
            </w:tcBorders>
            <w:shd w:val="clear" w:color="auto" w:fill="auto"/>
            <w:noWrap/>
            <w:vAlign w:val="bottom"/>
            <w:hideMark/>
          </w:tcPr>
          <w:p w14:paraId="2A4706C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44" w:type="dxa"/>
            <w:tcBorders>
              <w:top w:val="nil"/>
              <w:left w:val="nil"/>
              <w:bottom w:val="nil"/>
              <w:right w:val="nil"/>
            </w:tcBorders>
            <w:shd w:val="clear" w:color="auto" w:fill="auto"/>
            <w:noWrap/>
            <w:vAlign w:val="bottom"/>
            <w:hideMark/>
          </w:tcPr>
          <w:p w14:paraId="01DD081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0.145*** (0.098, 0.193)</w:t>
            </w:r>
          </w:p>
        </w:tc>
        <w:tc>
          <w:tcPr>
            <w:tcW w:w="2044" w:type="dxa"/>
            <w:tcBorders>
              <w:top w:val="nil"/>
              <w:left w:val="nil"/>
              <w:bottom w:val="nil"/>
              <w:right w:val="nil"/>
            </w:tcBorders>
            <w:shd w:val="clear" w:color="auto" w:fill="auto"/>
            <w:noWrap/>
            <w:vAlign w:val="bottom"/>
            <w:hideMark/>
          </w:tcPr>
          <w:p w14:paraId="178C52D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-0.014*** (-0.019, -0.008)</w:t>
            </w:r>
          </w:p>
        </w:tc>
        <w:tc>
          <w:tcPr>
            <w:tcW w:w="2044" w:type="dxa"/>
            <w:tcBorders>
              <w:top w:val="nil"/>
              <w:left w:val="nil"/>
              <w:bottom w:val="nil"/>
              <w:right w:val="nil"/>
            </w:tcBorders>
            <w:shd w:val="clear" w:color="auto" w:fill="auto"/>
            <w:noWrap/>
            <w:vAlign w:val="bottom"/>
            <w:hideMark/>
          </w:tcPr>
          <w:p w14:paraId="7D52DEF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-0.062 (-0.127, 0.003)</w:t>
            </w:r>
          </w:p>
        </w:tc>
        <w:tc>
          <w:tcPr>
            <w:tcW w:w="2044" w:type="dxa"/>
            <w:tcBorders>
              <w:top w:val="nil"/>
              <w:left w:val="nil"/>
              <w:bottom w:val="nil"/>
              <w:right w:val="nil"/>
            </w:tcBorders>
            <w:shd w:val="clear" w:color="auto" w:fill="auto"/>
            <w:noWrap/>
            <w:vAlign w:val="bottom"/>
            <w:hideMark/>
          </w:tcPr>
          <w:p w14:paraId="6F3FB66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7F33A82A"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6776FBD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with activities of daily living</w:t>
            </w:r>
          </w:p>
        </w:tc>
        <w:tc>
          <w:tcPr>
            <w:tcW w:w="2044" w:type="dxa"/>
            <w:tcBorders>
              <w:top w:val="nil"/>
              <w:left w:val="single" w:sz="4" w:space="0" w:color="auto"/>
              <w:bottom w:val="nil"/>
              <w:right w:val="nil"/>
            </w:tcBorders>
            <w:shd w:val="clear" w:color="auto" w:fill="auto"/>
            <w:noWrap/>
            <w:vAlign w:val="bottom"/>
            <w:hideMark/>
          </w:tcPr>
          <w:p w14:paraId="5AA75C1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6185A08C"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5E6CF6CB"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1544C515"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0A49695C"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3D5BA0C6" w14:textId="77777777" w:rsidR="00C03FA1" w:rsidRPr="00A80562" w:rsidRDefault="00C03FA1" w:rsidP="00C03FA1">
            <w:pPr>
              <w:spacing w:after="0" w:line="240" w:lineRule="auto"/>
              <w:jc w:val="left"/>
              <w:rPr>
                <w:rFonts w:eastAsia="Times New Roman"/>
                <w:lang w:eastAsia="en-GB"/>
              </w:rPr>
            </w:pPr>
          </w:p>
        </w:tc>
      </w:tr>
      <w:tr w:rsidR="00C03FA1" w:rsidRPr="00A80562" w14:paraId="5EE995D1" w14:textId="77777777" w:rsidTr="00C03FA1">
        <w:trPr>
          <w:trHeight w:val="267"/>
        </w:trPr>
        <w:tc>
          <w:tcPr>
            <w:tcW w:w="236" w:type="dxa"/>
            <w:tcBorders>
              <w:top w:val="nil"/>
              <w:left w:val="nil"/>
              <w:bottom w:val="nil"/>
              <w:right w:val="nil"/>
            </w:tcBorders>
            <w:shd w:val="clear" w:color="auto" w:fill="auto"/>
            <w:noWrap/>
            <w:vAlign w:val="bottom"/>
            <w:hideMark/>
          </w:tcPr>
          <w:p w14:paraId="7BC74419"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268C6234"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72A026C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61.36*** (60.42, 62.31)</w:t>
            </w:r>
          </w:p>
        </w:tc>
        <w:tc>
          <w:tcPr>
            <w:tcW w:w="2044" w:type="dxa"/>
            <w:tcBorders>
              <w:top w:val="nil"/>
              <w:left w:val="nil"/>
              <w:bottom w:val="nil"/>
              <w:right w:val="nil"/>
            </w:tcBorders>
            <w:shd w:val="clear" w:color="000000" w:fill="F2F2F2"/>
            <w:noWrap/>
            <w:vAlign w:val="bottom"/>
            <w:hideMark/>
          </w:tcPr>
          <w:p w14:paraId="04FB86F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-0.05*** (-0.06, -0.05)</w:t>
            </w:r>
          </w:p>
        </w:tc>
        <w:tc>
          <w:tcPr>
            <w:tcW w:w="2044" w:type="dxa"/>
            <w:tcBorders>
              <w:top w:val="nil"/>
              <w:left w:val="nil"/>
              <w:bottom w:val="nil"/>
              <w:right w:val="nil"/>
            </w:tcBorders>
            <w:shd w:val="clear" w:color="000000" w:fill="F2F2F2"/>
            <w:noWrap/>
            <w:vAlign w:val="bottom"/>
            <w:hideMark/>
          </w:tcPr>
          <w:p w14:paraId="40767FD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4.37*** (2.8, 5.94)</w:t>
            </w:r>
          </w:p>
        </w:tc>
        <w:tc>
          <w:tcPr>
            <w:tcW w:w="2044" w:type="dxa"/>
            <w:tcBorders>
              <w:top w:val="nil"/>
              <w:left w:val="nil"/>
              <w:bottom w:val="nil"/>
              <w:right w:val="nil"/>
            </w:tcBorders>
            <w:shd w:val="clear" w:color="000000" w:fill="F2F2F2"/>
            <w:noWrap/>
            <w:vAlign w:val="bottom"/>
            <w:hideMark/>
          </w:tcPr>
          <w:p w14:paraId="1D130C1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-0.09 (-0.27, 0.09)</w:t>
            </w:r>
          </w:p>
        </w:tc>
        <w:tc>
          <w:tcPr>
            <w:tcW w:w="2044" w:type="dxa"/>
            <w:tcBorders>
              <w:top w:val="nil"/>
              <w:left w:val="nil"/>
              <w:bottom w:val="nil"/>
              <w:right w:val="nil"/>
            </w:tcBorders>
            <w:shd w:val="clear" w:color="000000" w:fill="F2F2F2"/>
            <w:noWrap/>
            <w:vAlign w:val="bottom"/>
            <w:hideMark/>
          </w:tcPr>
          <w:p w14:paraId="7EC4601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3.01** (0.86, 5.17)</w:t>
            </w:r>
          </w:p>
        </w:tc>
        <w:tc>
          <w:tcPr>
            <w:tcW w:w="2044" w:type="dxa"/>
            <w:tcBorders>
              <w:top w:val="nil"/>
              <w:left w:val="nil"/>
              <w:bottom w:val="nil"/>
              <w:right w:val="nil"/>
            </w:tcBorders>
            <w:shd w:val="clear" w:color="000000" w:fill="F2F2F2"/>
            <w:noWrap/>
            <w:vAlign w:val="bottom"/>
            <w:hideMark/>
          </w:tcPr>
          <w:p w14:paraId="4EA65A7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360E9086" w14:textId="77777777" w:rsidTr="00C03FA1">
        <w:trPr>
          <w:trHeight w:val="267"/>
        </w:trPr>
        <w:tc>
          <w:tcPr>
            <w:tcW w:w="236" w:type="dxa"/>
            <w:tcBorders>
              <w:top w:val="nil"/>
              <w:left w:val="nil"/>
              <w:bottom w:val="nil"/>
              <w:right w:val="nil"/>
            </w:tcBorders>
            <w:shd w:val="clear" w:color="auto" w:fill="auto"/>
            <w:noWrap/>
            <w:vAlign w:val="bottom"/>
            <w:hideMark/>
          </w:tcPr>
          <w:p w14:paraId="4225662A"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2FCD4109"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7044BFB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1.212*** (1.19, 1.234)</w:t>
            </w:r>
          </w:p>
        </w:tc>
        <w:tc>
          <w:tcPr>
            <w:tcW w:w="2044" w:type="dxa"/>
            <w:tcBorders>
              <w:top w:val="nil"/>
              <w:left w:val="nil"/>
              <w:bottom w:val="nil"/>
              <w:right w:val="nil"/>
            </w:tcBorders>
            <w:shd w:val="clear" w:color="auto" w:fill="auto"/>
            <w:noWrap/>
            <w:vAlign w:val="bottom"/>
            <w:hideMark/>
          </w:tcPr>
          <w:p w14:paraId="187B102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44" w:type="dxa"/>
            <w:tcBorders>
              <w:top w:val="nil"/>
              <w:left w:val="nil"/>
              <w:bottom w:val="nil"/>
              <w:right w:val="nil"/>
            </w:tcBorders>
            <w:shd w:val="clear" w:color="auto" w:fill="auto"/>
            <w:noWrap/>
            <w:vAlign w:val="bottom"/>
            <w:hideMark/>
          </w:tcPr>
          <w:p w14:paraId="442808E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-0.026 (-0.063, 0.01)</w:t>
            </w:r>
          </w:p>
        </w:tc>
        <w:tc>
          <w:tcPr>
            <w:tcW w:w="2044" w:type="dxa"/>
            <w:tcBorders>
              <w:top w:val="nil"/>
              <w:left w:val="nil"/>
              <w:bottom w:val="nil"/>
              <w:right w:val="nil"/>
            </w:tcBorders>
            <w:shd w:val="clear" w:color="auto" w:fill="auto"/>
            <w:noWrap/>
            <w:vAlign w:val="bottom"/>
            <w:hideMark/>
          </w:tcPr>
          <w:p w14:paraId="4EE96F9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0.008*** (0.004, 0.012)</w:t>
            </w:r>
          </w:p>
        </w:tc>
        <w:tc>
          <w:tcPr>
            <w:tcW w:w="2044" w:type="dxa"/>
            <w:tcBorders>
              <w:top w:val="nil"/>
              <w:left w:val="nil"/>
              <w:bottom w:val="nil"/>
              <w:right w:val="nil"/>
            </w:tcBorders>
            <w:shd w:val="clear" w:color="auto" w:fill="auto"/>
            <w:noWrap/>
            <w:vAlign w:val="bottom"/>
            <w:hideMark/>
          </w:tcPr>
          <w:p w14:paraId="6C6BA5A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0.096*** (0.046, 0.146)</w:t>
            </w:r>
          </w:p>
        </w:tc>
        <w:tc>
          <w:tcPr>
            <w:tcW w:w="2044" w:type="dxa"/>
            <w:tcBorders>
              <w:top w:val="nil"/>
              <w:left w:val="nil"/>
              <w:bottom w:val="nil"/>
              <w:right w:val="nil"/>
            </w:tcBorders>
            <w:shd w:val="clear" w:color="auto" w:fill="auto"/>
            <w:noWrap/>
            <w:vAlign w:val="bottom"/>
            <w:hideMark/>
          </w:tcPr>
          <w:p w14:paraId="78BE429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372226D6"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67CB388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with living conditions</w:t>
            </w:r>
          </w:p>
        </w:tc>
        <w:tc>
          <w:tcPr>
            <w:tcW w:w="2044" w:type="dxa"/>
            <w:tcBorders>
              <w:top w:val="nil"/>
              <w:left w:val="single" w:sz="4" w:space="0" w:color="auto"/>
              <w:bottom w:val="nil"/>
              <w:right w:val="nil"/>
            </w:tcBorders>
            <w:shd w:val="clear" w:color="auto" w:fill="auto"/>
            <w:noWrap/>
            <w:vAlign w:val="bottom"/>
            <w:hideMark/>
          </w:tcPr>
          <w:p w14:paraId="7A44505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29CABD0C"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61C34C0D"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1C496EA2"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48260382"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75617714" w14:textId="77777777" w:rsidR="00C03FA1" w:rsidRPr="00A80562" w:rsidRDefault="00C03FA1" w:rsidP="00C03FA1">
            <w:pPr>
              <w:spacing w:after="0" w:line="240" w:lineRule="auto"/>
              <w:jc w:val="left"/>
              <w:rPr>
                <w:rFonts w:eastAsia="Times New Roman"/>
                <w:lang w:eastAsia="en-GB"/>
              </w:rPr>
            </w:pPr>
          </w:p>
        </w:tc>
      </w:tr>
      <w:tr w:rsidR="00C03FA1" w:rsidRPr="00A80562" w14:paraId="27F28411" w14:textId="77777777" w:rsidTr="00C03FA1">
        <w:trPr>
          <w:trHeight w:val="267"/>
        </w:trPr>
        <w:tc>
          <w:tcPr>
            <w:tcW w:w="236" w:type="dxa"/>
            <w:tcBorders>
              <w:top w:val="nil"/>
              <w:left w:val="nil"/>
              <w:bottom w:val="nil"/>
              <w:right w:val="nil"/>
            </w:tcBorders>
            <w:shd w:val="clear" w:color="auto" w:fill="auto"/>
            <w:noWrap/>
            <w:vAlign w:val="bottom"/>
            <w:hideMark/>
          </w:tcPr>
          <w:p w14:paraId="3438C13A"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00598D9D"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069A74B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30.08*** (29.03, 31.13)</w:t>
            </w:r>
          </w:p>
        </w:tc>
        <w:tc>
          <w:tcPr>
            <w:tcW w:w="2044" w:type="dxa"/>
            <w:tcBorders>
              <w:top w:val="nil"/>
              <w:left w:val="nil"/>
              <w:bottom w:val="nil"/>
              <w:right w:val="nil"/>
            </w:tcBorders>
            <w:shd w:val="clear" w:color="000000" w:fill="F2F2F2"/>
            <w:noWrap/>
            <w:vAlign w:val="bottom"/>
            <w:hideMark/>
          </w:tcPr>
          <w:p w14:paraId="6E7C383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(-0.03, -0.01)</w:t>
            </w:r>
          </w:p>
        </w:tc>
        <w:tc>
          <w:tcPr>
            <w:tcW w:w="2044" w:type="dxa"/>
            <w:tcBorders>
              <w:top w:val="nil"/>
              <w:left w:val="nil"/>
              <w:bottom w:val="nil"/>
              <w:right w:val="nil"/>
            </w:tcBorders>
            <w:shd w:val="clear" w:color="000000" w:fill="F2F2F2"/>
            <w:noWrap/>
            <w:vAlign w:val="bottom"/>
            <w:hideMark/>
          </w:tcPr>
          <w:p w14:paraId="2E84A25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6.19*** (4.46, 7.93)</w:t>
            </w:r>
          </w:p>
        </w:tc>
        <w:tc>
          <w:tcPr>
            <w:tcW w:w="2044" w:type="dxa"/>
            <w:tcBorders>
              <w:top w:val="nil"/>
              <w:left w:val="nil"/>
              <w:bottom w:val="nil"/>
              <w:right w:val="nil"/>
            </w:tcBorders>
            <w:shd w:val="clear" w:color="000000" w:fill="F2F2F2"/>
            <w:noWrap/>
            <w:vAlign w:val="bottom"/>
            <w:hideMark/>
          </w:tcPr>
          <w:p w14:paraId="315535A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-0.45*** (-0.65, -0.25)</w:t>
            </w:r>
          </w:p>
        </w:tc>
        <w:tc>
          <w:tcPr>
            <w:tcW w:w="2044" w:type="dxa"/>
            <w:tcBorders>
              <w:top w:val="nil"/>
              <w:left w:val="nil"/>
              <w:bottom w:val="nil"/>
              <w:right w:val="nil"/>
            </w:tcBorders>
            <w:shd w:val="clear" w:color="000000" w:fill="F2F2F2"/>
            <w:noWrap/>
            <w:vAlign w:val="bottom"/>
            <w:hideMark/>
          </w:tcPr>
          <w:p w14:paraId="2CF740A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-0.54 (-2.92, 1.85)</w:t>
            </w:r>
          </w:p>
        </w:tc>
        <w:tc>
          <w:tcPr>
            <w:tcW w:w="2044" w:type="dxa"/>
            <w:tcBorders>
              <w:top w:val="nil"/>
              <w:left w:val="nil"/>
              <w:bottom w:val="nil"/>
              <w:right w:val="nil"/>
            </w:tcBorders>
            <w:shd w:val="clear" w:color="000000" w:fill="F2F2F2"/>
            <w:noWrap/>
            <w:vAlign w:val="bottom"/>
            <w:hideMark/>
          </w:tcPr>
          <w:p w14:paraId="2477EE0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5EC3B004" w14:textId="77777777" w:rsidTr="00C03FA1">
        <w:trPr>
          <w:trHeight w:val="267"/>
        </w:trPr>
        <w:tc>
          <w:tcPr>
            <w:tcW w:w="236" w:type="dxa"/>
            <w:tcBorders>
              <w:top w:val="nil"/>
              <w:left w:val="nil"/>
              <w:bottom w:val="nil"/>
              <w:right w:val="nil"/>
            </w:tcBorders>
            <w:shd w:val="clear" w:color="auto" w:fill="auto"/>
            <w:noWrap/>
            <w:vAlign w:val="bottom"/>
            <w:hideMark/>
          </w:tcPr>
          <w:p w14:paraId="1DC142A4"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1A26457A"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4944202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0.555*** (0.534, 0.575)</w:t>
            </w:r>
          </w:p>
        </w:tc>
        <w:tc>
          <w:tcPr>
            <w:tcW w:w="2044" w:type="dxa"/>
            <w:tcBorders>
              <w:top w:val="nil"/>
              <w:left w:val="nil"/>
              <w:bottom w:val="nil"/>
              <w:right w:val="nil"/>
            </w:tcBorders>
            <w:shd w:val="clear" w:color="auto" w:fill="auto"/>
            <w:noWrap/>
            <w:vAlign w:val="bottom"/>
            <w:hideMark/>
          </w:tcPr>
          <w:p w14:paraId="55915E6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(-0.001, 0)</w:t>
            </w:r>
          </w:p>
        </w:tc>
        <w:tc>
          <w:tcPr>
            <w:tcW w:w="2044" w:type="dxa"/>
            <w:tcBorders>
              <w:top w:val="nil"/>
              <w:left w:val="nil"/>
              <w:bottom w:val="nil"/>
              <w:right w:val="nil"/>
            </w:tcBorders>
            <w:shd w:val="clear" w:color="auto" w:fill="auto"/>
            <w:noWrap/>
            <w:vAlign w:val="bottom"/>
            <w:hideMark/>
          </w:tcPr>
          <w:p w14:paraId="44DFECD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0.071*** (0.038, 0.105)</w:t>
            </w:r>
          </w:p>
        </w:tc>
        <w:tc>
          <w:tcPr>
            <w:tcW w:w="2044" w:type="dxa"/>
            <w:tcBorders>
              <w:top w:val="nil"/>
              <w:left w:val="nil"/>
              <w:bottom w:val="nil"/>
              <w:right w:val="nil"/>
            </w:tcBorders>
            <w:shd w:val="clear" w:color="auto" w:fill="auto"/>
            <w:noWrap/>
            <w:vAlign w:val="bottom"/>
            <w:hideMark/>
          </w:tcPr>
          <w:p w14:paraId="5D8DAFE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-0.005** (-0.009, -0.002)</w:t>
            </w:r>
          </w:p>
        </w:tc>
        <w:tc>
          <w:tcPr>
            <w:tcW w:w="2044" w:type="dxa"/>
            <w:tcBorders>
              <w:top w:val="nil"/>
              <w:left w:val="nil"/>
              <w:bottom w:val="nil"/>
              <w:right w:val="nil"/>
            </w:tcBorders>
            <w:shd w:val="clear" w:color="auto" w:fill="auto"/>
            <w:noWrap/>
            <w:vAlign w:val="bottom"/>
            <w:hideMark/>
          </w:tcPr>
          <w:p w14:paraId="1FA1E27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(-0.056, 0.037)</w:t>
            </w:r>
          </w:p>
        </w:tc>
        <w:tc>
          <w:tcPr>
            <w:tcW w:w="2044" w:type="dxa"/>
            <w:tcBorders>
              <w:top w:val="nil"/>
              <w:left w:val="nil"/>
              <w:bottom w:val="nil"/>
              <w:right w:val="nil"/>
            </w:tcBorders>
            <w:shd w:val="clear" w:color="auto" w:fill="auto"/>
            <w:noWrap/>
            <w:vAlign w:val="bottom"/>
            <w:hideMark/>
          </w:tcPr>
          <w:p w14:paraId="20790BB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3223A0E3" w14:textId="77777777" w:rsidTr="00C03FA1">
        <w:trPr>
          <w:trHeight w:val="267"/>
        </w:trPr>
        <w:tc>
          <w:tcPr>
            <w:tcW w:w="3119" w:type="dxa"/>
            <w:gridSpan w:val="2"/>
            <w:tcBorders>
              <w:top w:val="nil"/>
              <w:left w:val="nil"/>
              <w:bottom w:val="nil"/>
              <w:right w:val="nil"/>
            </w:tcBorders>
            <w:shd w:val="clear" w:color="auto" w:fill="auto"/>
            <w:noWrap/>
            <w:vAlign w:val="bottom"/>
            <w:hideMark/>
          </w:tcPr>
          <w:p w14:paraId="1444744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with occupation and activities</w:t>
            </w:r>
          </w:p>
        </w:tc>
        <w:tc>
          <w:tcPr>
            <w:tcW w:w="2044" w:type="dxa"/>
            <w:tcBorders>
              <w:top w:val="nil"/>
              <w:left w:val="single" w:sz="4" w:space="0" w:color="auto"/>
              <w:bottom w:val="nil"/>
              <w:right w:val="nil"/>
            </w:tcBorders>
            <w:shd w:val="clear" w:color="auto" w:fill="auto"/>
            <w:noWrap/>
            <w:vAlign w:val="bottom"/>
            <w:hideMark/>
          </w:tcPr>
          <w:p w14:paraId="212E889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nil"/>
              <w:right w:val="nil"/>
            </w:tcBorders>
            <w:shd w:val="clear" w:color="auto" w:fill="auto"/>
            <w:noWrap/>
            <w:vAlign w:val="bottom"/>
            <w:hideMark/>
          </w:tcPr>
          <w:p w14:paraId="1139C6F2" w14:textId="77777777" w:rsidR="00C03FA1" w:rsidRPr="00A80562" w:rsidRDefault="00C03FA1" w:rsidP="00C03FA1">
            <w:pPr>
              <w:spacing w:after="0" w:line="240" w:lineRule="auto"/>
              <w:jc w:val="left"/>
              <w:rPr>
                <w:rFonts w:eastAsia="Times New Roman"/>
                <w:sz w:val="16"/>
                <w:szCs w:val="16"/>
                <w:lang w:eastAsia="en-GB"/>
              </w:rPr>
            </w:pPr>
          </w:p>
        </w:tc>
        <w:tc>
          <w:tcPr>
            <w:tcW w:w="2044" w:type="dxa"/>
            <w:tcBorders>
              <w:top w:val="nil"/>
              <w:left w:val="nil"/>
              <w:bottom w:val="nil"/>
              <w:right w:val="nil"/>
            </w:tcBorders>
            <w:shd w:val="clear" w:color="auto" w:fill="auto"/>
            <w:noWrap/>
            <w:vAlign w:val="bottom"/>
            <w:hideMark/>
          </w:tcPr>
          <w:p w14:paraId="7091E217"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279B84B1"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143E495A" w14:textId="77777777" w:rsidR="00C03FA1" w:rsidRPr="00A80562" w:rsidRDefault="00C03FA1" w:rsidP="00C03FA1">
            <w:pPr>
              <w:spacing w:after="0" w:line="240" w:lineRule="auto"/>
              <w:jc w:val="left"/>
              <w:rPr>
                <w:rFonts w:eastAsia="Times New Roman"/>
                <w:lang w:eastAsia="en-GB"/>
              </w:rPr>
            </w:pPr>
          </w:p>
        </w:tc>
        <w:tc>
          <w:tcPr>
            <w:tcW w:w="2044" w:type="dxa"/>
            <w:tcBorders>
              <w:top w:val="nil"/>
              <w:left w:val="nil"/>
              <w:bottom w:val="nil"/>
              <w:right w:val="nil"/>
            </w:tcBorders>
            <w:shd w:val="clear" w:color="auto" w:fill="auto"/>
            <w:noWrap/>
            <w:vAlign w:val="bottom"/>
            <w:hideMark/>
          </w:tcPr>
          <w:p w14:paraId="3490CD60" w14:textId="77777777" w:rsidR="00C03FA1" w:rsidRPr="00A80562" w:rsidRDefault="00C03FA1" w:rsidP="00C03FA1">
            <w:pPr>
              <w:spacing w:after="0" w:line="240" w:lineRule="auto"/>
              <w:jc w:val="left"/>
              <w:rPr>
                <w:rFonts w:eastAsia="Times New Roman"/>
                <w:lang w:eastAsia="en-GB"/>
              </w:rPr>
            </w:pPr>
          </w:p>
        </w:tc>
      </w:tr>
      <w:tr w:rsidR="00C03FA1" w:rsidRPr="00A80562" w14:paraId="5E995840" w14:textId="77777777" w:rsidTr="00C03FA1">
        <w:trPr>
          <w:trHeight w:val="267"/>
        </w:trPr>
        <w:tc>
          <w:tcPr>
            <w:tcW w:w="236" w:type="dxa"/>
            <w:tcBorders>
              <w:top w:val="nil"/>
              <w:left w:val="nil"/>
              <w:bottom w:val="nil"/>
              <w:right w:val="nil"/>
            </w:tcBorders>
            <w:shd w:val="clear" w:color="auto" w:fill="auto"/>
            <w:noWrap/>
            <w:vAlign w:val="bottom"/>
            <w:hideMark/>
          </w:tcPr>
          <w:p w14:paraId="1BDFE31C" w14:textId="77777777" w:rsidR="00C03FA1" w:rsidRPr="00A80562" w:rsidRDefault="00C03FA1" w:rsidP="00C03FA1">
            <w:pPr>
              <w:spacing w:after="0" w:line="240" w:lineRule="auto"/>
              <w:jc w:val="left"/>
              <w:rPr>
                <w:rFonts w:eastAsia="Times New Roman"/>
                <w:lang w:eastAsia="en-GB"/>
              </w:rPr>
            </w:pPr>
          </w:p>
        </w:tc>
        <w:tc>
          <w:tcPr>
            <w:tcW w:w="2883" w:type="dxa"/>
            <w:tcBorders>
              <w:top w:val="nil"/>
              <w:left w:val="nil"/>
              <w:bottom w:val="nil"/>
              <w:right w:val="nil"/>
            </w:tcBorders>
            <w:shd w:val="clear" w:color="000000" w:fill="F2F2F2"/>
            <w:noWrap/>
            <w:vAlign w:val="bottom"/>
            <w:hideMark/>
          </w:tcPr>
          <w:p w14:paraId="771856F3"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44" w:type="dxa"/>
            <w:tcBorders>
              <w:top w:val="nil"/>
              <w:left w:val="single" w:sz="4" w:space="0" w:color="auto"/>
              <w:bottom w:val="nil"/>
              <w:right w:val="nil"/>
            </w:tcBorders>
            <w:shd w:val="clear" w:color="000000" w:fill="F2F2F2"/>
            <w:noWrap/>
            <w:vAlign w:val="bottom"/>
            <w:hideMark/>
          </w:tcPr>
          <w:p w14:paraId="7BCCA7C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57.88*** (56.89, 58.87)</w:t>
            </w:r>
          </w:p>
        </w:tc>
        <w:tc>
          <w:tcPr>
            <w:tcW w:w="2044" w:type="dxa"/>
            <w:tcBorders>
              <w:top w:val="nil"/>
              <w:left w:val="nil"/>
              <w:bottom w:val="nil"/>
              <w:right w:val="nil"/>
            </w:tcBorders>
            <w:shd w:val="clear" w:color="000000" w:fill="F2F2F2"/>
            <w:noWrap/>
            <w:vAlign w:val="bottom"/>
            <w:hideMark/>
          </w:tcPr>
          <w:p w14:paraId="754E69A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-0.04*** (-0.05, -0.04)</w:t>
            </w:r>
          </w:p>
        </w:tc>
        <w:tc>
          <w:tcPr>
            <w:tcW w:w="2044" w:type="dxa"/>
            <w:tcBorders>
              <w:top w:val="nil"/>
              <w:left w:val="nil"/>
              <w:bottom w:val="nil"/>
              <w:right w:val="nil"/>
            </w:tcBorders>
            <w:shd w:val="clear" w:color="000000" w:fill="F2F2F2"/>
            <w:noWrap/>
            <w:vAlign w:val="bottom"/>
            <w:hideMark/>
          </w:tcPr>
          <w:p w14:paraId="5C38AB3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4.45*** (2.81, 6.08)</w:t>
            </w:r>
          </w:p>
        </w:tc>
        <w:tc>
          <w:tcPr>
            <w:tcW w:w="2044" w:type="dxa"/>
            <w:tcBorders>
              <w:top w:val="nil"/>
              <w:left w:val="nil"/>
              <w:bottom w:val="nil"/>
              <w:right w:val="nil"/>
            </w:tcBorders>
            <w:shd w:val="clear" w:color="000000" w:fill="F2F2F2"/>
            <w:noWrap/>
            <w:vAlign w:val="bottom"/>
            <w:hideMark/>
          </w:tcPr>
          <w:p w14:paraId="050E7FE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(-0.21, 0.17)</w:t>
            </w:r>
          </w:p>
        </w:tc>
        <w:tc>
          <w:tcPr>
            <w:tcW w:w="2044" w:type="dxa"/>
            <w:tcBorders>
              <w:top w:val="nil"/>
              <w:left w:val="nil"/>
              <w:bottom w:val="nil"/>
              <w:right w:val="nil"/>
            </w:tcBorders>
            <w:shd w:val="clear" w:color="000000" w:fill="F2F2F2"/>
            <w:noWrap/>
            <w:vAlign w:val="bottom"/>
            <w:hideMark/>
          </w:tcPr>
          <w:p w14:paraId="184DAFF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4.18*** (1.93, 6.44)</w:t>
            </w:r>
          </w:p>
        </w:tc>
        <w:tc>
          <w:tcPr>
            <w:tcW w:w="2044" w:type="dxa"/>
            <w:tcBorders>
              <w:top w:val="nil"/>
              <w:left w:val="nil"/>
              <w:bottom w:val="nil"/>
              <w:right w:val="nil"/>
            </w:tcBorders>
            <w:shd w:val="clear" w:color="000000" w:fill="F2F2F2"/>
            <w:noWrap/>
            <w:vAlign w:val="bottom"/>
            <w:hideMark/>
          </w:tcPr>
          <w:p w14:paraId="7764518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43BC5F15" w14:textId="77777777" w:rsidTr="00C03FA1">
        <w:trPr>
          <w:trHeight w:val="267"/>
        </w:trPr>
        <w:tc>
          <w:tcPr>
            <w:tcW w:w="236" w:type="dxa"/>
            <w:tcBorders>
              <w:top w:val="nil"/>
              <w:left w:val="nil"/>
              <w:bottom w:val="nil"/>
              <w:right w:val="nil"/>
            </w:tcBorders>
            <w:shd w:val="clear" w:color="auto" w:fill="auto"/>
            <w:noWrap/>
            <w:vAlign w:val="bottom"/>
            <w:hideMark/>
          </w:tcPr>
          <w:p w14:paraId="3BDB7AC6"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6E01CA81"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44" w:type="dxa"/>
            <w:tcBorders>
              <w:top w:val="nil"/>
              <w:left w:val="single" w:sz="4" w:space="0" w:color="auto"/>
              <w:bottom w:val="nil"/>
              <w:right w:val="nil"/>
            </w:tcBorders>
            <w:shd w:val="clear" w:color="auto" w:fill="auto"/>
            <w:noWrap/>
            <w:vAlign w:val="bottom"/>
            <w:hideMark/>
          </w:tcPr>
          <w:p w14:paraId="55C2A92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1.146*** (1.123, 1.169)</w:t>
            </w:r>
          </w:p>
        </w:tc>
        <w:tc>
          <w:tcPr>
            <w:tcW w:w="2044" w:type="dxa"/>
            <w:tcBorders>
              <w:top w:val="nil"/>
              <w:left w:val="nil"/>
              <w:bottom w:val="nil"/>
              <w:right w:val="nil"/>
            </w:tcBorders>
            <w:shd w:val="clear" w:color="auto" w:fill="auto"/>
            <w:noWrap/>
            <w:vAlign w:val="bottom"/>
            <w:hideMark/>
          </w:tcPr>
          <w:p w14:paraId="27DF30F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44" w:type="dxa"/>
            <w:tcBorders>
              <w:top w:val="nil"/>
              <w:left w:val="nil"/>
              <w:bottom w:val="nil"/>
              <w:right w:val="nil"/>
            </w:tcBorders>
            <w:shd w:val="clear" w:color="auto" w:fill="auto"/>
            <w:noWrap/>
            <w:vAlign w:val="bottom"/>
            <w:hideMark/>
          </w:tcPr>
          <w:p w14:paraId="3866C66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0.006 (-0.032, 0.043)</w:t>
            </w:r>
          </w:p>
        </w:tc>
        <w:tc>
          <w:tcPr>
            <w:tcW w:w="2044" w:type="dxa"/>
            <w:tcBorders>
              <w:top w:val="nil"/>
              <w:left w:val="nil"/>
              <w:bottom w:val="nil"/>
              <w:right w:val="nil"/>
            </w:tcBorders>
            <w:shd w:val="clear" w:color="auto" w:fill="auto"/>
            <w:noWrap/>
            <w:vAlign w:val="bottom"/>
            <w:hideMark/>
          </w:tcPr>
          <w:p w14:paraId="59D73B1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0.007** (0.002, 0.011)</w:t>
            </w:r>
          </w:p>
        </w:tc>
        <w:tc>
          <w:tcPr>
            <w:tcW w:w="2044" w:type="dxa"/>
            <w:tcBorders>
              <w:top w:val="nil"/>
              <w:left w:val="nil"/>
              <w:bottom w:val="nil"/>
              <w:right w:val="nil"/>
            </w:tcBorders>
            <w:shd w:val="clear" w:color="auto" w:fill="auto"/>
            <w:noWrap/>
            <w:vAlign w:val="bottom"/>
            <w:hideMark/>
          </w:tcPr>
          <w:p w14:paraId="3103702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0.104*** (0.052, 0.156)</w:t>
            </w:r>
          </w:p>
        </w:tc>
        <w:tc>
          <w:tcPr>
            <w:tcW w:w="2044" w:type="dxa"/>
            <w:tcBorders>
              <w:top w:val="nil"/>
              <w:left w:val="nil"/>
              <w:bottom w:val="nil"/>
              <w:right w:val="nil"/>
            </w:tcBorders>
            <w:shd w:val="clear" w:color="auto" w:fill="auto"/>
            <w:noWrap/>
            <w:vAlign w:val="bottom"/>
            <w:hideMark/>
          </w:tcPr>
          <w:p w14:paraId="6BF2268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462AE57E" w14:textId="77777777" w:rsidTr="00C03FA1">
        <w:trPr>
          <w:trHeight w:val="267"/>
        </w:trPr>
        <w:tc>
          <w:tcPr>
            <w:tcW w:w="3119" w:type="dxa"/>
            <w:gridSpan w:val="2"/>
            <w:tcBorders>
              <w:top w:val="nil"/>
              <w:left w:val="nil"/>
              <w:bottom w:val="single" w:sz="4" w:space="0" w:color="auto"/>
              <w:right w:val="nil"/>
            </w:tcBorders>
            <w:shd w:val="clear" w:color="auto" w:fill="auto"/>
            <w:noWrap/>
            <w:vAlign w:val="bottom"/>
            <w:hideMark/>
          </w:tcPr>
          <w:p w14:paraId="2C988D4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HoNOS repeated assessments (within 12 weeks)</w:t>
            </w:r>
          </w:p>
        </w:tc>
        <w:tc>
          <w:tcPr>
            <w:tcW w:w="2044" w:type="dxa"/>
            <w:tcBorders>
              <w:top w:val="nil"/>
              <w:left w:val="single" w:sz="4" w:space="0" w:color="auto"/>
              <w:bottom w:val="single" w:sz="4" w:space="0" w:color="auto"/>
              <w:right w:val="nil"/>
            </w:tcBorders>
            <w:shd w:val="clear" w:color="auto" w:fill="auto"/>
            <w:noWrap/>
            <w:vAlign w:val="bottom"/>
            <w:hideMark/>
          </w:tcPr>
          <w:p w14:paraId="736FF4A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2909255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5EEAA53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6AD11FA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73B8EA8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44" w:type="dxa"/>
            <w:tcBorders>
              <w:top w:val="nil"/>
              <w:left w:val="nil"/>
              <w:bottom w:val="single" w:sz="4" w:space="0" w:color="auto"/>
              <w:right w:val="nil"/>
            </w:tcBorders>
            <w:shd w:val="clear" w:color="auto" w:fill="auto"/>
            <w:noWrap/>
            <w:vAlign w:val="bottom"/>
            <w:hideMark/>
          </w:tcPr>
          <w:p w14:paraId="1809AC7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C03FA1" w:rsidRPr="00A80562" w14:paraId="1ECE0B71" w14:textId="77777777" w:rsidTr="00C03FA1">
        <w:trPr>
          <w:trHeight w:val="267"/>
        </w:trPr>
        <w:tc>
          <w:tcPr>
            <w:tcW w:w="236" w:type="dxa"/>
            <w:tcBorders>
              <w:top w:val="nil"/>
              <w:left w:val="nil"/>
              <w:bottom w:val="nil"/>
              <w:right w:val="nil"/>
            </w:tcBorders>
            <w:shd w:val="clear" w:color="auto" w:fill="auto"/>
            <w:noWrap/>
            <w:vAlign w:val="bottom"/>
            <w:hideMark/>
          </w:tcPr>
          <w:p w14:paraId="76B2E172"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477FC7FA"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 change</w:t>
            </w:r>
          </w:p>
        </w:tc>
        <w:tc>
          <w:tcPr>
            <w:tcW w:w="2044" w:type="dxa"/>
            <w:tcBorders>
              <w:top w:val="nil"/>
              <w:left w:val="single" w:sz="4" w:space="0" w:color="auto"/>
              <w:bottom w:val="nil"/>
              <w:right w:val="nil"/>
            </w:tcBorders>
            <w:shd w:val="clear" w:color="000000" w:fill="F2F2F2"/>
            <w:noWrap/>
            <w:vAlign w:val="bottom"/>
            <w:hideMark/>
          </w:tcPr>
          <w:p w14:paraId="0C279B8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-1.35*** (-1.629, -1.07)</w:t>
            </w:r>
          </w:p>
        </w:tc>
        <w:tc>
          <w:tcPr>
            <w:tcW w:w="2044" w:type="dxa"/>
            <w:tcBorders>
              <w:top w:val="nil"/>
              <w:left w:val="nil"/>
              <w:bottom w:val="nil"/>
              <w:right w:val="nil"/>
            </w:tcBorders>
            <w:shd w:val="clear" w:color="000000" w:fill="F2F2F2"/>
            <w:noWrap/>
            <w:vAlign w:val="bottom"/>
            <w:hideMark/>
          </w:tcPr>
          <w:p w14:paraId="6685B45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0.002 (0, 0.004)</w:t>
            </w:r>
          </w:p>
        </w:tc>
        <w:tc>
          <w:tcPr>
            <w:tcW w:w="2044" w:type="dxa"/>
            <w:tcBorders>
              <w:top w:val="nil"/>
              <w:left w:val="nil"/>
              <w:bottom w:val="nil"/>
              <w:right w:val="nil"/>
            </w:tcBorders>
            <w:shd w:val="clear" w:color="000000" w:fill="F2F2F2"/>
            <w:noWrap/>
            <w:vAlign w:val="bottom"/>
            <w:hideMark/>
          </w:tcPr>
          <w:p w14:paraId="3263B5C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-1.509*** (-1.9, -1.118)</w:t>
            </w:r>
          </w:p>
        </w:tc>
        <w:tc>
          <w:tcPr>
            <w:tcW w:w="2044" w:type="dxa"/>
            <w:tcBorders>
              <w:top w:val="nil"/>
              <w:left w:val="nil"/>
              <w:bottom w:val="nil"/>
              <w:right w:val="nil"/>
            </w:tcBorders>
            <w:shd w:val="clear" w:color="000000" w:fill="F2F2F2"/>
            <w:noWrap/>
            <w:vAlign w:val="bottom"/>
            <w:hideMark/>
          </w:tcPr>
          <w:p w14:paraId="3641AD7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0.353*** (0.324, 0.382)</w:t>
            </w:r>
          </w:p>
        </w:tc>
        <w:tc>
          <w:tcPr>
            <w:tcW w:w="2044" w:type="dxa"/>
            <w:tcBorders>
              <w:top w:val="nil"/>
              <w:left w:val="nil"/>
              <w:bottom w:val="nil"/>
              <w:right w:val="nil"/>
            </w:tcBorders>
            <w:shd w:val="clear" w:color="000000" w:fill="F2F2F2"/>
            <w:noWrap/>
            <w:vAlign w:val="bottom"/>
            <w:hideMark/>
          </w:tcPr>
          <w:p w14:paraId="10A9B3F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3.786*** (3.397, 4.174)</w:t>
            </w:r>
          </w:p>
        </w:tc>
        <w:tc>
          <w:tcPr>
            <w:tcW w:w="2044" w:type="dxa"/>
            <w:tcBorders>
              <w:top w:val="nil"/>
              <w:left w:val="nil"/>
              <w:bottom w:val="nil"/>
              <w:right w:val="nil"/>
            </w:tcBorders>
            <w:shd w:val="clear" w:color="000000" w:fill="F2F2F2"/>
            <w:noWrap/>
            <w:vAlign w:val="bottom"/>
            <w:hideMark/>
          </w:tcPr>
          <w:p w14:paraId="5968A6A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69AC6BA8" w14:textId="77777777" w:rsidTr="00C03FA1">
        <w:trPr>
          <w:trHeight w:val="267"/>
        </w:trPr>
        <w:tc>
          <w:tcPr>
            <w:tcW w:w="236" w:type="dxa"/>
            <w:tcBorders>
              <w:top w:val="nil"/>
              <w:left w:val="nil"/>
              <w:bottom w:val="nil"/>
              <w:right w:val="nil"/>
            </w:tcBorders>
            <w:shd w:val="clear" w:color="auto" w:fill="auto"/>
            <w:noWrap/>
            <w:vAlign w:val="bottom"/>
            <w:hideMark/>
          </w:tcPr>
          <w:p w14:paraId="6199BF6C"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auto" w:fill="auto"/>
            <w:noWrap/>
            <w:vAlign w:val="bottom"/>
            <w:hideMark/>
          </w:tcPr>
          <w:p w14:paraId="6251761D"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 with overall deterioration</w:t>
            </w:r>
          </w:p>
        </w:tc>
        <w:tc>
          <w:tcPr>
            <w:tcW w:w="2044" w:type="dxa"/>
            <w:tcBorders>
              <w:top w:val="nil"/>
              <w:left w:val="single" w:sz="4" w:space="0" w:color="auto"/>
              <w:bottom w:val="nil"/>
              <w:right w:val="nil"/>
            </w:tcBorders>
            <w:shd w:val="clear" w:color="auto" w:fill="auto"/>
            <w:noWrap/>
            <w:vAlign w:val="bottom"/>
            <w:hideMark/>
          </w:tcPr>
          <w:p w14:paraId="6A2D153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33.54*** (31.87, 35.21)</w:t>
            </w:r>
          </w:p>
        </w:tc>
        <w:tc>
          <w:tcPr>
            <w:tcW w:w="2044" w:type="dxa"/>
            <w:tcBorders>
              <w:top w:val="nil"/>
              <w:left w:val="nil"/>
              <w:bottom w:val="nil"/>
              <w:right w:val="nil"/>
            </w:tcBorders>
            <w:shd w:val="clear" w:color="auto" w:fill="auto"/>
            <w:noWrap/>
            <w:vAlign w:val="bottom"/>
            <w:hideMark/>
          </w:tcPr>
          <w:p w14:paraId="5E94DC2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 0.03)</w:t>
            </w:r>
          </w:p>
        </w:tc>
        <w:tc>
          <w:tcPr>
            <w:tcW w:w="2044" w:type="dxa"/>
            <w:tcBorders>
              <w:top w:val="nil"/>
              <w:left w:val="nil"/>
              <w:bottom w:val="nil"/>
              <w:right w:val="nil"/>
            </w:tcBorders>
            <w:shd w:val="clear" w:color="auto" w:fill="auto"/>
            <w:noWrap/>
            <w:vAlign w:val="bottom"/>
            <w:hideMark/>
          </w:tcPr>
          <w:p w14:paraId="0FCE2B2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-3.03* (-5.36, -0.69)</w:t>
            </w:r>
          </w:p>
        </w:tc>
        <w:tc>
          <w:tcPr>
            <w:tcW w:w="2044" w:type="dxa"/>
            <w:tcBorders>
              <w:top w:val="nil"/>
              <w:left w:val="nil"/>
              <w:bottom w:val="nil"/>
              <w:right w:val="nil"/>
            </w:tcBorders>
            <w:shd w:val="clear" w:color="auto" w:fill="auto"/>
            <w:noWrap/>
            <w:vAlign w:val="bottom"/>
            <w:hideMark/>
          </w:tcPr>
          <w:p w14:paraId="7359EAA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0.67*** (0.5, 0.85)</w:t>
            </w:r>
          </w:p>
        </w:tc>
        <w:tc>
          <w:tcPr>
            <w:tcW w:w="2044" w:type="dxa"/>
            <w:tcBorders>
              <w:top w:val="nil"/>
              <w:left w:val="nil"/>
              <w:bottom w:val="nil"/>
              <w:right w:val="nil"/>
            </w:tcBorders>
            <w:shd w:val="clear" w:color="auto" w:fill="auto"/>
            <w:noWrap/>
            <w:vAlign w:val="bottom"/>
            <w:hideMark/>
          </w:tcPr>
          <w:p w14:paraId="5B8BFC0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7.04*** (4.72, 9.36)</w:t>
            </w:r>
          </w:p>
        </w:tc>
        <w:tc>
          <w:tcPr>
            <w:tcW w:w="2044" w:type="dxa"/>
            <w:tcBorders>
              <w:top w:val="nil"/>
              <w:left w:val="nil"/>
              <w:bottom w:val="nil"/>
              <w:right w:val="nil"/>
            </w:tcBorders>
            <w:shd w:val="clear" w:color="auto" w:fill="auto"/>
            <w:noWrap/>
            <w:vAlign w:val="bottom"/>
            <w:hideMark/>
          </w:tcPr>
          <w:p w14:paraId="24519AC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5F2CF788" w14:textId="77777777" w:rsidTr="00C03FA1">
        <w:trPr>
          <w:trHeight w:val="267"/>
        </w:trPr>
        <w:tc>
          <w:tcPr>
            <w:tcW w:w="236" w:type="dxa"/>
            <w:tcBorders>
              <w:top w:val="nil"/>
              <w:left w:val="nil"/>
              <w:bottom w:val="nil"/>
              <w:right w:val="nil"/>
            </w:tcBorders>
            <w:shd w:val="clear" w:color="auto" w:fill="auto"/>
            <w:noWrap/>
            <w:vAlign w:val="bottom"/>
            <w:hideMark/>
          </w:tcPr>
          <w:p w14:paraId="16AB0D49" w14:textId="77777777" w:rsidR="00C03FA1" w:rsidRPr="00A80562" w:rsidRDefault="00C03FA1" w:rsidP="00C03FA1">
            <w:pPr>
              <w:spacing w:after="0" w:line="240" w:lineRule="auto"/>
              <w:jc w:val="left"/>
              <w:rPr>
                <w:rFonts w:eastAsia="Times New Roman"/>
                <w:sz w:val="16"/>
                <w:szCs w:val="16"/>
                <w:lang w:eastAsia="en-GB"/>
              </w:rPr>
            </w:pPr>
          </w:p>
        </w:tc>
        <w:tc>
          <w:tcPr>
            <w:tcW w:w="2883" w:type="dxa"/>
            <w:tcBorders>
              <w:top w:val="nil"/>
              <w:left w:val="nil"/>
              <w:bottom w:val="nil"/>
              <w:right w:val="nil"/>
            </w:tcBorders>
            <w:shd w:val="clear" w:color="000000" w:fill="F2F2F2"/>
            <w:noWrap/>
            <w:vAlign w:val="bottom"/>
            <w:hideMark/>
          </w:tcPr>
          <w:p w14:paraId="3B2969A9"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 with overall improvement</w:t>
            </w:r>
          </w:p>
        </w:tc>
        <w:tc>
          <w:tcPr>
            <w:tcW w:w="2044" w:type="dxa"/>
            <w:tcBorders>
              <w:top w:val="nil"/>
              <w:left w:val="single" w:sz="4" w:space="0" w:color="auto"/>
              <w:bottom w:val="nil"/>
              <w:right w:val="nil"/>
            </w:tcBorders>
            <w:shd w:val="clear" w:color="000000" w:fill="F2F2F2"/>
            <w:noWrap/>
            <w:vAlign w:val="bottom"/>
            <w:hideMark/>
          </w:tcPr>
          <w:p w14:paraId="3EC73E7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54.94*** (53.3, 56.58)</w:t>
            </w:r>
          </w:p>
        </w:tc>
        <w:tc>
          <w:tcPr>
            <w:tcW w:w="2044" w:type="dxa"/>
            <w:tcBorders>
              <w:top w:val="nil"/>
              <w:left w:val="nil"/>
              <w:bottom w:val="nil"/>
              <w:right w:val="nil"/>
            </w:tcBorders>
            <w:shd w:val="clear" w:color="000000" w:fill="F2F2F2"/>
            <w:noWrap/>
            <w:vAlign w:val="bottom"/>
            <w:hideMark/>
          </w:tcPr>
          <w:p w14:paraId="7CB3BB9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(-0.03, 0)</w:t>
            </w:r>
          </w:p>
        </w:tc>
        <w:tc>
          <w:tcPr>
            <w:tcW w:w="2044" w:type="dxa"/>
            <w:tcBorders>
              <w:top w:val="nil"/>
              <w:left w:val="nil"/>
              <w:bottom w:val="nil"/>
              <w:right w:val="nil"/>
            </w:tcBorders>
            <w:shd w:val="clear" w:color="000000" w:fill="F2F2F2"/>
            <w:noWrap/>
            <w:vAlign w:val="bottom"/>
            <w:hideMark/>
          </w:tcPr>
          <w:p w14:paraId="163136D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-1.93 (-4.22, 0.37)</w:t>
            </w:r>
          </w:p>
        </w:tc>
        <w:tc>
          <w:tcPr>
            <w:tcW w:w="2044" w:type="dxa"/>
            <w:tcBorders>
              <w:top w:val="nil"/>
              <w:left w:val="nil"/>
              <w:bottom w:val="nil"/>
              <w:right w:val="nil"/>
            </w:tcBorders>
            <w:shd w:val="clear" w:color="000000" w:fill="F2F2F2"/>
            <w:noWrap/>
            <w:vAlign w:val="bottom"/>
            <w:hideMark/>
          </w:tcPr>
          <w:p w14:paraId="7912015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-0.24** (-0.41, -0.07)</w:t>
            </w:r>
          </w:p>
        </w:tc>
        <w:tc>
          <w:tcPr>
            <w:tcW w:w="2044" w:type="dxa"/>
            <w:tcBorders>
              <w:top w:val="nil"/>
              <w:left w:val="nil"/>
              <w:bottom w:val="nil"/>
              <w:right w:val="nil"/>
            </w:tcBorders>
            <w:shd w:val="clear" w:color="000000" w:fill="F2F2F2"/>
            <w:noWrap/>
            <w:vAlign w:val="bottom"/>
            <w:hideMark/>
          </w:tcPr>
          <w:p w14:paraId="42C95C2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-5.51*** (-7.79, -3.23)</w:t>
            </w:r>
          </w:p>
        </w:tc>
        <w:tc>
          <w:tcPr>
            <w:tcW w:w="2044" w:type="dxa"/>
            <w:tcBorders>
              <w:top w:val="nil"/>
              <w:left w:val="nil"/>
              <w:bottom w:val="nil"/>
              <w:right w:val="nil"/>
            </w:tcBorders>
            <w:shd w:val="clear" w:color="000000" w:fill="F2F2F2"/>
            <w:noWrap/>
            <w:vAlign w:val="bottom"/>
            <w:hideMark/>
          </w:tcPr>
          <w:p w14:paraId="41E0912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bl>
    <w:p w14:paraId="3F049C94" w14:textId="77777777" w:rsidR="00C03FA1" w:rsidRDefault="00C03FA1" w:rsidP="00682538"/>
    <w:p w14:paraId="0CD989D6" w14:textId="3054C48A" w:rsidR="00032C85" w:rsidRPr="00012A73" w:rsidRDefault="00032C85" w:rsidP="00682538">
      <w:pPr>
        <w:rPr>
          <w:i/>
        </w:rPr>
      </w:pPr>
      <w:r w:rsidRPr="00012A73">
        <w:t>All models estimated with Maximum Likelihood, except where all ARIMA terms are equal to 0 in which case models are estimated with OLS. All models cover the full weeks from March 1</w:t>
      </w:r>
      <w:r w:rsidRPr="00012A73">
        <w:rPr>
          <w:vertAlign w:val="superscript"/>
        </w:rPr>
        <w:t>st</w:t>
      </w:r>
      <w:r w:rsidRPr="00012A73">
        <w:t>, 2016 to July 4</w:t>
      </w:r>
      <w:r w:rsidRPr="00012A73">
        <w:rPr>
          <w:vertAlign w:val="superscript"/>
        </w:rPr>
        <w:t>th</w:t>
      </w:r>
      <w:r w:rsidRPr="00012A73">
        <w:t>, 2020 except for first admissions/referrals, which start from March 1</w:t>
      </w:r>
      <w:r w:rsidRPr="00012A73">
        <w:rPr>
          <w:vertAlign w:val="superscript"/>
        </w:rPr>
        <w:t>st</w:t>
      </w:r>
      <w:r w:rsidRPr="00012A73">
        <w:t>, 2018.</w:t>
      </w:r>
      <w:r w:rsidRPr="00012A73">
        <w:br/>
        <w:t>Significance levels: *</w:t>
      </w:r>
      <w:r w:rsidRPr="00012A73">
        <w:rPr>
          <w:i/>
        </w:rPr>
        <w:t xml:space="preserve">p&lt;0.1, **p&lt;0.05, </w:t>
      </w:r>
      <w:r w:rsidRPr="00012A73">
        <w:t xml:space="preserve"> ***</w:t>
      </w:r>
      <w:r w:rsidRPr="00012A73">
        <w:rPr>
          <w:i/>
        </w:rPr>
        <w:t>p&lt;0.01</w:t>
      </w:r>
    </w:p>
    <w:p w14:paraId="4B0CEE17" w14:textId="77777777" w:rsidR="004A79A8" w:rsidRDefault="004A79A8" w:rsidP="00682538">
      <w:pPr>
        <w:rPr>
          <w:rFonts w:asciiTheme="majorHAnsi" w:eastAsiaTheme="majorEastAsia" w:hAnsiTheme="majorHAnsi" w:cstheme="majorBidi"/>
          <w:color w:val="1F4D78" w:themeColor="accent1" w:themeShade="7F"/>
          <w:sz w:val="24"/>
          <w:szCs w:val="24"/>
        </w:rPr>
      </w:pPr>
      <w:r>
        <w:br w:type="page"/>
      </w:r>
    </w:p>
    <w:p w14:paraId="27F74DEE" w14:textId="40EA7722" w:rsidR="0004760B" w:rsidRDefault="0004760B" w:rsidP="006C05EE">
      <w:pPr>
        <w:pStyle w:val="Heading3"/>
      </w:pPr>
      <w:r>
        <w:lastRenderedPageBreak/>
        <w:t xml:space="preserve">Appendix </w:t>
      </w:r>
      <w:r w:rsidR="00EC2843">
        <w:t>1</w:t>
      </w:r>
      <w:r>
        <w:t>.3 – Results for patients from deprived areas</w:t>
      </w:r>
    </w:p>
    <w:tbl>
      <w:tblPr>
        <w:tblW w:w="15301" w:type="dxa"/>
        <w:tblLayout w:type="fixed"/>
        <w:tblLook w:val="04A0" w:firstRow="1" w:lastRow="0" w:firstColumn="1" w:lastColumn="0" w:noHBand="0" w:noVBand="1"/>
      </w:tblPr>
      <w:tblGrid>
        <w:gridCol w:w="236"/>
        <w:gridCol w:w="3033"/>
        <w:gridCol w:w="2005"/>
        <w:gridCol w:w="2005"/>
        <w:gridCol w:w="2006"/>
        <w:gridCol w:w="2005"/>
        <w:gridCol w:w="2005"/>
        <w:gridCol w:w="2006"/>
      </w:tblGrid>
      <w:tr w:rsidR="00C03FA1" w:rsidRPr="00A80562" w14:paraId="00DD179E" w14:textId="77777777" w:rsidTr="00A80562">
        <w:trPr>
          <w:trHeight w:val="251"/>
        </w:trPr>
        <w:tc>
          <w:tcPr>
            <w:tcW w:w="3269" w:type="dxa"/>
            <w:gridSpan w:val="2"/>
            <w:tcBorders>
              <w:top w:val="nil"/>
              <w:left w:val="nil"/>
              <w:bottom w:val="single" w:sz="8" w:space="0" w:color="auto"/>
              <w:right w:val="single" w:sz="4" w:space="0" w:color="000000"/>
            </w:tcBorders>
            <w:shd w:val="clear" w:color="auto" w:fill="auto"/>
            <w:noWrap/>
            <w:vAlign w:val="bottom"/>
            <w:hideMark/>
          </w:tcPr>
          <w:p w14:paraId="04F442B2" w14:textId="77777777" w:rsidR="00C03FA1" w:rsidRPr="00A80562" w:rsidRDefault="00C03FA1">
            <w:pPr>
              <w:jc w:val="left"/>
              <w:rPr>
                <w:rFonts w:eastAsia="Times New Roman"/>
                <w:b/>
                <w:bCs/>
                <w:sz w:val="16"/>
                <w:szCs w:val="16"/>
                <w:lang w:eastAsia="en-GB"/>
              </w:rPr>
            </w:pPr>
            <w:r w:rsidRPr="00A80562">
              <w:rPr>
                <w:rFonts w:eastAsia="Times New Roman"/>
                <w:b/>
                <w:bCs/>
                <w:sz w:val="16"/>
                <w:szCs w:val="16"/>
                <w:lang w:eastAsia="en-GB"/>
              </w:rPr>
              <w:t>Outcome</w:t>
            </w:r>
          </w:p>
        </w:tc>
        <w:tc>
          <w:tcPr>
            <w:tcW w:w="2005" w:type="dxa"/>
            <w:tcBorders>
              <w:top w:val="nil"/>
              <w:left w:val="nil"/>
              <w:bottom w:val="single" w:sz="8" w:space="0" w:color="auto"/>
              <w:right w:val="nil"/>
            </w:tcBorders>
            <w:shd w:val="clear" w:color="auto" w:fill="auto"/>
            <w:noWrap/>
            <w:vAlign w:val="bottom"/>
            <w:hideMark/>
          </w:tcPr>
          <w:p w14:paraId="29AF5B0A"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Constant</w:t>
            </w:r>
          </w:p>
        </w:tc>
        <w:tc>
          <w:tcPr>
            <w:tcW w:w="2005" w:type="dxa"/>
            <w:tcBorders>
              <w:top w:val="nil"/>
              <w:left w:val="nil"/>
              <w:bottom w:val="single" w:sz="8" w:space="0" w:color="auto"/>
              <w:right w:val="nil"/>
            </w:tcBorders>
            <w:shd w:val="clear" w:color="auto" w:fill="auto"/>
            <w:noWrap/>
            <w:vAlign w:val="bottom"/>
            <w:hideMark/>
          </w:tcPr>
          <w:p w14:paraId="47446733"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Weekly slope</w:t>
            </w:r>
          </w:p>
        </w:tc>
        <w:tc>
          <w:tcPr>
            <w:tcW w:w="2006" w:type="dxa"/>
            <w:tcBorders>
              <w:top w:val="nil"/>
              <w:left w:val="nil"/>
              <w:bottom w:val="single" w:sz="8" w:space="0" w:color="auto"/>
              <w:right w:val="nil"/>
            </w:tcBorders>
            <w:shd w:val="clear" w:color="auto" w:fill="auto"/>
            <w:noWrap/>
            <w:vAlign w:val="bottom"/>
            <w:hideMark/>
          </w:tcPr>
          <w:p w14:paraId="2637DDD4"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Step change</w:t>
            </w:r>
          </w:p>
        </w:tc>
        <w:tc>
          <w:tcPr>
            <w:tcW w:w="2005" w:type="dxa"/>
            <w:tcBorders>
              <w:top w:val="nil"/>
              <w:left w:val="nil"/>
              <w:bottom w:val="single" w:sz="8" w:space="0" w:color="auto"/>
              <w:right w:val="nil"/>
            </w:tcBorders>
            <w:shd w:val="clear" w:color="auto" w:fill="auto"/>
            <w:noWrap/>
            <w:vAlign w:val="bottom"/>
            <w:hideMark/>
          </w:tcPr>
          <w:p w14:paraId="4845E0BC"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Slope change</w:t>
            </w:r>
          </w:p>
        </w:tc>
        <w:tc>
          <w:tcPr>
            <w:tcW w:w="2005" w:type="dxa"/>
            <w:tcBorders>
              <w:top w:val="nil"/>
              <w:left w:val="nil"/>
              <w:bottom w:val="single" w:sz="8" w:space="0" w:color="auto"/>
              <w:right w:val="nil"/>
            </w:tcBorders>
            <w:shd w:val="clear" w:color="auto" w:fill="auto"/>
            <w:noWrap/>
            <w:vAlign w:val="bottom"/>
            <w:hideMark/>
          </w:tcPr>
          <w:p w14:paraId="3BCB7A84"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Combined (15 weeks)</w:t>
            </w:r>
          </w:p>
        </w:tc>
        <w:tc>
          <w:tcPr>
            <w:tcW w:w="2006" w:type="dxa"/>
            <w:tcBorders>
              <w:top w:val="nil"/>
              <w:left w:val="nil"/>
              <w:bottom w:val="single" w:sz="8" w:space="0" w:color="auto"/>
              <w:right w:val="nil"/>
            </w:tcBorders>
            <w:shd w:val="clear" w:color="auto" w:fill="auto"/>
            <w:noWrap/>
            <w:vAlign w:val="bottom"/>
            <w:hideMark/>
          </w:tcPr>
          <w:p w14:paraId="0827FB37" w14:textId="77777777" w:rsidR="00C03FA1" w:rsidRPr="00A80562" w:rsidRDefault="00C03FA1" w:rsidP="00C03FA1">
            <w:pPr>
              <w:spacing w:after="0" w:line="240" w:lineRule="auto"/>
              <w:jc w:val="left"/>
              <w:rPr>
                <w:rFonts w:eastAsia="Times New Roman"/>
                <w:b/>
                <w:bCs/>
                <w:sz w:val="16"/>
                <w:szCs w:val="16"/>
                <w:lang w:eastAsia="en-GB"/>
              </w:rPr>
            </w:pPr>
            <w:r w:rsidRPr="00A80562">
              <w:rPr>
                <w:rFonts w:eastAsia="Times New Roman"/>
                <w:b/>
                <w:bCs/>
                <w:sz w:val="16"/>
                <w:szCs w:val="16"/>
                <w:lang w:eastAsia="en-GB"/>
              </w:rPr>
              <w:t>ARIMA terms</w:t>
            </w:r>
          </w:p>
        </w:tc>
      </w:tr>
      <w:tr w:rsidR="00C03FA1" w:rsidRPr="00A80562" w14:paraId="12D09A22" w14:textId="77777777" w:rsidTr="00A80562">
        <w:trPr>
          <w:trHeight w:val="239"/>
        </w:trPr>
        <w:tc>
          <w:tcPr>
            <w:tcW w:w="3269" w:type="dxa"/>
            <w:gridSpan w:val="2"/>
            <w:tcBorders>
              <w:top w:val="single" w:sz="8" w:space="0" w:color="auto"/>
              <w:left w:val="nil"/>
              <w:bottom w:val="single" w:sz="4" w:space="0" w:color="auto"/>
              <w:right w:val="nil"/>
            </w:tcBorders>
            <w:shd w:val="clear" w:color="auto" w:fill="auto"/>
            <w:noWrap/>
            <w:vAlign w:val="bottom"/>
            <w:hideMark/>
          </w:tcPr>
          <w:p w14:paraId="3CDFC97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Outpatient referrals:</w:t>
            </w:r>
          </w:p>
        </w:tc>
        <w:tc>
          <w:tcPr>
            <w:tcW w:w="2005" w:type="dxa"/>
            <w:tcBorders>
              <w:top w:val="nil"/>
              <w:left w:val="single" w:sz="4" w:space="0" w:color="auto"/>
              <w:bottom w:val="single" w:sz="4" w:space="0" w:color="auto"/>
              <w:right w:val="nil"/>
            </w:tcBorders>
            <w:shd w:val="clear" w:color="auto" w:fill="auto"/>
            <w:noWrap/>
            <w:vAlign w:val="bottom"/>
            <w:hideMark/>
          </w:tcPr>
          <w:p w14:paraId="703F9AA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05" w:type="dxa"/>
            <w:tcBorders>
              <w:top w:val="nil"/>
              <w:left w:val="nil"/>
              <w:bottom w:val="single" w:sz="4" w:space="0" w:color="auto"/>
              <w:right w:val="nil"/>
            </w:tcBorders>
            <w:shd w:val="clear" w:color="auto" w:fill="auto"/>
            <w:noWrap/>
            <w:vAlign w:val="bottom"/>
            <w:hideMark/>
          </w:tcPr>
          <w:p w14:paraId="531C596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06" w:type="dxa"/>
            <w:tcBorders>
              <w:top w:val="nil"/>
              <w:left w:val="nil"/>
              <w:bottom w:val="single" w:sz="4" w:space="0" w:color="auto"/>
              <w:right w:val="nil"/>
            </w:tcBorders>
            <w:shd w:val="clear" w:color="auto" w:fill="auto"/>
            <w:noWrap/>
            <w:vAlign w:val="bottom"/>
            <w:hideMark/>
          </w:tcPr>
          <w:p w14:paraId="019F67F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05" w:type="dxa"/>
            <w:tcBorders>
              <w:top w:val="nil"/>
              <w:left w:val="nil"/>
              <w:bottom w:val="single" w:sz="4" w:space="0" w:color="auto"/>
              <w:right w:val="nil"/>
            </w:tcBorders>
            <w:shd w:val="clear" w:color="auto" w:fill="auto"/>
            <w:noWrap/>
            <w:vAlign w:val="bottom"/>
            <w:hideMark/>
          </w:tcPr>
          <w:p w14:paraId="5B643F8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05" w:type="dxa"/>
            <w:tcBorders>
              <w:top w:val="nil"/>
              <w:left w:val="nil"/>
              <w:bottom w:val="single" w:sz="4" w:space="0" w:color="auto"/>
              <w:right w:val="nil"/>
            </w:tcBorders>
            <w:shd w:val="clear" w:color="auto" w:fill="auto"/>
            <w:noWrap/>
            <w:vAlign w:val="bottom"/>
            <w:hideMark/>
          </w:tcPr>
          <w:p w14:paraId="2FE50A5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Linear combination after 15 weeks (95% CI)</w:t>
            </w:r>
          </w:p>
        </w:tc>
        <w:tc>
          <w:tcPr>
            <w:tcW w:w="2006" w:type="dxa"/>
            <w:tcBorders>
              <w:top w:val="nil"/>
              <w:left w:val="nil"/>
              <w:bottom w:val="single" w:sz="4" w:space="0" w:color="auto"/>
              <w:right w:val="nil"/>
            </w:tcBorders>
            <w:shd w:val="clear" w:color="auto" w:fill="auto"/>
            <w:noWrap/>
            <w:vAlign w:val="bottom"/>
            <w:hideMark/>
          </w:tcPr>
          <w:p w14:paraId="00CB503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(AR, I, MA)</w:t>
            </w:r>
          </w:p>
        </w:tc>
      </w:tr>
      <w:tr w:rsidR="00C03FA1" w:rsidRPr="00A80562" w14:paraId="757448B8" w14:textId="77777777" w:rsidTr="00A80562">
        <w:trPr>
          <w:trHeight w:val="239"/>
        </w:trPr>
        <w:tc>
          <w:tcPr>
            <w:tcW w:w="236" w:type="dxa"/>
            <w:tcBorders>
              <w:top w:val="nil"/>
              <w:left w:val="nil"/>
              <w:bottom w:val="nil"/>
              <w:right w:val="nil"/>
            </w:tcBorders>
            <w:shd w:val="clear" w:color="auto" w:fill="auto"/>
            <w:noWrap/>
            <w:vAlign w:val="bottom"/>
            <w:hideMark/>
          </w:tcPr>
          <w:p w14:paraId="67B5C984"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000000" w:fill="F2F2F2"/>
            <w:noWrap/>
            <w:vAlign w:val="bottom"/>
            <w:hideMark/>
          </w:tcPr>
          <w:p w14:paraId="4400B704"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Total referrals</w:t>
            </w:r>
          </w:p>
        </w:tc>
        <w:tc>
          <w:tcPr>
            <w:tcW w:w="2005" w:type="dxa"/>
            <w:tcBorders>
              <w:top w:val="nil"/>
              <w:left w:val="single" w:sz="4" w:space="0" w:color="auto"/>
              <w:bottom w:val="nil"/>
              <w:right w:val="nil"/>
            </w:tcBorders>
            <w:shd w:val="clear" w:color="000000" w:fill="F2F2F2"/>
            <w:noWrap/>
            <w:vAlign w:val="bottom"/>
            <w:hideMark/>
          </w:tcPr>
          <w:p w14:paraId="6A79DF6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39.4*** (36.8, 41.9)</w:t>
            </w:r>
          </w:p>
        </w:tc>
        <w:tc>
          <w:tcPr>
            <w:tcW w:w="2005" w:type="dxa"/>
            <w:tcBorders>
              <w:top w:val="nil"/>
              <w:left w:val="nil"/>
              <w:bottom w:val="nil"/>
              <w:right w:val="nil"/>
            </w:tcBorders>
            <w:shd w:val="clear" w:color="000000" w:fill="F2F2F2"/>
            <w:noWrap/>
            <w:vAlign w:val="bottom"/>
            <w:hideMark/>
          </w:tcPr>
          <w:p w14:paraId="607B7EA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06" w:type="dxa"/>
            <w:tcBorders>
              <w:top w:val="nil"/>
              <w:left w:val="nil"/>
              <w:bottom w:val="nil"/>
              <w:right w:val="nil"/>
            </w:tcBorders>
            <w:shd w:val="clear" w:color="000000" w:fill="F2F2F2"/>
            <w:noWrap/>
            <w:vAlign w:val="bottom"/>
            <w:hideMark/>
          </w:tcPr>
          <w:p w14:paraId="7CB6B48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-16.8** (-28.9, -4.8)</w:t>
            </w:r>
          </w:p>
        </w:tc>
        <w:tc>
          <w:tcPr>
            <w:tcW w:w="2005" w:type="dxa"/>
            <w:tcBorders>
              <w:top w:val="nil"/>
              <w:left w:val="nil"/>
              <w:bottom w:val="nil"/>
              <w:right w:val="nil"/>
            </w:tcBorders>
            <w:shd w:val="clear" w:color="000000" w:fill="F2F2F2"/>
            <w:noWrap/>
            <w:vAlign w:val="bottom"/>
            <w:hideMark/>
          </w:tcPr>
          <w:p w14:paraId="083822B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1.9*** (0.8, 3.1)</w:t>
            </w:r>
          </w:p>
        </w:tc>
        <w:tc>
          <w:tcPr>
            <w:tcW w:w="2005" w:type="dxa"/>
            <w:tcBorders>
              <w:top w:val="nil"/>
              <w:left w:val="nil"/>
              <w:bottom w:val="nil"/>
              <w:right w:val="nil"/>
            </w:tcBorders>
            <w:shd w:val="clear" w:color="000000" w:fill="F2F2F2"/>
            <w:noWrap/>
            <w:vAlign w:val="bottom"/>
            <w:hideMark/>
          </w:tcPr>
          <w:p w14:paraId="6C989C9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12.1* (2.7, 21.6)</w:t>
            </w:r>
          </w:p>
        </w:tc>
        <w:tc>
          <w:tcPr>
            <w:tcW w:w="2006" w:type="dxa"/>
            <w:tcBorders>
              <w:top w:val="nil"/>
              <w:left w:val="nil"/>
              <w:bottom w:val="nil"/>
              <w:right w:val="nil"/>
            </w:tcBorders>
            <w:shd w:val="clear" w:color="000000" w:fill="F2F2F2"/>
            <w:noWrap/>
            <w:vAlign w:val="bottom"/>
            <w:hideMark/>
          </w:tcPr>
          <w:p w14:paraId="35BB81E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C03FA1" w:rsidRPr="00A80562" w14:paraId="134DACEE" w14:textId="77777777" w:rsidTr="00A80562">
        <w:trPr>
          <w:trHeight w:val="239"/>
        </w:trPr>
        <w:tc>
          <w:tcPr>
            <w:tcW w:w="236" w:type="dxa"/>
            <w:tcBorders>
              <w:top w:val="nil"/>
              <w:left w:val="nil"/>
              <w:bottom w:val="nil"/>
              <w:right w:val="nil"/>
            </w:tcBorders>
            <w:shd w:val="clear" w:color="auto" w:fill="auto"/>
            <w:noWrap/>
            <w:vAlign w:val="bottom"/>
            <w:hideMark/>
          </w:tcPr>
          <w:p w14:paraId="0916C311"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49461F58"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days to contact after referral</w:t>
            </w:r>
          </w:p>
        </w:tc>
        <w:tc>
          <w:tcPr>
            <w:tcW w:w="2005" w:type="dxa"/>
            <w:tcBorders>
              <w:top w:val="nil"/>
              <w:left w:val="single" w:sz="4" w:space="0" w:color="auto"/>
              <w:bottom w:val="nil"/>
              <w:right w:val="nil"/>
            </w:tcBorders>
            <w:shd w:val="clear" w:color="auto" w:fill="auto"/>
            <w:noWrap/>
            <w:vAlign w:val="bottom"/>
            <w:hideMark/>
          </w:tcPr>
          <w:p w14:paraId="222D475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464.95*** (452.54, 477.36)</w:t>
            </w:r>
          </w:p>
        </w:tc>
        <w:tc>
          <w:tcPr>
            <w:tcW w:w="2005" w:type="dxa"/>
            <w:tcBorders>
              <w:top w:val="nil"/>
              <w:left w:val="nil"/>
              <w:bottom w:val="nil"/>
              <w:right w:val="nil"/>
            </w:tcBorders>
            <w:shd w:val="clear" w:color="auto" w:fill="auto"/>
            <w:noWrap/>
            <w:vAlign w:val="bottom"/>
            <w:hideMark/>
          </w:tcPr>
          <w:p w14:paraId="3E169C5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-1.69*** (-1.79, -1.59)</w:t>
            </w:r>
          </w:p>
        </w:tc>
        <w:tc>
          <w:tcPr>
            <w:tcW w:w="2006" w:type="dxa"/>
            <w:tcBorders>
              <w:top w:val="nil"/>
              <w:left w:val="nil"/>
              <w:bottom w:val="nil"/>
              <w:right w:val="nil"/>
            </w:tcBorders>
            <w:shd w:val="clear" w:color="auto" w:fill="auto"/>
            <w:noWrap/>
            <w:vAlign w:val="bottom"/>
            <w:hideMark/>
          </w:tcPr>
          <w:p w14:paraId="04777C6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-31.37*** (-48.34, -14.4)</w:t>
            </w:r>
          </w:p>
        </w:tc>
        <w:tc>
          <w:tcPr>
            <w:tcW w:w="2005" w:type="dxa"/>
            <w:tcBorders>
              <w:top w:val="nil"/>
              <w:left w:val="nil"/>
              <w:bottom w:val="nil"/>
              <w:right w:val="nil"/>
            </w:tcBorders>
            <w:shd w:val="clear" w:color="auto" w:fill="auto"/>
            <w:noWrap/>
            <w:vAlign w:val="bottom"/>
            <w:hideMark/>
          </w:tcPr>
          <w:p w14:paraId="76EB94D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-0.78 (-1.85, 0.3)</w:t>
            </w:r>
          </w:p>
        </w:tc>
        <w:tc>
          <w:tcPr>
            <w:tcW w:w="2005" w:type="dxa"/>
            <w:tcBorders>
              <w:top w:val="nil"/>
              <w:left w:val="nil"/>
              <w:bottom w:val="nil"/>
              <w:right w:val="nil"/>
            </w:tcBorders>
            <w:shd w:val="clear" w:color="auto" w:fill="auto"/>
            <w:noWrap/>
            <w:vAlign w:val="bottom"/>
            <w:hideMark/>
          </w:tcPr>
          <w:p w14:paraId="46B9E2C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-43.03*** (-58.31, -27.76)</w:t>
            </w:r>
          </w:p>
        </w:tc>
        <w:tc>
          <w:tcPr>
            <w:tcW w:w="2006" w:type="dxa"/>
            <w:tcBorders>
              <w:top w:val="nil"/>
              <w:left w:val="nil"/>
              <w:bottom w:val="nil"/>
              <w:right w:val="nil"/>
            </w:tcBorders>
            <w:shd w:val="clear" w:color="auto" w:fill="auto"/>
            <w:noWrap/>
            <w:vAlign w:val="bottom"/>
            <w:hideMark/>
          </w:tcPr>
          <w:p w14:paraId="643D009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32E99B80" w14:textId="77777777" w:rsidTr="00A80562">
        <w:trPr>
          <w:trHeight w:val="239"/>
        </w:trPr>
        <w:tc>
          <w:tcPr>
            <w:tcW w:w="236" w:type="dxa"/>
            <w:tcBorders>
              <w:top w:val="nil"/>
              <w:left w:val="nil"/>
              <w:bottom w:val="nil"/>
              <w:right w:val="nil"/>
            </w:tcBorders>
            <w:shd w:val="clear" w:color="auto" w:fill="auto"/>
            <w:noWrap/>
            <w:vAlign w:val="bottom"/>
            <w:hideMark/>
          </w:tcPr>
          <w:p w14:paraId="25EFDFC8"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000000" w:fill="F2F2F2"/>
            <w:noWrap/>
            <w:vAlign w:val="bottom"/>
            <w:hideMark/>
          </w:tcPr>
          <w:p w14:paraId="7E68D3C5"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 referrals with contact within 30 days</w:t>
            </w:r>
          </w:p>
        </w:tc>
        <w:tc>
          <w:tcPr>
            <w:tcW w:w="2005" w:type="dxa"/>
            <w:tcBorders>
              <w:top w:val="nil"/>
              <w:left w:val="single" w:sz="4" w:space="0" w:color="auto"/>
              <w:bottom w:val="nil"/>
              <w:right w:val="nil"/>
            </w:tcBorders>
            <w:shd w:val="clear" w:color="000000" w:fill="F2F2F2"/>
            <w:noWrap/>
            <w:vAlign w:val="bottom"/>
            <w:hideMark/>
          </w:tcPr>
          <w:p w14:paraId="16911DC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56.4*** (54.5, 58.3)</w:t>
            </w:r>
          </w:p>
        </w:tc>
        <w:tc>
          <w:tcPr>
            <w:tcW w:w="2005" w:type="dxa"/>
            <w:tcBorders>
              <w:top w:val="nil"/>
              <w:left w:val="nil"/>
              <w:bottom w:val="nil"/>
              <w:right w:val="nil"/>
            </w:tcBorders>
            <w:shd w:val="clear" w:color="000000" w:fill="F2F2F2"/>
            <w:noWrap/>
            <w:vAlign w:val="bottom"/>
            <w:hideMark/>
          </w:tcPr>
          <w:p w14:paraId="58306D2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 (-0.1, -0.1)</w:t>
            </w:r>
          </w:p>
        </w:tc>
        <w:tc>
          <w:tcPr>
            <w:tcW w:w="2006" w:type="dxa"/>
            <w:tcBorders>
              <w:top w:val="nil"/>
              <w:left w:val="nil"/>
              <w:bottom w:val="nil"/>
              <w:right w:val="nil"/>
            </w:tcBorders>
            <w:shd w:val="clear" w:color="000000" w:fill="F2F2F2"/>
            <w:noWrap/>
            <w:vAlign w:val="bottom"/>
            <w:hideMark/>
          </w:tcPr>
          <w:p w14:paraId="54D94A4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8.2*** (5.6, 10.8)</w:t>
            </w:r>
          </w:p>
        </w:tc>
        <w:tc>
          <w:tcPr>
            <w:tcW w:w="2005" w:type="dxa"/>
            <w:tcBorders>
              <w:top w:val="nil"/>
              <w:left w:val="nil"/>
              <w:bottom w:val="nil"/>
              <w:right w:val="nil"/>
            </w:tcBorders>
            <w:shd w:val="clear" w:color="000000" w:fill="F2F2F2"/>
            <w:noWrap/>
            <w:vAlign w:val="bottom"/>
            <w:hideMark/>
          </w:tcPr>
          <w:p w14:paraId="2F03C4C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 (0, 0.3)</w:t>
            </w:r>
          </w:p>
        </w:tc>
        <w:tc>
          <w:tcPr>
            <w:tcW w:w="2005" w:type="dxa"/>
            <w:tcBorders>
              <w:top w:val="nil"/>
              <w:left w:val="nil"/>
              <w:bottom w:val="nil"/>
              <w:right w:val="nil"/>
            </w:tcBorders>
            <w:shd w:val="clear" w:color="000000" w:fill="F2F2F2"/>
            <w:noWrap/>
            <w:vAlign w:val="bottom"/>
            <w:hideMark/>
          </w:tcPr>
          <w:p w14:paraId="3EA12CE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10.3*** (8, 12.6)</w:t>
            </w:r>
          </w:p>
        </w:tc>
        <w:tc>
          <w:tcPr>
            <w:tcW w:w="2006" w:type="dxa"/>
            <w:tcBorders>
              <w:top w:val="nil"/>
              <w:left w:val="nil"/>
              <w:bottom w:val="nil"/>
              <w:right w:val="nil"/>
            </w:tcBorders>
            <w:shd w:val="clear" w:color="000000" w:fill="F2F2F2"/>
            <w:noWrap/>
            <w:vAlign w:val="bottom"/>
            <w:hideMark/>
          </w:tcPr>
          <w:p w14:paraId="4845A57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1826DE14" w14:textId="77777777" w:rsidTr="00A80562">
        <w:trPr>
          <w:trHeight w:val="239"/>
        </w:trPr>
        <w:tc>
          <w:tcPr>
            <w:tcW w:w="3269" w:type="dxa"/>
            <w:gridSpan w:val="2"/>
            <w:tcBorders>
              <w:top w:val="nil"/>
              <w:left w:val="nil"/>
              <w:bottom w:val="single" w:sz="4" w:space="0" w:color="auto"/>
              <w:right w:val="nil"/>
            </w:tcBorders>
            <w:shd w:val="clear" w:color="auto" w:fill="auto"/>
            <w:noWrap/>
            <w:vAlign w:val="bottom"/>
            <w:hideMark/>
          </w:tcPr>
          <w:p w14:paraId="46FF4C1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Outpatient contacts:</w:t>
            </w:r>
          </w:p>
        </w:tc>
        <w:tc>
          <w:tcPr>
            <w:tcW w:w="2005" w:type="dxa"/>
            <w:tcBorders>
              <w:top w:val="nil"/>
              <w:left w:val="single" w:sz="4" w:space="0" w:color="auto"/>
              <w:bottom w:val="single" w:sz="4" w:space="0" w:color="auto"/>
              <w:right w:val="nil"/>
            </w:tcBorders>
            <w:shd w:val="clear" w:color="auto" w:fill="auto"/>
            <w:noWrap/>
            <w:vAlign w:val="bottom"/>
            <w:hideMark/>
          </w:tcPr>
          <w:p w14:paraId="4B1749A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57724F9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5763E9E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2F106C6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241A809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27C3A89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C03FA1" w:rsidRPr="00A80562" w14:paraId="60A587A1" w14:textId="77777777" w:rsidTr="00A80562">
        <w:trPr>
          <w:trHeight w:val="239"/>
        </w:trPr>
        <w:tc>
          <w:tcPr>
            <w:tcW w:w="236" w:type="dxa"/>
            <w:tcBorders>
              <w:top w:val="nil"/>
              <w:left w:val="nil"/>
              <w:bottom w:val="nil"/>
              <w:right w:val="nil"/>
            </w:tcBorders>
            <w:shd w:val="clear" w:color="auto" w:fill="auto"/>
            <w:noWrap/>
            <w:vAlign w:val="bottom"/>
            <w:hideMark/>
          </w:tcPr>
          <w:p w14:paraId="26227477"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000000" w:fill="F2F2F2"/>
            <w:noWrap/>
            <w:vAlign w:val="bottom"/>
            <w:hideMark/>
          </w:tcPr>
          <w:p w14:paraId="12DAD2D9"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Total contacts</w:t>
            </w:r>
          </w:p>
        </w:tc>
        <w:tc>
          <w:tcPr>
            <w:tcW w:w="2005" w:type="dxa"/>
            <w:tcBorders>
              <w:top w:val="nil"/>
              <w:left w:val="single" w:sz="4" w:space="0" w:color="auto"/>
              <w:bottom w:val="nil"/>
              <w:right w:val="nil"/>
            </w:tcBorders>
            <w:shd w:val="clear" w:color="000000" w:fill="F2F2F2"/>
            <w:noWrap/>
            <w:vAlign w:val="bottom"/>
            <w:hideMark/>
          </w:tcPr>
          <w:p w14:paraId="6FD78B9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212.9*** (202.2, 223.6)</w:t>
            </w:r>
          </w:p>
        </w:tc>
        <w:tc>
          <w:tcPr>
            <w:tcW w:w="2005" w:type="dxa"/>
            <w:tcBorders>
              <w:top w:val="nil"/>
              <w:left w:val="nil"/>
              <w:bottom w:val="nil"/>
              <w:right w:val="nil"/>
            </w:tcBorders>
            <w:shd w:val="clear" w:color="000000" w:fill="F2F2F2"/>
            <w:noWrap/>
            <w:vAlign w:val="bottom"/>
            <w:hideMark/>
          </w:tcPr>
          <w:p w14:paraId="3B13525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 (-0.3, -0.1)</w:t>
            </w:r>
          </w:p>
        </w:tc>
        <w:tc>
          <w:tcPr>
            <w:tcW w:w="2006" w:type="dxa"/>
            <w:tcBorders>
              <w:top w:val="nil"/>
              <w:left w:val="nil"/>
              <w:bottom w:val="nil"/>
              <w:right w:val="nil"/>
            </w:tcBorders>
            <w:shd w:val="clear" w:color="000000" w:fill="F2F2F2"/>
            <w:noWrap/>
            <w:vAlign w:val="bottom"/>
            <w:hideMark/>
          </w:tcPr>
          <w:p w14:paraId="6F4A7A7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-15.8 (-87.4, 55.7)</w:t>
            </w:r>
          </w:p>
        </w:tc>
        <w:tc>
          <w:tcPr>
            <w:tcW w:w="2005" w:type="dxa"/>
            <w:tcBorders>
              <w:top w:val="nil"/>
              <w:left w:val="nil"/>
              <w:bottom w:val="nil"/>
              <w:right w:val="nil"/>
            </w:tcBorders>
            <w:shd w:val="clear" w:color="000000" w:fill="F2F2F2"/>
            <w:noWrap/>
            <w:vAlign w:val="bottom"/>
            <w:hideMark/>
          </w:tcPr>
          <w:p w14:paraId="174A180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11.1** (4.1, 18.1)</w:t>
            </w:r>
          </w:p>
        </w:tc>
        <w:tc>
          <w:tcPr>
            <w:tcW w:w="2005" w:type="dxa"/>
            <w:tcBorders>
              <w:top w:val="nil"/>
              <w:left w:val="nil"/>
              <w:bottom w:val="nil"/>
              <w:right w:val="nil"/>
            </w:tcBorders>
            <w:shd w:val="clear" w:color="000000" w:fill="F2F2F2"/>
            <w:noWrap/>
            <w:vAlign w:val="bottom"/>
            <w:hideMark/>
          </w:tcPr>
          <w:p w14:paraId="10889FE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150.9*** (101.4, 200.3)</w:t>
            </w:r>
          </w:p>
        </w:tc>
        <w:tc>
          <w:tcPr>
            <w:tcW w:w="2006" w:type="dxa"/>
            <w:tcBorders>
              <w:top w:val="nil"/>
              <w:left w:val="nil"/>
              <w:bottom w:val="nil"/>
              <w:right w:val="nil"/>
            </w:tcBorders>
            <w:shd w:val="clear" w:color="000000" w:fill="F2F2F2"/>
            <w:noWrap/>
            <w:vAlign w:val="bottom"/>
            <w:hideMark/>
          </w:tcPr>
          <w:p w14:paraId="646A64A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C03FA1" w:rsidRPr="00A80562" w14:paraId="6A8DF799" w14:textId="77777777" w:rsidTr="00A80562">
        <w:trPr>
          <w:trHeight w:val="239"/>
        </w:trPr>
        <w:tc>
          <w:tcPr>
            <w:tcW w:w="236" w:type="dxa"/>
            <w:tcBorders>
              <w:top w:val="nil"/>
              <w:left w:val="nil"/>
              <w:bottom w:val="nil"/>
              <w:right w:val="nil"/>
            </w:tcBorders>
            <w:shd w:val="clear" w:color="auto" w:fill="auto"/>
            <w:noWrap/>
            <w:vAlign w:val="bottom"/>
            <w:hideMark/>
          </w:tcPr>
          <w:p w14:paraId="49512792"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4967DE16"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Face-to-face contacts</w:t>
            </w:r>
          </w:p>
        </w:tc>
        <w:tc>
          <w:tcPr>
            <w:tcW w:w="2005" w:type="dxa"/>
            <w:tcBorders>
              <w:top w:val="nil"/>
              <w:left w:val="single" w:sz="4" w:space="0" w:color="auto"/>
              <w:bottom w:val="nil"/>
              <w:right w:val="nil"/>
            </w:tcBorders>
            <w:shd w:val="clear" w:color="auto" w:fill="auto"/>
            <w:noWrap/>
            <w:vAlign w:val="bottom"/>
            <w:hideMark/>
          </w:tcPr>
          <w:p w14:paraId="30BFC7D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171.9*** (163.4, 180.3)</w:t>
            </w:r>
          </w:p>
        </w:tc>
        <w:tc>
          <w:tcPr>
            <w:tcW w:w="2005" w:type="dxa"/>
            <w:tcBorders>
              <w:top w:val="nil"/>
              <w:left w:val="nil"/>
              <w:bottom w:val="nil"/>
              <w:right w:val="nil"/>
            </w:tcBorders>
            <w:shd w:val="clear" w:color="auto" w:fill="auto"/>
            <w:noWrap/>
            <w:vAlign w:val="bottom"/>
            <w:hideMark/>
          </w:tcPr>
          <w:p w14:paraId="486322E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 (-0.2, -0.1)</w:t>
            </w:r>
          </w:p>
        </w:tc>
        <w:tc>
          <w:tcPr>
            <w:tcW w:w="2006" w:type="dxa"/>
            <w:tcBorders>
              <w:top w:val="nil"/>
              <w:left w:val="nil"/>
              <w:bottom w:val="nil"/>
              <w:right w:val="nil"/>
            </w:tcBorders>
            <w:shd w:val="clear" w:color="auto" w:fill="auto"/>
            <w:noWrap/>
            <w:vAlign w:val="bottom"/>
            <w:hideMark/>
          </w:tcPr>
          <w:p w14:paraId="1E3EEBE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-98.6 (-204.3, 7.1)</w:t>
            </w:r>
          </w:p>
        </w:tc>
        <w:tc>
          <w:tcPr>
            <w:tcW w:w="2005" w:type="dxa"/>
            <w:tcBorders>
              <w:top w:val="nil"/>
              <w:left w:val="nil"/>
              <w:bottom w:val="nil"/>
              <w:right w:val="nil"/>
            </w:tcBorders>
            <w:shd w:val="clear" w:color="auto" w:fill="auto"/>
            <w:noWrap/>
            <w:vAlign w:val="bottom"/>
            <w:hideMark/>
          </w:tcPr>
          <w:p w14:paraId="6EED040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2.3 (-6.4, 11.1)</w:t>
            </w:r>
          </w:p>
        </w:tc>
        <w:tc>
          <w:tcPr>
            <w:tcW w:w="2005" w:type="dxa"/>
            <w:tcBorders>
              <w:top w:val="nil"/>
              <w:left w:val="nil"/>
              <w:bottom w:val="nil"/>
              <w:right w:val="nil"/>
            </w:tcBorders>
            <w:shd w:val="clear" w:color="auto" w:fill="auto"/>
            <w:noWrap/>
            <w:vAlign w:val="bottom"/>
            <w:hideMark/>
          </w:tcPr>
          <w:p w14:paraId="15BFD40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-63.5* (-118.6, -8.3)</w:t>
            </w:r>
          </w:p>
        </w:tc>
        <w:tc>
          <w:tcPr>
            <w:tcW w:w="2006" w:type="dxa"/>
            <w:tcBorders>
              <w:top w:val="nil"/>
              <w:left w:val="nil"/>
              <w:bottom w:val="nil"/>
              <w:right w:val="nil"/>
            </w:tcBorders>
            <w:shd w:val="clear" w:color="auto" w:fill="auto"/>
            <w:noWrap/>
            <w:vAlign w:val="bottom"/>
            <w:hideMark/>
          </w:tcPr>
          <w:p w14:paraId="7B363B4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C03FA1" w:rsidRPr="00A80562" w14:paraId="5CC4BD43" w14:textId="77777777" w:rsidTr="00A80562">
        <w:trPr>
          <w:trHeight w:val="239"/>
        </w:trPr>
        <w:tc>
          <w:tcPr>
            <w:tcW w:w="236" w:type="dxa"/>
            <w:tcBorders>
              <w:top w:val="nil"/>
              <w:left w:val="nil"/>
              <w:bottom w:val="nil"/>
              <w:right w:val="nil"/>
            </w:tcBorders>
            <w:shd w:val="clear" w:color="auto" w:fill="auto"/>
            <w:noWrap/>
            <w:vAlign w:val="bottom"/>
            <w:hideMark/>
          </w:tcPr>
          <w:p w14:paraId="6360A7E2"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000000" w:fill="F2F2F2"/>
            <w:noWrap/>
            <w:vAlign w:val="bottom"/>
            <w:hideMark/>
          </w:tcPr>
          <w:p w14:paraId="0E157A3F"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Remote contacts</w:t>
            </w:r>
          </w:p>
        </w:tc>
        <w:tc>
          <w:tcPr>
            <w:tcW w:w="2005" w:type="dxa"/>
            <w:tcBorders>
              <w:top w:val="nil"/>
              <w:left w:val="single" w:sz="4" w:space="0" w:color="auto"/>
              <w:bottom w:val="nil"/>
              <w:right w:val="nil"/>
            </w:tcBorders>
            <w:shd w:val="clear" w:color="000000" w:fill="F2F2F2"/>
            <w:noWrap/>
            <w:vAlign w:val="bottom"/>
            <w:hideMark/>
          </w:tcPr>
          <w:p w14:paraId="68FF810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39.1*** (33.4, 44.9)</w:t>
            </w:r>
          </w:p>
        </w:tc>
        <w:tc>
          <w:tcPr>
            <w:tcW w:w="2005" w:type="dxa"/>
            <w:tcBorders>
              <w:top w:val="nil"/>
              <w:left w:val="nil"/>
              <w:bottom w:val="nil"/>
              <w:right w:val="nil"/>
            </w:tcBorders>
            <w:shd w:val="clear" w:color="000000" w:fill="F2F2F2"/>
            <w:noWrap/>
            <w:vAlign w:val="bottom"/>
            <w:hideMark/>
          </w:tcPr>
          <w:p w14:paraId="2D04CD1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(-0.1, 0)</w:t>
            </w:r>
          </w:p>
        </w:tc>
        <w:tc>
          <w:tcPr>
            <w:tcW w:w="2006" w:type="dxa"/>
            <w:tcBorders>
              <w:top w:val="nil"/>
              <w:left w:val="nil"/>
              <w:bottom w:val="nil"/>
              <w:right w:val="nil"/>
            </w:tcBorders>
            <w:shd w:val="clear" w:color="000000" w:fill="F2F2F2"/>
            <w:noWrap/>
            <w:vAlign w:val="bottom"/>
            <w:hideMark/>
          </w:tcPr>
          <w:p w14:paraId="2C3CE15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79.9*** (68.2, 91.7)</w:t>
            </w:r>
          </w:p>
        </w:tc>
        <w:tc>
          <w:tcPr>
            <w:tcW w:w="2005" w:type="dxa"/>
            <w:tcBorders>
              <w:top w:val="nil"/>
              <w:left w:val="nil"/>
              <w:bottom w:val="nil"/>
              <w:right w:val="nil"/>
            </w:tcBorders>
            <w:shd w:val="clear" w:color="000000" w:fill="F2F2F2"/>
            <w:noWrap/>
            <w:vAlign w:val="bottom"/>
            <w:hideMark/>
          </w:tcPr>
          <w:p w14:paraId="369EB03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8.7*** (7.5, 10)</w:t>
            </w:r>
          </w:p>
        </w:tc>
        <w:tc>
          <w:tcPr>
            <w:tcW w:w="2005" w:type="dxa"/>
            <w:tcBorders>
              <w:top w:val="nil"/>
              <w:left w:val="nil"/>
              <w:bottom w:val="nil"/>
              <w:right w:val="nil"/>
            </w:tcBorders>
            <w:shd w:val="clear" w:color="000000" w:fill="F2F2F2"/>
            <w:noWrap/>
            <w:vAlign w:val="bottom"/>
            <w:hideMark/>
          </w:tcPr>
          <w:p w14:paraId="00DAD20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210.6*** (197.8, 223.3)</w:t>
            </w:r>
          </w:p>
        </w:tc>
        <w:tc>
          <w:tcPr>
            <w:tcW w:w="2006" w:type="dxa"/>
            <w:tcBorders>
              <w:top w:val="nil"/>
              <w:left w:val="nil"/>
              <w:bottom w:val="nil"/>
              <w:right w:val="nil"/>
            </w:tcBorders>
            <w:shd w:val="clear" w:color="000000" w:fill="F2F2F2"/>
            <w:noWrap/>
            <w:vAlign w:val="bottom"/>
            <w:hideMark/>
          </w:tcPr>
          <w:p w14:paraId="65B7F1D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C03FA1" w:rsidRPr="00A80562" w14:paraId="421F3A48" w14:textId="77777777" w:rsidTr="00A80562">
        <w:trPr>
          <w:trHeight w:val="239"/>
        </w:trPr>
        <w:tc>
          <w:tcPr>
            <w:tcW w:w="3269" w:type="dxa"/>
            <w:gridSpan w:val="2"/>
            <w:tcBorders>
              <w:top w:val="nil"/>
              <w:left w:val="nil"/>
              <w:bottom w:val="single" w:sz="4" w:space="0" w:color="auto"/>
              <w:right w:val="nil"/>
            </w:tcBorders>
            <w:shd w:val="clear" w:color="auto" w:fill="auto"/>
            <w:noWrap/>
            <w:vAlign w:val="bottom"/>
            <w:hideMark/>
          </w:tcPr>
          <w:p w14:paraId="029D8C9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Inpatient admissions:</w:t>
            </w:r>
          </w:p>
        </w:tc>
        <w:tc>
          <w:tcPr>
            <w:tcW w:w="2005" w:type="dxa"/>
            <w:tcBorders>
              <w:top w:val="nil"/>
              <w:left w:val="single" w:sz="4" w:space="0" w:color="auto"/>
              <w:bottom w:val="single" w:sz="4" w:space="0" w:color="auto"/>
              <w:right w:val="nil"/>
            </w:tcBorders>
            <w:shd w:val="clear" w:color="auto" w:fill="auto"/>
            <w:noWrap/>
            <w:vAlign w:val="bottom"/>
            <w:hideMark/>
          </w:tcPr>
          <w:p w14:paraId="7126F06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7DE20CD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641482E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01EDD0A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1B6B35A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7AF5C8A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C03FA1" w:rsidRPr="00A80562" w14:paraId="3DA6319F" w14:textId="77777777" w:rsidTr="00A80562">
        <w:trPr>
          <w:trHeight w:val="239"/>
        </w:trPr>
        <w:tc>
          <w:tcPr>
            <w:tcW w:w="236" w:type="dxa"/>
            <w:tcBorders>
              <w:top w:val="nil"/>
              <w:left w:val="nil"/>
              <w:bottom w:val="nil"/>
              <w:right w:val="nil"/>
            </w:tcBorders>
            <w:shd w:val="clear" w:color="auto" w:fill="auto"/>
            <w:noWrap/>
            <w:vAlign w:val="bottom"/>
            <w:hideMark/>
          </w:tcPr>
          <w:p w14:paraId="430BBBFD"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000000" w:fill="F2F2F2"/>
            <w:noWrap/>
            <w:vAlign w:val="bottom"/>
            <w:hideMark/>
          </w:tcPr>
          <w:p w14:paraId="3437BEF7"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Total bed days</w:t>
            </w:r>
          </w:p>
        </w:tc>
        <w:tc>
          <w:tcPr>
            <w:tcW w:w="2005" w:type="dxa"/>
            <w:tcBorders>
              <w:top w:val="nil"/>
              <w:left w:val="single" w:sz="4" w:space="0" w:color="auto"/>
              <w:bottom w:val="nil"/>
              <w:right w:val="nil"/>
            </w:tcBorders>
            <w:shd w:val="clear" w:color="000000" w:fill="F2F2F2"/>
            <w:noWrap/>
            <w:vAlign w:val="bottom"/>
            <w:hideMark/>
          </w:tcPr>
          <w:p w14:paraId="59A5CC5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190.3*** (164.7, 215.9)</w:t>
            </w:r>
          </w:p>
        </w:tc>
        <w:tc>
          <w:tcPr>
            <w:tcW w:w="2005" w:type="dxa"/>
            <w:tcBorders>
              <w:top w:val="nil"/>
              <w:left w:val="nil"/>
              <w:bottom w:val="nil"/>
              <w:right w:val="nil"/>
            </w:tcBorders>
            <w:shd w:val="clear" w:color="000000" w:fill="F2F2F2"/>
            <w:noWrap/>
            <w:vAlign w:val="bottom"/>
            <w:hideMark/>
          </w:tcPr>
          <w:p w14:paraId="489D11C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 (-0.3, 0.1)</w:t>
            </w:r>
          </w:p>
        </w:tc>
        <w:tc>
          <w:tcPr>
            <w:tcW w:w="2006" w:type="dxa"/>
            <w:tcBorders>
              <w:top w:val="nil"/>
              <w:left w:val="nil"/>
              <w:bottom w:val="nil"/>
              <w:right w:val="nil"/>
            </w:tcBorders>
            <w:shd w:val="clear" w:color="000000" w:fill="F2F2F2"/>
            <w:noWrap/>
            <w:vAlign w:val="bottom"/>
            <w:hideMark/>
          </w:tcPr>
          <w:p w14:paraId="4CC0CA6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-7.1 (-43.6, 29.4)</w:t>
            </w:r>
          </w:p>
        </w:tc>
        <w:tc>
          <w:tcPr>
            <w:tcW w:w="2005" w:type="dxa"/>
            <w:tcBorders>
              <w:top w:val="nil"/>
              <w:left w:val="nil"/>
              <w:bottom w:val="nil"/>
              <w:right w:val="nil"/>
            </w:tcBorders>
            <w:shd w:val="clear" w:color="000000" w:fill="F2F2F2"/>
            <w:noWrap/>
            <w:vAlign w:val="bottom"/>
            <w:hideMark/>
          </w:tcPr>
          <w:p w14:paraId="1B219E9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-0.8 (-6.5, 4.9)</w:t>
            </w:r>
          </w:p>
        </w:tc>
        <w:tc>
          <w:tcPr>
            <w:tcW w:w="2005" w:type="dxa"/>
            <w:tcBorders>
              <w:top w:val="nil"/>
              <w:left w:val="nil"/>
              <w:bottom w:val="nil"/>
              <w:right w:val="nil"/>
            </w:tcBorders>
            <w:shd w:val="clear" w:color="000000" w:fill="F2F2F2"/>
            <w:noWrap/>
            <w:vAlign w:val="bottom"/>
            <w:hideMark/>
          </w:tcPr>
          <w:p w14:paraId="73CE0A8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-18.8 (-100.7, 63.1)</w:t>
            </w:r>
          </w:p>
        </w:tc>
        <w:tc>
          <w:tcPr>
            <w:tcW w:w="2006" w:type="dxa"/>
            <w:tcBorders>
              <w:top w:val="nil"/>
              <w:left w:val="nil"/>
              <w:bottom w:val="nil"/>
              <w:right w:val="nil"/>
            </w:tcBorders>
            <w:shd w:val="clear" w:color="000000" w:fill="F2F2F2"/>
            <w:noWrap/>
            <w:vAlign w:val="bottom"/>
            <w:hideMark/>
          </w:tcPr>
          <w:p w14:paraId="4275D62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(2, 0, 0)</w:t>
            </w:r>
          </w:p>
        </w:tc>
      </w:tr>
      <w:tr w:rsidR="00C03FA1" w:rsidRPr="00A80562" w14:paraId="6545BB79" w14:textId="77777777" w:rsidTr="00A80562">
        <w:trPr>
          <w:trHeight w:val="239"/>
        </w:trPr>
        <w:tc>
          <w:tcPr>
            <w:tcW w:w="3269" w:type="dxa"/>
            <w:gridSpan w:val="2"/>
            <w:tcBorders>
              <w:top w:val="nil"/>
              <w:left w:val="nil"/>
              <w:bottom w:val="single" w:sz="4" w:space="0" w:color="auto"/>
              <w:right w:val="nil"/>
            </w:tcBorders>
            <w:shd w:val="clear" w:color="auto" w:fill="auto"/>
            <w:noWrap/>
            <w:vAlign w:val="bottom"/>
            <w:hideMark/>
          </w:tcPr>
          <w:p w14:paraId="2BCA803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HoNOS assessments:</w:t>
            </w:r>
          </w:p>
        </w:tc>
        <w:tc>
          <w:tcPr>
            <w:tcW w:w="2005" w:type="dxa"/>
            <w:tcBorders>
              <w:top w:val="nil"/>
              <w:left w:val="single" w:sz="4" w:space="0" w:color="auto"/>
              <w:bottom w:val="single" w:sz="4" w:space="0" w:color="auto"/>
              <w:right w:val="nil"/>
            </w:tcBorders>
            <w:shd w:val="clear" w:color="auto" w:fill="auto"/>
            <w:noWrap/>
            <w:vAlign w:val="bottom"/>
            <w:hideMark/>
          </w:tcPr>
          <w:p w14:paraId="12A5CDE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7DD9879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1D336FD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5955752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3E7D076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5D92D6C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C03FA1" w:rsidRPr="00A80562" w14:paraId="291B7F19" w14:textId="77777777" w:rsidTr="00A80562">
        <w:trPr>
          <w:trHeight w:val="239"/>
        </w:trPr>
        <w:tc>
          <w:tcPr>
            <w:tcW w:w="236" w:type="dxa"/>
            <w:tcBorders>
              <w:top w:val="nil"/>
              <w:left w:val="nil"/>
              <w:bottom w:val="nil"/>
              <w:right w:val="nil"/>
            </w:tcBorders>
            <w:shd w:val="clear" w:color="auto" w:fill="auto"/>
            <w:noWrap/>
            <w:vAlign w:val="bottom"/>
            <w:hideMark/>
          </w:tcPr>
          <w:p w14:paraId="3F35F97B"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000000" w:fill="F2F2F2"/>
            <w:noWrap/>
            <w:vAlign w:val="bottom"/>
            <w:hideMark/>
          </w:tcPr>
          <w:p w14:paraId="14B0CC70"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Total assessments</w:t>
            </w:r>
          </w:p>
        </w:tc>
        <w:tc>
          <w:tcPr>
            <w:tcW w:w="2005" w:type="dxa"/>
            <w:tcBorders>
              <w:top w:val="nil"/>
              <w:left w:val="single" w:sz="4" w:space="0" w:color="auto"/>
              <w:bottom w:val="nil"/>
              <w:right w:val="nil"/>
            </w:tcBorders>
            <w:shd w:val="clear" w:color="000000" w:fill="F2F2F2"/>
            <w:noWrap/>
            <w:vAlign w:val="bottom"/>
            <w:hideMark/>
          </w:tcPr>
          <w:p w14:paraId="5D9F959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15.86*** (14.57, 17.15)</w:t>
            </w:r>
          </w:p>
        </w:tc>
        <w:tc>
          <w:tcPr>
            <w:tcW w:w="2005" w:type="dxa"/>
            <w:tcBorders>
              <w:top w:val="nil"/>
              <w:left w:val="nil"/>
              <w:bottom w:val="nil"/>
              <w:right w:val="nil"/>
            </w:tcBorders>
            <w:shd w:val="clear" w:color="000000" w:fill="F2F2F2"/>
            <w:noWrap/>
            <w:vAlign w:val="bottom"/>
            <w:hideMark/>
          </w:tcPr>
          <w:p w14:paraId="4E3B995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(-0.01, 0.01)</w:t>
            </w:r>
          </w:p>
        </w:tc>
        <w:tc>
          <w:tcPr>
            <w:tcW w:w="2006" w:type="dxa"/>
            <w:tcBorders>
              <w:top w:val="nil"/>
              <w:left w:val="nil"/>
              <w:bottom w:val="nil"/>
              <w:right w:val="nil"/>
            </w:tcBorders>
            <w:shd w:val="clear" w:color="000000" w:fill="F2F2F2"/>
            <w:noWrap/>
            <w:vAlign w:val="bottom"/>
            <w:hideMark/>
          </w:tcPr>
          <w:p w14:paraId="5F75F79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-4.92 (-10.12, 0.28)</w:t>
            </w:r>
          </w:p>
        </w:tc>
        <w:tc>
          <w:tcPr>
            <w:tcW w:w="2005" w:type="dxa"/>
            <w:tcBorders>
              <w:top w:val="nil"/>
              <w:left w:val="nil"/>
              <w:bottom w:val="nil"/>
              <w:right w:val="nil"/>
            </w:tcBorders>
            <w:shd w:val="clear" w:color="000000" w:fill="F2F2F2"/>
            <w:noWrap/>
            <w:vAlign w:val="bottom"/>
            <w:hideMark/>
          </w:tcPr>
          <w:p w14:paraId="4BA75D8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0.51 (-0.05, 1.06)</w:t>
            </w:r>
          </w:p>
        </w:tc>
        <w:tc>
          <w:tcPr>
            <w:tcW w:w="2005" w:type="dxa"/>
            <w:tcBorders>
              <w:top w:val="nil"/>
              <w:left w:val="nil"/>
              <w:bottom w:val="nil"/>
              <w:right w:val="nil"/>
            </w:tcBorders>
            <w:shd w:val="clear" w:color="000000" w:fill="F2F2F2"/>
            <w:noWrap/>
            <w:vAlign w:val="bottom"/>
            <w:hideMark/>
          </w:tcPr>
          <w:p w14:paraId="6EBBD47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2.72 (-2.06, 7.5)</w:t>
            </w:r>
          </w:p>
        </w:tc>
        <w:tc>
          <w:tcPr>
            <w:tcW w:w="2006" w:type="dxa"/>
            <w:tcBorders>
              <w:top w:val="nil"/>
              <w:left w:val="nil"/>
              <w:bottom w:val="nil"/>
              <w:right w:val="nil"/>
            </w:tcBorders>
            <w:shd w:val="clear" w:color="000000" w:fill="F2F2F2"/>
            <w:noWrap/>
            <w:vAlign w:val="bottom"/>
            <w:hideMark/>
          </w:tcPr>
          <w:p w14:paraId="36D1C91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1C3903C3" w14:textId="77777777" w:rsidTr="00A80562">
        <w:trPr>
          <w:trHeight w:val="239"/>
        </w:trPr>
        <w:tc>
          <w:tcPr>
            <w:tcW w:w="3269" w:type="dxa"/>
            <w:gridSpan w:val="2"/>
            <w:tcBorders>
              <w:top w:val="nil"/>
              <w:left w:val="nil"/>
              <w:bottom w:val="single" w:sz="4" w:space="0" w:color="auto"/>
              <w:right w:val="nil"/>
            </w:tcBorders>
            <w:shd w:val="clear" w:color="auto" w:fill="auto"/>
            <w:noWrap/>
            <w:vAlign w:val="bottom"/>
            <w:hideMark/>
          </w:tcPr>
          <w:p w14:paraId="1EE7A77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HoNOS scores:</w:t>
            </w:r>
          </w:p>
        </w:tc>
        <w:tc>
          <w:tcPr>
            <w:tcW w:w="2005" w:type="dxa"/>
            <w:tcBorders>
              <w:top w:val="nil"/>
              <w:left w:val="single" w:sz="4" w:space="0" w:color="auto"/>
              <w:bottom w:val="single" w:sz="4" w:space="0" w:color="auto"/>
              <w:right w:val="nil"/>
            </w:tcBorders>
            <w:shd w:val="clear" w:color="auto" w:fill="auto"/>
            <w:noWrap/>
            <w:vAlign w:val="bottom"/>
            <w:hideMark/>
          </w:tcPr>
          <w:p w14:paraId="381061B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6781690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6AA6BFD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1A1B02A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single" w:sz="4" w:space="0" w:color="auto"/>
              <w:right w:val="nil"/>
            </w:tcBorders>
            <w:shd w:val="clear" w:color="auto" w:fill="auto"/>
            <w:noWrap/>
            <w:vAlign w:val="bottom"/>
            <w:hideMark/>
          </w:tcPr>
          <w:p w14:paraId="1940E50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6" w:type="dxa"/>
            <w:tcBorders>
              <w:top w:val="nil"/>
              <w:left w:val="nil"/>
              <w:bottom w:val="single" w:sz="4" w:space="0" w:color="auto"/>
              <w:right w:val="nil"/>
            </w:tcBorders>
            <w:shd w:val="clear" w:color="auto" w:fill="auto"/>
            <w:noWrap/>
            <w:vAlign w:val="bottom"/>
            <w:hideMark/>
          </w:tcPr>
          <w:p w14:paraId="699F382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C03FA1" w:rsidRPr="00A80562" w14:paraId="138DAF16" w14:textId="77777777" w:rsidTr="00A80562">
        <w:trPr>
          <w:trHeight w:val="239"/>
        </w:trPr>
        <w:tc>
          <w:tcPr>
            <w:tcW w:w="236" w:type="dxa"/>
            <w:tcBorders>
              <w:top w:val="nil"/>
              <w:left w:val="nil"/>
              <w:bottom w:val="nil"/>
              <w:right w:val="nil"/>
            </w:tcBorders>
            <w:shd w:val="clear" w:color="auto" w:fill="auto"/>
            <w:noWrap/>
            <w:vAlign w:val="bottom"/>
            <w:hideMark/>
          </w:tcPr>
          <w:p w14:paraId="5252050A"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000000" w:fill="F2F2F2"/>
            <w:noWrap/>
            <w:vAlign w:val="bottom"/>
            <w:hideMark/>
          </w:tcPr>
          <w:p w14:paraId="2F982920"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total score</w:t>
            </w:r>
          </w:p>
        </w:tc>
        <w:tc>
          <w:tcPr>
            <w:tcW w:w="2005" w:type="dxa"/>
            <w:tcBorders>
              <w:top w:val="nil"/>
              <w:left w:val="single" w:sz="4" w:space="0" w:color="auto"/>
              <w:bottom w:val="nil"/>
              <w:right w:val="nil"/>
            </w:tcBorders>
            <w:shd w:val="clear" w:color="000000" w:fill="F2F2F2"/>
            <w:noWrap/>
            <w:vAlign w:val="bottom"/>
            <w:hideMark/>
          </w:tcPr>
          <w:p w14:paraId="7B6E77F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12.992*** (12.506, 13.477)</w:t>
            </w:r>
          </w:p>
        </w:tc>
        <w:tc>
          <w:tcPr>
            <w:tcW w:w="2005" w:type="dxa"/>
            <w:tcBorders>
              <w:top w:val="nil"/>
              <w:left w:val="nil"/>
              <w:bottom w:val="nil"/>
              <w:right w:val="nil"/>
            </w:tcBorders>
            <w:shd w:val="clear" w:color="000000" w:fill="F2F2F2"/>
            <w:noWrap/>
            <w:vAlign w:val="bottom"/>
            <w:hideMark/>
          </w:tcPr>
          <w:p w14:paraId="57FCC8D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-0.004* (-0.008, -0.001)</w:t>
            </w:r>
          </w:p>
        </w:tc>
        <w:tc>
          <w:tcPr>
            <w:tcW w:w="2006" w:type="dxa"/>
            <w:tcBorders>
              <w:top w:val="nil"/>
              <w:left w:val="nil"/>
              <w:bottom w:val="nil"/>
              <w:right w:val="nil"/>
            </w:tcBorders>
            <w:shd w:val="clear" w:color="000000" w:fill="F2F2F2"/>
            <w:noWrap/>
            <w:vAlign w:val="bottom"/>
            <w:hideMark/>
          </w:tcPr>
          <w:p w14:paraId="17B1F46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-2.504*** (-3.217, -1.79)</w:t>
            </w:r>
          </w:p>
        </w:tc>
        <w:tc>
          <w:tcPr>
            <w:tcW w:w="2005" w:type="dxa"/>
            <w:tcBorders>
              <w:top w:val="nil"/>
              <w:left w:val="nil"/>
              <w:bottom w:val="nil"/>
              <w:right w:val="nil"/>
            </w:tcBorders>
            <w:shd w:val="clear" w:color="000000" w:fill="F2F2F2"/>
            <w:noWrap/>
            <w:vAlign w:val="bottom"/>
            <w:hideMark/>
          </w:tcPr>
          <w:p w14:paraId="20F965B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0.179*** (0.122, 0.237)</w:t>
            </w:r>
          </w:p>
        </w:tc>
        <w:tc>
          <w:tcPr>
            <w:tcW w:w="2005" w:type="dxa"/>
            <w:tcBorders>
              <w:top w:val="nil"/>
              <w:left w:val="nil"/>
              <w:bottom w:val="nil"/>
              <w:right w:val="nil"/>
            </w:tcBorders>
            <w:shd w:val="clear" w:color="000000" w:fill="F2F2F2"/>
            <w:noWrap/>
            <w:vAlign w:val="bottom"/>
            <w:hideMark/>
          </w:tcPr>
          <w:p w14:paraId="1ABFD89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0.188 (-0.497, 0.873)</w:t>
            </w:r>
          </w:p>
        </w:tc>
        <w:tc>
          <w:tcPr>
            <w:tcW w:w="2006" w:type="dxa"/>
            <w:tcBorders>
              <w:top w:val="nil"/>
              <w:left w:val="nil"/>
              <w:bottom w:val="nil"/>
              <w:right w:val="nil"/>
            </w:tcBorders>
            <w:shd w:val="clear" w:color="000000" w:fill="F2F2F2"/>
            <w:noWrap/>
            <w:vAlign w:val="bottom"/>
            <w:hideMark/>
          </w:tcPr>
          <w:p w14:paraId="4CE54B7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1822D8BC"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3D82AD1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Overactive, aggressive, disruptive or agitated behaviour</w:t>
            </w:r>
          </w:p>
        </w:tc>
        <w:tc>
          <w:tcPr>
            <w:tcW w:w="2005" w:type="dxa"/>
            <w:tcBorders>
              <w:top w:val="nil"/>
              <w:left w:val="single" w:sz="4" w:space="0" w:color="auto"/>
              <w:bottom w:val="nil"/>
              <w:right w:val="nil"/>
            </w:tcBorders>
            <w:shd w:val="clear" w:color="auto" w:fill="auto"/>
            <w:noWrap/>
            <w:vAlign w:val="bottom"/>
            <w:hideMark/>
          </w:tcPr>
          <w:p w14:paraId="5936495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12A8FC48"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77E30FEC"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5CE6D2A9"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1E2C7609"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2AB90C8A" w14:textId="77777777" w:rsidR="00C03FA1" w:rsidRPr="00A80562" w:rsidRDefault="00C03FA1" w:rsidP="00C03FA1">
            <w:pPr>
              <w:spacing w:after="0" w:line="240" w:lineRule="auto"/>
              <w:jc w:val="left"/>
              <w:rPr>
                <w:rFonts w:eastAsia="Times New Roman"/>
                <w:lang w:eastAsia="en-GB"/>
              </w:rPr>
            </w:pPr>
          </w:p>
        </w:tc>
      </w:tr>
      <w:tr w:rsidR="00C03FA1" w:rsidRPr="00A80562" w14:paraId="632CAE05" w14:textId="77777777" w:rsidTr="00A80562">
        <w:trPr>
          <w:trHeight w:val="239"/>
        </w:trPr>
        <w:tc>
          <w:tcPr>
            <w:tcW w:w="236" w:type="dxa"/>
            <w:tcBorders>
              <w:top w:val="nil"/>
              <w:left w:val="nil"/>
              <w:bottom w:val="nil"/>
              <w:right w:val="nil"/>
            </w:tcBorders>
            <w:shd w:val="clear" w:color="auto" w:fill="auto"/>
            <w:noWrap/>
            <w:vAlign w:val="bottom"/>
            <w:hideMark/>
          </w:tcPr>
          <w:p w14:paraId="0BE16C88"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620D54C7"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347A390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56.92*** (52.85, 60.99)</w:t>
            </w:r>
          </w:p>
        </w:tc>
        <w:tc>
          <w:tcPr>
            <w:tcW w:w="2005" w:type="dxa"/>
            <w:tcBorders>
              <w:top w:val="nil"/>
              <w:left w:val="nil"/>
              <w:bottom w:val="nil"/>
              <w:right w:val="nil"/>
            </w:tcBorders>
            <w:shd w:val="clear" w:color="000000" w:fill="F2F2F2"/>
            <w:noWrap/>
            <w:vAlign w:val="bottom"/>
            <w:hideMark/>
          </w:tcPr>
          <w:p w14:paraId="4FEB6AA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 (-0.06, 0)</w:t>
            </w:r>
          </w:p>
        </w:tc>
        <w:tc>
          <w:tcPr>
            <w:tcW w:w="2006" w:type="dxa"/>
            <w:tcBorders>
              <w:top w:val="nil"/>
              <w:left w:val="nil"/>
              <w:bottom w:val="nil"/>
              <w:right w:val="nil"/>
            </w:tcBorders>
            <w:shd w:val="clear" w:color="000000" w:fill="F2F2F2"/>
            <w:noWrap/>
            <w:vAlign w:val="bottom"/>
            <w:hideMark/>
          </w:tcPr>
          <w:p w14:paraId="1566AA9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-5.38 (-11.35, 0.6)</w:t>
            </w:r>
          </w:p>
        </w:tc>
        <w:tc>
          <w:tcPr>
            <w:tcW w:w="2005" w:type="dxa"/>
            <w:tcBorders>
              <w:top w:val="nil"/>
              <w:left w:val="nil"/>
              <w:bottom w:val="nil"/>
              <w:right w:val="nil"/>
            </w:tcBorders>
            <w:shd w:val="clear" w:color="000000" w:fill="F2F2F2"/>
            <w:noWrap/>
            <w:vAlign w:val="bottom"/>
            <w:hideMark/>
          </w:tcPr>
          <w:p w14:paraId="1EAA046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0.67** (0.19, 1.15)</w:t>
            </w:r>
          </w:p>
        </w:tc>
        <w:tc>
          <w:tcPr>
            <w:tcW w:w="2005" w:type="dxa"/>
            <w:tcBorders>
              <w:top w:val="nil"/>
              <w:left w:val="nil"/>
              <w:bottom w:val="nil"/>
              <w:right w:val="nil"/>
            </w:tcBorders>
            <w:shd w:val="clear" w:color="000000" w:fill="F2F2F2"/>
            <w:noWrap/>
            <w:vAlign w:val="bottom"/>
            <w:hideMark/>
          </w:tcPr>
          <w:p w14:paraId="7B77655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4.66 (-1.07, 10.4)</w:t>
            </w:r>
          </w:p>
        </w:tc>
        <w:tc>
          <w:tcPr>
            <w:tcW w:w="2006" w:type="dxa"/>
            <w:tcBorders>
              <w:top w:val="nil"/>
              <w:left w:val="nil"/>
              <w:bottom w:val="nil"/>
              <w:right w:val="nil"/>
            </w:tcBorders>
            <w:shd w:val="clear" w:color="000000" w:fill="F2F2F2"/>
            <w:noWrap/>
            <w:vAlign w:val="bottom"/>
            <w:hideMark/>
          </w:tcPr>
          <w:p w14:paraId="2E78965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669BBC1B" w14:textId="77777777" w:rsidTr="00A80562">
        <w:trPr>
          <w:trHeight w:val="239"/>
        </w:trPr>
        <w:tc>
          <w:tcPr>
            <w:tcW w:w="236" w:type="dxa"/>
            <w:tcBorders>
              <w:top w:val="nil"/>
              <w:left w:val="nil"/>
              <w:bottom w:val="nil"/>
              <w:right w:val="nil"/>
            </w:tcBorders>
            <w:shd w:val="clear" w:color="auto" w:fill="auto"/>
            <w:noWrap/>
            <w:vAlign w:val="bottom"/>
            <w:hideMark/>
          </w:tcPr>
          <w:p w14:paraId="441CDFEA"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22C6F5A4"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45CA620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1.106*** (1.023, 1.189)</w:t>
            </w:r>
          </w:p>
        </w:tc>
        <w:tc>
          <w:tcPr>
            <w:tcW w:w="2005" w:type="dxa"/>
            <w:tcBorders>
              <w:top w:val="nil"/>
              <w:left w:val="nil"/>
              <w:bottom w:val="nil"/>
              <w:right w:val="nil"/>
            </w:tcBorders>
            <w:shd w:val="clear" w:color="auto" w:fill="auto"/>
            <w:noWrap/>
            <w:vAlign w:val="bottom"/>
            <w:hideMark/>
          </w:tcPr>
          <w:p w14:paraId="002085E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(-0.002, -0.001)</w:t>
            </w:r>
          </w:p>
        </w:tc>
        <w:tc>
          <w:tcPr>
            <w:tcW w:w="2006" w:type="dxa"/>
            <w:tcBorders>
              <w:top w:val="nil"/>
              <w:left w:val="nil"/>
              <w:bottom w:val="nil"/>
              <w:right w:val="nil"/>
            </w:tcBorders>
            <w:shd w:val="clear" w:color="auto" w:fill="auto"/>
            <w:noWrap/>
            <w:vAlign w:val="bottom"/>
            <w:hideMark/>
          </w:tcPr>
          <w:p w14:paraId="7ABCFDE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-0.095 (-0.217, 0.027)</w:t>
            </w:r>
          </w:p>
        </w:tc>
        <w:tc>
          <w:tcPr>
            <w:tcW w:w="2005" w:type="dxa"/>
            <w:tcBorders>
              <w:top w:val="nil"/>
              <w:left w:val="nil"/>
              <w:bottom w:val="nil"/>
              <w:right w:val="nil"/>
            </w:tcBorders>
            <w:shd w:val="clear" w:color="auto" w:fill="auto"/>
            <w:noWrap/>
            <w:vAlign w:val="bottom"/>
            <w:hideMark/>
          </w:tcPr>
          <w:p w14:paraId="3F664A3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0.016** (0.006, 0.026)</w:t>
            </w:r>
          </w:p>
        </w:tc>
        <w:tc>
          <w:tcPr>
            <w:tcW w:w="2005" w:type="dxa"/>
            <w:tcBorders>
              <w:top w:val="nil"/>
              <w:left w:val="nil"/>
              <w:bottom w:val="nil"/>
              <w:right w:val="nil"/>
            </w:tcBorders>
            <w:shd w:val="clear" w:color="auto" w:fill="auto"/>
            <w:noWrap/>
            <w:vAlign w:val="bottom"/>
            <w:hideMark/>
          </w:tcPr>
          <w:p w14:paraId="523ABFA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0.147* (0.03, 0.264)</w:t>
            </w:r>
          </w:p>
        </w:tc>
        <w:tc>
          <w:tcPr>
            <w:tcW w:w="2006" w:type="dxa"/>
            <w:tcBorders>
              <w:top w:val="nil"/>
              <w:left w:val="nil"/>
              <w:bottom w:val="nil"/>
              <w:right w:val="nil"/>
            </w:tcBorders>
            <w:shd w:val="clear" w:color="auto" w:fill="auto"/>
            <w:noWrap/>
            <w:vAlign w:val="bottom"/>
            <w:hideMark/>
          </w:tcPr>
          <w:p w14:paraId="32D6698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1B293B18"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7F8C440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Non-accidental self-injury</w:t>
            </w:r>
          </w:p>
        </w:tc>
        <w:tc>
          <w:tcPr>
            <w:tcW w:w="2005" w:type="dxa"/>
            <w:tcBorders>
              <w:top w:val="nil"/>
              <w:left w:val="single" w:sz="4" w:space="0" w:color="auto"/>
              <w:bottom w:val="nil"/>
              <w:right w:val="nil"/>
            </w:tcBorders>
            <w:shd w:val="clear" w:color="auto" w:fill="auto"/>
            <w:noWrap/>
            <w:vAlign w:val="bottom"/>
            <w:hideMark/>
          </w:tcPr>
          <w:p w14:paraId="4319BF4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4DCC6D7F"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36918564"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07B72885"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189A2BF8"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6D957EAA" w14:textId="77777777" w:rsidR="00C03FA1" w:rsidRPr="00A80562" w:rsidRDefault="00C03FA1" w:rsidP="00C03FA1">
            <w:pPr>
              <w:spacing w:after="0" w:line="240" w:lineRule="auto"/>
              <w:jc w:val="left"/>
              <w:rPr>
                <w:rFonts w:eastAsia="Times New Roman"/>
                <w:lang w:eastAsia="en-GB"/>
              </w:rPr>
            </w:pPr>
          </w:p>
        </w:tc>
      </w:tr>
      <w:tr w:rsidR="00C03FA1" w:rsidRPr="00A80562" w14:paraId="0339807E" w14:textId="77777777" w:rsidTr="00A80562">
        <w:trPr>
          <w:trHeight w:val="239"/>
        </w:trPr>
        <w:tc>
          <w:tcPr>
            <w:tcW w:w="236" w:type="dxa"/>
            <w:tcBorders>
              <w:top w:val="nil"/>
              <w:left w:val="nil"/>
              <w:bottom w:val="nil"/>
              <w:right w:val="nil"/>
            </w:tcBorders>
            <w:shd w:val="clear" w:color="auto" w:fill="auto"/>
            <w:noWrap/>
            <w:vAlign w:val="bottom"/>
            <w:hideMark/>
          </w:tcPr>
          <w:p w14:paraId="17CCBA99"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241F3FDF"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5DE2220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31*** (27.6, 34.4)</w:t>
            </w:r>
          </w:p>
        </w:tc>
        <w:tc>
          <w:tcPr>
            <w:tcW w:w="2005" w:type="dxa"/>
            <w:tcBorders>
              <w:top w:val="nil"/>
              <w:left w:val="nil"/>
              <w:bottom w:val="nil"/>
              <w:right w:val="nil"/>
            </w:tcBorders>
            <w:shd w:val="clear" w:color="000000" w:fill="F2F2F2"/>
            <w:noWrap/>
            <w:vAlign w:val="bottom"/>
            <w:hideMark/>
          </w:tcPr>
          <w:p w14:paraId="473F71F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0.04** (0.01, 0.06)</w:t>
            </w:r>
          </w:p>
        </w:tc>
        <w:tc>
          <w:tcPr>
            <w:tcW w:w="2006" w:type="dxa"/>
            <w:tcBorders>
              <w:top w:val="nil"/>
              <w:left w:val="nil"/>
              <w:bottom w:val="nil"/>
              <w:right w:val="nil"/>
            </w:tcBorders>
            <w:shd w:val="clear" w:color="000000" w:fill="F2F2F2"/>
            <w:noWrap/>
            <w:vAlign w:val="bottom"/>
            <w:hideMark/>
          </w:tcPr>
          <w:p w14:paraId="6803859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-0.24 (-5.24, 4.76)</w:t>
            </w:r>
          </w:p>
        </w:tc>
        <w:tc>
          <w:tcPr>
            <w:tcW w:w="2005" w:type="dxa"/>
            <w:tcBorders>
              <w:top w:val="nil"/>
              <w:left w:val="nil"/>
              <w:bottom w:val="nil"/>
              <w:right w:val="nil"/>
            </w:tcBorders>
            <w:shd w:val="clear" w:color="000000" w:fill="F2F2F2"/>
            <w:noWrap/>
            <w:vAlign w:val="bottom"/>
            <w:hideMark/>
          </w:tcPr>
          <w:p w14:paraId="6A27E30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-0.67** (-1.07, -0.27)</w:t>
            </w:r>
          </w:p>
        </w:tc>
        <w:tc>
          <w:tcPr>
            <w:tcW w:w="2005" w:type="dxa"/>
            <w:tcBorders>
              <w:top w:val="nil"/>
              <w:left w:val="nil"/>
              <w:bottom w:val="nil"/>
              <w:right w:val="nil"/>
            </w:tcBorders>
            <w:shd w:val="clear" w:color="000000" w:fill="F2F2F2"/>
            <w:noWrap/>
            <w:vAlign w:val="bottom"/>
            <w:hideMark/>
          </w:tcPr>
          <w:p w14:paraId="173DEEE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-10.31*** (-15.11, -5.52)</w:t>
            </w:r>
          </w:p>
        </w:tc>
        <w:tc>
          <w:tcPr>
            <w:tcW w:w="2006" w:type="dxa"/>
            <w:tcBorders>
              <w:top w:val="nil"/>
              <w:left w:val="nil"/>
              <w:bottom w:val="nil"/>
              <w:right w:val="nil"/>
            </w:tcBorders>
            <w:shd w:val="clear" w:color="000000" w:fill="F2F2F2"/>
            <w:noWrap/>
            <w:vAlign w:val="bottom"/>
            <w:hideMark/>
          </w:tcPr>
          <w:p w14:paraId="3E028F1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204725F1" w14:textId="77777777" w:rsidTr="00A80562">
        <w:trPr>
          <w:trHeight w:val="239"/>
        </w:trPr>
        <w:tc>
          <w:tcPr>
            <w:tcW w:w="236" w:type="dxa"/>
            <w:tcBorders>
              <w:top w:val="nil"/>
              <w:left w:val="nil"/>
              <w:bottom w:val="nil"/>
              <w:right w:val="nil"/>
            </w:tcBorders>
            <w:shd w:val="clear" w:color="auto" w:fill="auto"/>
            <w:noWrap/>
            <w:vAlign w:val="bottom"/>
            <w:hideMark/>
          </w:tcPr>
          <w:p w14:paraId="50030849"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1F61C04D"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041B040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0.666*** (0.6, 0.732)</w:t>
            </w:r>
          </w:p>
        </w:tc>
        <w:tc>
          <w:tcPr>
            <w:tcW w:w="2005" w:type="dxa"/>
            <w:tcBorders>
              <w:top w:val="nil"/>
              <w:left w:val="nil"/>
              <w:bottom w:val="nil"/>
              <w:right w:val="nil"/>
            </w:tcBorders>
            <w:shd w:val="clear" w:color="auto" w:fill="auto"/>
            <w:noWrap/>
            <w:vAlign w:val="bottom"/>
            <w:hideMark/>
          </w:tcPr>
          <w:p w14:paraId="1B76EB1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0.001)</w:t>
            </w:r>
          </w:p>
        </w:tc>
        <w:tc>
          <w:tcPr>
            <w:tcW w:w="2006" w:type="dxa"/>
            <w:tcBorders>
              <w:top w:val="nil"/>
              <w:left w:val="nil"/>
              <w:bottom w:val="nil"/>
              <w:right w:val="nil"/>
            </w:tcBorders>
            <w:shd w:val="clear" w:color="auto" w:fill="auto"/>
            <w:noWrap/>
            <w:vAlign w:val="bottom"/>
            <w:hideMark/>
          </w:tcPr>
          <w:p w14:paraId="3C24D98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-0.133** (-0.229, -0.036)</w:t>
            </w:r>
          </w:p>
        </w:tc>
        <w:tc>
          <w:tcPr>
            <w:tcW w:w="2005" w:type="dxa"/>
            <w:tcBorders>
              <w:top w:val="nil"/>
              <w:left w:val="nil"/>
              <w:bottom w:val="nil"/>
              <w:right w:val="nil"/>
            </w:tcBorders>
            <w:shd w:val="clear" w:color="auto" w:fill="auto"/>
            <w:noWrap/>
            <w:vAlign w:val="bottom"/>
            <w:hideMark/>
          </w:tcPr>
          <w:p w14:paraId="6CBA98B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-0.006 (-0.014, 0.002)</w:t>
            </w:r>
          </w:p>
        </w:tc>
        <w:tc>
          <w:tcPr>
            <w:tcW w:w="2005" w:type="dxa"/>
            <w:tcBorders>
              <w:top w:val="nil"/>
              <w:left w:val="nil"/>
              <w:bottom w:val="nil"/>
              <w:right w:val="nil"/>
            </w:tcBorders>
            <w:shd w:val="clear" w:color="auto" w:fill="auto"/>
            <w:noWrap/>
            <w:vAlign w:val="bottom"/>
            <w:hideMark/>
          </w:tcPr>
          <w:p w14:paraId="4D80870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-0.222*** (-0.315, -0.13)</w:t>
            </w:r>
          </w:p>
        </w:tc>
        <w:tc>
          <w:tcPr>
            <w:tcW w:w="2006" w:type="dxa"/>
            <w:tcBorders>
              <w:top w:val="nil"/>
              <w:left w:val="nil"/>
              <w:bottom w:val="nil"/>
              <w:right w:val="nil"/>
            </w:tcBorders>
            <w:shd w:val="clear" w:color="auto" w:fill="auto"/>
            <w:noWrap/>
            <w:vAlign w:val="bottom"/>
            <w:hideMark/>
          </w:tcPr>
          <w:p w14:paraId="56CA0C4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024C64AE"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64874FF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Problem-drinking or drug-taking</w:t>
            </w:r>
          </w:p>
        </w:tc>
        <w:tc>
          <w:tcPr>
            <w:tcW w:w="2005" w:type="dxa"/>
            <w:tcBorders>
              <w:top w:val="nil"/>
              <w:left w:val="single" w:sz="4" w:space="0" w:color="auto"/>
              <w:bottom w:val="nil"/>
              <w:right w:val="nil"/>
            </w:tcBorders>
            <w:shd w:val="clear" w:color="auto" w:fill="auto"/>
            <w:noWrap/>
            <w:vAlign w:val="bottom"/>
            <w:hideMark/>
          </w:tcPr>
          <w:p w14:paraId="3613802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25287F09"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1D9E4374"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5B8E820B"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051FD616"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3164C7A9" w14:textId="77777777" w:rsidR="00C03FA1" w:rsidRPr="00A80562" w:rsidRDefault="00C03FA1" w:rsidP="00C03FA1">
            <w:pPr>
              <w:spacing w:after="0" w:line="240" w:lineRule="auto"/>
              <w:jc w:val="left"/>
              <w:rPr>
                <w:rFonts w:eastAsia="Times New Roman"/>
                <w:lang w:eastAsia="en-GB"/>
              </w:rPr>
            </w:pPr>
          </w:p>
        </w:tc>
      </w:tr>
      <w:tr w:rsidR="00C03FA1" w:rsidRPr="00A80562" w14:paraId="7337A14E" w14:textId="77777777" w:rsidTr="00A80562">
        <w:trPr>
          <w:trHeight w:val="239"/>
        </w:trPr>
        <w:tc>
          <w:tcPr>
            <w:tcW w:w="236" w:type="dxa"/>
            <w:tcBorders>
              <w:top w:val="nil"/>
              <w:left w:val="nil"/>
              <w:bottom w:val="nil"/>
              <w:right w:val="nil"/>
            </w:tcBorders>
            <w:shd w:val="clear" w:color="auto" w:fill="auto"/>
            <w:noWrap/>
            <w:vAlign w:val="bottom"/>
            <w:hideMark/>
          </w:tcPr>
          <w:p w14:paraId="47BF2939"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0B9D4A87"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2C40C6D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34.06*** (30.56, 37.55)</w:t>
            </w:r>
          </w:p>
        </w:tc>
        <w:tc>
          <w:tcPr>
            <w:tcW w:w="2005" w:type="dxa"/>
            <w:tcBorders>
              <w:top w:val="nil"/>
              <w:left w:val="nil"/>
              <w:bottom w:val="nil"/>
              <w:right w:val="nil"/>
            </w:tcBorders>
            <w:shd w:val="clear" w:color="000000" w:fill="F2F2F2"/>
            <w:noWrap/>
            <w:vAlign w:val="bottom"/>
            <w:hideMark/>
          </w:tcPr>
          <w:p w14:paraId="4C1980A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(-0.02, 0.03)</w:t>
            </w:r>
          </w:p>
        </w:tc>
        <w:tc>
          <w:tcPr>
            <w:tcW w:w="2006" w:type="dxa"/>
            <w:tcBorders>
              <w:top w:val="nil"/>
              <w:left w:val="nil"/>
              <w:bottom w:val="nil"/>
              <w:right w:val="nil"/>
            </w:tcBorders>
            <w:shd w:val="clear" w:color="000000" w:fill="F2F2F2"/>
            <w:noWrap/>
            <w:vAlign w:val="bottom"/>
            <w:hideMark/>
          </w:tcPr>
          <w:p w14:paraId="096A1A6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1.89 (-3.25, 7.03)</w:t>
            </w:r>
          </w:p>
        </w:tc>
        <w:tc>
          <w:tcPr>
            <w:tcW w:w="2005" w:type="dxa"/>
            <w:tcBorders>
              <w:top w:val="nil"/>
              <w:left w:val="nil"/>
              <w:bottom w:val="nil"/>
              <w:right w:val="nil"/>
            </w:tcBorders>
            <w:shd w:val="clear" w:color="000000" w:fill="F2F2F2"/>
            <w:noWrap/>
            <w:vAlign w:val="bottom"/>
            <w:hideMark/>
          </w:tcPr>
          <w:p w14:paraId="4683CC0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0.06 (-0.35, 0.48)</w:t>
            </w:r>
          </w:p>
        </w:tc>
        <w:tc>
          <w:tcPr>
            <w:tcW w:w="2005" w:type="dxa"/>
            <w:tcBorders>
              <w:top w:val="nil"/>
              <w:left w:val="nil"/>
              <w:bottom w:val="nil"/>
              <w:right w:val="nil"/>
            </w:tcBorders>
            <w:shd w:val="clear" w:color="000000" w:fill="F2F2F2"/>
            <w:noWrap/>
            <w:vAlign w:val="bottom"/>
            <w:hideMark/>
          </w:tcPr>
          <w:p w14:paraId="493787A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2.83 (-2.09, 7.76)</w:t>
            </w:r>
          </w:p>
        </w:tc>
        <w:tc>
          <w:tcPr>
            <w:tcW w:w="2006" w:type="dxa"/>
            <w:tcBorders>
              <w:top w:val="nil"/>
              <w:left w:val="nil"/>
              <w:bottom w:val="nil"/>
              <w:right w:val="nil"/>
            </w:tcBorders>
            <w:shd w:val="clear" w:color="000000" w:fill="F2F2F2"/>
            <w:noWrap/>
            <w:vAlign w:val="bottom"/>
            <w:hideMark/>
          </w:tcPr>
          <w:p w14:paraId="725CF53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1061D5DD" w14:textId="77777777" w:rsidTr="00A80562">
        <w:trPr>
          <w:trHeight w:val="239"/>
        </w:trPr>
        <w:tc>
          <w:tcPr>
            <w:tcW w:w="236" w:type="dxa"/>
            <w:tcBorders>
              <w:top w:val="nil"/>
              <w:left w:val="nil"/>
              <w:bottom w:val="nil"/>
              <w:right w:val="nil"/>
            </w:tcBorders>
            <w:shd w:val="clear" w:color="auto" w:fill="auto"/>
            <w:noWrap/>
            <w:vAlign w:val="bottom"/>
            <w:hideMark/>
          </w:tcPr>
          <w:p w14:paraId="3834303D"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452B5439"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2A4AF42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0.771*** (0.689, 0.854)</w:t>
            </w:r>
          </w:p>
        </w:tc>
        <w:tc>
          <w:tcPr>
            <w:tcW w:w="2005" w:type="dxa"/>
            <w:tcBorders>
              <w:top w:val="nil"/>
              <w:left w:val="nil"/>
              <w:bottom w:val="nil"/>
              <w:right w:val="nil"/>
            </w:tcBorders>
            <w:shd w:val="clear" w:color="auto" w:fill="auto"/>
            <w:noWrap/>
            <w:vAlign w:val="bottom"/>
            <w:hideMark/>
          </w:tcPr>
          <w:p w14:paraId="1885A07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(-0.001, 0)</w:t>
            </w:r>
          </w:p>
        </w:tc>
        <w:tc>
          <w:tcPr>
            <w:tcW w:w="2006" w:type="dxa"/>
            <w:tcBorders>
              <w:top w:val="nil"/>
              <w:left w:val="nil"/>
              <w:bottom w:val="nil"/>
              <w:right w:val="nil"/>
            </w:tcBorders>
            <w:shd w:val="clear" w:color="auto" w:fill="auto"/>
            <w:noWrap/>
            <w:vAlign w:val="bottom"/>
            <w:hideMark/>
          </w:tcPr>
          <w:p w14:paraId="596A9BD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-0.029 (-0.15, 0.092)</w:t>
            </w:r>
          </w:p>
        </w:tc>
        <w:tc>
          <w:tcPr>
            <w:tcW w:w="2005" w:type="dxa"/>
            <w:tcBorders>
              <w:top w:val="nil"/>
              <w:left w:val="nil"/>
              <w:bottom w:val="nil"/>
              <w:right w:val="nil"/>
            </w:tcBorders>
            <w:shd w:val="clear" w:color="auto" w:fill="auto"/>
            <w:noWrap/>
            <w:vAlign w:val="bottom"/>
            <w:hideMark/>
          </w:tcPr>
          <w:p w14:paraId="69E9B5C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 0.02)</w:t>
            </w:r>
          </w:p>
        </w:tc>
        <w:tc>
          <w:tcPr>
            <w:tcW w:w="2005" w:type="dxa"/>
            <w:tcBorders>
              <w:top w:val="nil"/>
              <w:left w:val="nil"/>
              <w:bottom w:val="nil"/>
              <w:right w:val="nil"/>
            </w:tcBorders>
            <w:shd w:val="clear" w:color="auto" w:fill="auto"/>
            <w:noWrap/>
            <w:vAlign w:val="bottom"/>
            <w:hideMark/>
          </w:tcPr>
          <w:p w14:paraId="45EEE33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0.12* (0.004, 0.236)</w:t>
            </w:r>
          </w:p>
        </w:tc>
        <w:tc>
          <w:tcPr>
            <w:tcW w:w="2006" w:type="dxa"/>
            <w:tcBorders>
              <w:top w:val="nil"/>
              <w:left w:val="nil"/>
              <w:bottom w:val="nil"/>
              <w:right w:val="nil"/>
            </w:tcBorders>
            <w:shd w:val="clear" w:color="auto" w:fill="auto"/>
            <w:noWrap/>
            <w:vAlign w:val="bottom"/>
            <w:hideMark/>
          </w:tcPr>
          <w:p w14:paraId="788E911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025B3F7B"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145627F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Cognitive problems</w:t>
            </w:r>
          </w:p>
        </w:tc>
        <w:tc>
          <w:tcPr>
            <w:tcW w:w="2005" w:type="dxa"/>
            <w:tcBorders>
              <w:top w:val="nil"/>
              <w:left w:val="single" w:sz="4" w:space="0" w:color="auto"/>
              <w:bottom w:val="nil"/>
              <w:right w:val="nil"/>
            </w:tcBorders>
            <w:shd w:val="clear" w:color="auto" w:fill="auto"/>
            <w:noWrap/>
            <w:vAlign w:val="bottom"/>
            <w:hideMark/>
          </w:tcPr>
          <w:p w14:paraId="4848472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17DDCEBA"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33507436"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30870FC3"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48748501"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391F570C" w14:textId="77777777" w:rsidR="00C03FA1" w:rsidRPr="00A80562" w:rsidRDefault="00C03FA1" w:rsidP="00C03FA1">
            <w:pPr>
              <w:spacing w:after="0" w:line="240" w:lineRule="auto"/>
              <w:jc w:val="left"/>
              <w:rPr>
                <w:rFonts w:eastAsia="Times New Roman"/>
                <w:lang w:eastAsia="en-GB"/>
              </w:rPr>
            </w:pPr>
          </w:p>
        </w:tc>
      </w:tr>
      <w:tr w:rsidR="00C03FA1" w:rsidRPr="00A80562" w14:paraId="7D193C11" w14:textId="77777777" w:rsidTr="00A80562">
        <w:trPr>
          <w:trHeight w:val="239"/>
        </w:trPr>
        <w:tc>
          <w:tcPr>
            <w:tcW w:w="236" w:type="dxa"/>
            <w:tcBorders>
              <w:top w:val="nil"/>
              <w:left w:val="nil"/>
              <w:bottom w:val="nil"/>
              <w:right w:val="nil"/>
            </w:tcBorders>
            <w:shd w:val="clear" w:color="auto" w:fill="auto"/>
            <w:noWrap/>
            <w:vAlign w:val="bottom"/>
            <w:hideMark/>
          </w:tcPr>
          <w:p w14:paraId="019EF62E"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4A56E16F"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02133BE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34.3*** (31.08, 37.52)</w:t>
            </w:r>
          </w:p>
        </w:tc>
        <w:tc>
          <w:tcPr>
            <w:tcW w:w="2005" w:type="dxa"/>
            <w:tcBorders>
              <w:top w:val="nil"/>
              <w:left w:val="nil"/>
              <w:bottom w:val="nil"/>
              <w:right w:val="nil"/>
            </w:tcBorders>
            <w:shd w:val="clear" w:color="000000" w:fill="F2F2F2"/>
            <w:noWrap/>
            <w:vAlign w:val="bottom"/>
            <w:hideMark/>
          </w:tcPr>
          <w:p w14:paraId="36EEF3A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(-0.03, 0.02)</w:t>
            </w:r>
          </w:p>
        </w:tc>
        <w:tc>
          <w:tcPr>
            <w:tcW w:w="2006" w:type="dxa"/>
            <w:tcBorders>
              <w:top w:val="nil"/>
              <w:left w:val="nil"/>
              <w:bottom w:val="nil"/>
              <w:right w:val="nil"/>
            </w:tcBorders>
            <w:shd w:val="clear" w:color="000000" w:fill="F2F2F2"/>
            <w:noWrap/>
            <w:vAlign w:val="bottom"/>
            <w:hideMark/>
          </w:tcPr>
          <w:p w14:paraId="0807020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-3.3 (-8.03, 1.43)</w:t>
            </w:r>
          </w:p>
        </w:tc>
        <w:tc>
          <w:tcPr>
            <w:tcW w:w="2005" w:type="dxa"/>
            <w:tcBorders>
              <w:top w:val="nil"/>
              <w:left w:val="nil"/>
              <w:bottom w:val="nil"/>
              <w:right w:val="nil"/>
            </w:tcBorders>
            <w:shd w:val="clear" w:color="000000" w:fill="F2F2F2"/>
            <w:noWrap/>
            <w:vAlign w:val="bottom"/>
            <w:hideMark/>
          </w:tcPr>
          <w:p w14:paraId="0FE495C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0.71*** (0.33, 1.09)</w:t>
            </w:r>
          </w:p>
        </w:tc>
        <w:tc>
          <w:tcPr>
            <w:tcW w:w="2005" w:type="dxa"/>
            <w:tcBorders>
              <w:top w:val="nil"/>
              <w:left w:val="nil"/>
              <w:bottom w:val="nil"/>
              <w:right w:val="nil"/>
            </w:tcBorders>
            <w:shd w:val="clear" w:color="000000" w:fill="F2F2F2"/>
            <w:noWrap/>
            <w:vAlign w:val="bottom"/>
            <w:hideMark/>
          </w:tcPr>
          <w:p w14:paraId="4F532D6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7.41** (2.87, 11.95)</w:t>
            </w:r>
          </w:p>
        </w:tc>
        <w:tc>
          <w:tcPr>
            <w:tcW w:w="2006" w:type="dxa"/>
            <w:tcBorders>
              <w:top w:val="nil"/>
              <w:left w:val="nil"/>
              <w:bottom w:val="nil"/>
              <w:right w:val="nil"/>
            </w:tcBorders>
            <w:shd w:val="clear" w:color="000000" w:fill="F2F2F2"/>
            <w:noWrap/>
            <w:vAlign w:val="bottom"/>
            <w:hideMark/>
          </w:tcPr>
          <w:p w14:paraId="45021CD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0BB7F8E2" w14:textId="77777777" w:rsidTr="00A80562">
        <w:trPr>
          <w:trHeight w:val="239"/>
        </w:trPr>
        <w:tc>
          <w:tcPr>
            <w:tcW w:w="236" w:type="dxa"/>
            <w:tcBorders>
              <w:top w:val="nil"/>
              <w:left w:val="nil"/>
              <w:bottom w:val="nil"/>
              <w:right w:val="nil"/>
            </w:tcBorders>
            <w:shd w:val="clear" w:color="auto" w:fill="auto"/>
            <w:noWrap/>
            <w:vAlign w:val="bottom"/>
            <w:hideMark/>
          </w:tcPr>
          <w:p w14:paraId="4C2261D2"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5E0F82B0"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14158C2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0.626*** (0.551, 0.701)</w:t>
            </w:r>
          </w:p>
        </w:tc>
        <w:tc>
          <w:tcPr>
            <w:tcW w:w="2005" w:type="dxa"/>
            <w:tcBorders>
              <w:top w:val="nil"/>
              <w:left w:val="nil"/>
              <w:bottom w:val="nil"/>
              <w:right w:val="nil"/>
            </w:tcBorders>
            <w:shd w:val="clear" w:color="auto" w:fill="auto"/>
            <w:noWrap/>
            <w:vAlign w:val="bottom"/>
            <w:hideMark/>
          </w:tcPr>
          <w:p w14:paraId="19ADA0F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(-0.001, 0)</w:t>
            </w:r>
          </w:p>
        </w:tc>
        <w:tc>
          <w:tcPr>
            <w:tcW w:w="2006" w:type="dxa"/>
            <w:tcBorders>
              <w:top w:val="nil"/>
              <w:left w:val="nil"/>
              <w:bottom w:val="nil"/>
              <w:right w:val="nil"/>
            </w:tcBorders>
            <w:shd w:val="clear" w:color="auto" w:fill="auto"/>
            <w:noWrap/>
            <w:vAlign w:val="bottom"/>
            <w:hideMark/>
          </w:tcPr>
          <w:p w14:paraId="3503CD9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-0.06 (-0.17, 0.051)</w:t>
            </w:r>
          </w:p>
        </w:tc>
        <w:tc>
          <w:tcPr>
            <w:tcW w:w="2005" w:type="dxa"/>
            <w:tcBorders>
              <w:top w:val="nil"/>
              <w:left w:val="nil"/>
              <w:bottom w:val="nil"/>
              <w:right w:val="nil"/>
            </w:tcBorders>
            <w:shd w:val="clear" w:color="auto" w:fill="auto"/>
            <w:noWrap/>
            <w:vAlign w:val="bottom"/>
            <w:hideMark/>
          </w:tcPr>
          <w:p w14:paraId="6DF2C86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0.012* (0.003, 0.02)</w:t>
            </w:r>
          </w:p>
        </w:tc>
        <w:tc>
          <w:tcPr>
            <w:tcW w:w="2005" w:type="dxa"/>
            <w:tcBorders>
              <w:top w:val="nil"/>
              <w:left w:val="nil"/>
              <w:bottom w:val="nil"/>
              <w:right w:val="nil"/>
            </w:tcBorders>
            <w:shd w:val="clear" w:color="auto" w:fill="auto"/>
            <w:noWrap/>
            <w:vAlign w:val="bottom"/>
            <w:hideMark/>
          </w:tcPr>
          <w:p w14:paraId="15FE501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0.113* (0.007, 0.219)</w:t>
            </w:r>
          </w:p>
        </w:tc>
        <w:tc>
          <w:tcPr>
            <w:tcW w:w="2006" w:type="dxa"/>
            <w:tcBorders>
              <w:top w:val="nil"/>
              <w:left w:val="nil"/>
              <w:bottom w:val="nil"/>
              <w:right w:val="nil"/>
            </w:tcBorders>
            <w:shd w:val="clear" w:color="auto" w:fill="auto"/>
            <w:noWrap/>
            <w:vAlign w:val="bottom"/>
            <w:hideMark/>
          </w:tcPr>
          <w:p w14:paraId="585338D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7495E010"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2BD39DB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Physical illness or disability or disability problems</w:t>
            </w:r>
          </w:p>
        </w:tc>
        <w:tc>
          <w:tcPr>
            <w:tcW w:w="2005" w:type="dxa"/>
            <w:tcBorders>
              <w:top w:val="nil"/>
              <w:left w:val="single" w:sz="4" w:space="0" w:color="auto"/>
              <w:bottom w:val="nil"/>
              <w:right w:val="nil"/>
            </w:tcBorders>
            <w:shd w:val="clear" w:color="auto" w:fill="auto"/>
            <w:noWrap/>
            <w:vAlign w:val="bottom"/>
            <w:hideMark/>
          </w:tcPr>
          <w:p w14:paraId="705738D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5D2D9B5A"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39ADAB88"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569A4018"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7699C1B1"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03A88F80" w14:textId="77777777" w:rsidR="00C03FA1" w:rsidRPr="00A80562" w:rsidRDefault="00C03FA1" w:rsidP="00C03FA1">
            <w:pPr>
              <w:spacing w:after="0" w:line="240" w:lineRule="auto"/>
              <w:jc w:val="left"/>
              <w:rPr>
                <w:rFonts w:eastAsia="Times New Roman"/>
                <w:lang w:eastAsia="en-GB"/>
              </w:rPr>
            </w:pPr>
          </w:p>
        </w:tc>
      </w:tr>
      <w:tr w:rsidR="00C03FA1" w:rsidRPr="00A80562" w14:paraId="5D71BCD8" w14:textId="77777777" w:rsidTr="00A80562">
        <w:trPr>
          <w:trHeight w:val="239"/>
        </w:trPr>
        <w:tc>
          <w:tcPr>
            <w:tcW w:w="236" w:type="dxa"/>
            <w:tcBorders>
              <w:top w:val="nil"/>
              <w:left w:val="nil"/>
              <w:bottom w:val="nil"/>
              <w:right w:val="nil"/>
            </w:tcBorders>
            <w:shd w:val="clear" w:color="auto" w:fill="auto"/>
            <w:noWrap/>
            <w:vAlign w:val="bottom"/>
            <w:hideMark/>
          </w:tcPr>
          <w:p w14:paraId="34C1B95A"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06F08F22"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55AFD23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42.77*** (40.4, 45.14)</w:t>
            </w:r>
          </w:p>
        </w:tc>
        <w:tc>
          <w:tcPr>
            <w:tcW w:w="2005" w:type="dxa"/>
            <w:tcBorders>
              <w:top w:val="nil"/>
              <w:left w:val="nil"/>
              <w:bottom w:val="nil"/>
              <w:right w:val="nil"/>
            </w:tcBorders>
            <w:shd w:val="clear" w:color="000000" w:fill="F2F2F2"/>
            <w:noWrap/>
            <w:vAlign w:val="bottom"/>
            <w:hideMark/>
          </w:tcPr>
          <w:p w14:paraId="55211B3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(-0.02, 0.02)</w:t>
            </w:r>
          </w:p>
        </w:tc>
        <w:tc>
          <w:tcPr>
            <w:tcW w:w="2006" w:type="dxa"/>
            <w:tcBorders>
              <w:top w:val="nil"/>
              <w:left w:val="nil"/>
              <w:bottom w:val="nil"/>
              <w:right w:val="nil"/>
            </w:tcBorders>
            <w:shd w:val="clear" w:color="000000" w:fill="F2F2F2"/>
            <w:noWrap/>
            <w:vAlign w:val="bottom"/>
            <w:hideMark/>
          </w:tcPr>
          <w:p w14:paraId="721D070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1.97 (-0.99, 4.92)</w:t>
            </w:r>
          </w:p>
        </w:tc>
        <w:tc>
          <w:tcPr>
            <w:tcW w:w="2005" w:type="dxa"/>
            <w:tcBorders>
              <w:top w:val="nil"/>
              <w:left w:val="nil"/>
              <w:bottom w:val="nil"/>
              <w:right w:val="nil"/>
            </w:tcBorders>
            <w:shd w:val="clear" w:color="000000" w:fill="F2F2F2"/>
            <w:noWrap/>
            <w:vAlign w:val="bottom"/>
            <w:hideMark/>
          </w:tcPr>
          <w:p w14:paraId="5EA2BA4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-0.64*** (-0.88, -0.4)</w:t>
            </w:r>
          </w:p>
        </w:tc>
        <w:tc>
          <w:tcPr>
            <w:tcW w:w="2005" w:type="dxa"/>
            <w:tcBorders>
              <w:top w:val="nil"/>
              <w:left w:val="nil"/>
              <w:bottom w:val="nil"/>
              <w:right w:val="nil"/>
            </w:tcBorders>
            <w:shd w:val="clear" w:color="000000" w:fill="F2F2F2"/>
            <w:noWrap/>
            <w:vAlign w:val="bottom"/>
            <w:hideMark/>
          </w:tcPr>
          <w:p w14:paraId="23D04A6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-7.58*** (-10.94, -4.21)</w:t>
            </w:r>
          </w:p>
        </w:tc>
        <w:tc>
          <w:tcPr>
            <w:tcW w:w="2006" w:type="dxa"/>
            <w:tcBorders>
              <w:top w:val="nil"/>
              <w:left w:val="nil"/>
              <w:bottom w:val="nil"/>
              <w:right w:val="nil"/>
            </w:tcBorders>
            <w:shd w:val="clear" w:color="000000" w:fill="F2F2F2"/>
            <w:noWrap/>
            <w:vAlign w:val="bottom"/>
            <w:hideMark/>
          </w:tcPr>
          <w:p w14:paraId="08C3DFE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(3, 0, 0)</w:t>
            </w:r>
          </w:p>
        </w:tc>
      </w:tr>
      <w:tr w:rsidR="00C03FA1" w:rsidRPr="00A80562" w14:paraId="4CE03F8D" w14:textId="77777777" w:rsidTr="00A80562">
        <w:trPr>
          <w:trHeight w:val="239"/>
        </w:trPr>
        <w:tc>
          <w:tcPr>
            <w:tcW w:w="236" w:type="dxa"/>
            <w:tcBorders>
              <w:top w:val="nil"/>
              <w:left w:val="nil"/>
              <w:bottom w:val="nil"/>
              <w:right w:val="nil"/>
            </w:tcBorders>
            <w:shd w:val="clear" w:color="auto" w:fill="auto"/>
            <w:noWrap/>
            <w:vAlign w:val="bottom"/>
            <w:hideMark/>
          </w:tcPr>
          <w:p w14:paraId="6F668415"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4AE5FCC2"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741E844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0.91*** (0.852, 0.968)</w:t>
            </w:r>
          </w:p>
        </w:tc>
        <w:tc>
          <w:tcPr>
            <w:tcW w:w="2005" w:type="dxa"/>
            <w:tcBorders>
              <w:top w:val="nil"/>
              <w:left w:val="nil"/>
              <w:bottom w:val="nil"/>
              <w:right w:val="nil"/>
            </w:tcBorders>
            <w:shd w:val="clear" w:color="auto" w:fill="auto"/>
            <w:noWrap/>
            <w:vAlign w:val="bottom"/>
            <w:hideMark/>
          </w:tcPr>
          <w:p w14:paraId="51C6786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(-0.001, 0)</w:t>
            </w:r>
          </w:p>
        </w:tc>
        <w:tc>
          <w:tcPr>
            <w:tcW w:w="2006" w:type="dxa"/>
            <w:tcBorders>
              <w:top w:val="nil"/>
              <w:left w:val="nil"/>
              <w:bottom w:val="nil"/>
              <w:right w:val="nil"/>
            </w:tcBorders>
            <w:shd w:val="clear" w:color="auto" w:fill="auto"/>
            <w:noWrap/>
            <w:vAlign w:val="bottom"/>
            <w:hideMark/>
          </w:tcPr>
          <w:p w14:paraId="4606002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-0.123** (-0.199, -0.046)</w:t>
            </w:r>
          </w:p>
        </w:tc>
        <w:tc>
          <w:tcPr>
            <w:tcW w:w="2005" w:type="dxa"/>
            <w:tcBorders>
              <w:top w:val="nil"/>
              <w:left w:val="nil"/>
              <w:bottom w:val="nil"/>
              <w:right w:val="nil"/>
            </w:tcBorders>
            <w:shd w:val="clear" w:color="auto" w:fill="auto"/>
            <w:noWrap/>
            <w:vAlign w:val="bottom"/>
            <w:hideMark/>
          </w:tcPr>
          <w:p w14:paraId="6F3FBD5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0.003 (-0.002, 0.009)</w:t>
            </w:r>
          </w:p>
        </w:tc>
        <w:tc>
          <w:tcPr>
            <w:tcW w:w="2005" w:type="dxa"/>
            <w:tcBorders>
              <w:top w:val="nil"/>
              <w:left w:val="nil"/>
              <w:bottom w:val="nil"/>
              <w:right w:val="nil"/>
            </w:tcBorders>
            <w:shd w:val="clear" w:color="auto" w:fill="auto"/>
            <w:noWrap/>
            <w:vAlign w:val="bottom"/>
            <w:hideMark/>
          </w:tcPr>
          <w:p w14:paraId="7B508EA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-0.073* (-0.143, -0.002)</w:t>
            </w:r>
          </w:p>
        </w:tc>
        <w:tc>
          <w:tcPr>
            <w:tcW w:w="2006" w:type="dxa"/>
            <w:tcBorders>
              <w:top w:val="nil"/>
              <w:left w:val="nil"/>
              <w:bottom w:val="nil"/>
              <w:right w:val="nil"/>
            </w:tcBorders>
            <w:shd w:val="clear" w:color="auto" w:fill="auto"/>
            <w:noWrap/>
            <w:vAlign w:val="bottom"/>
            <w:hideMark/>
          </w:tcPr>
          <w:p w14:paraId="5C7D458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(3, 0, 0)</w:t>
            </w:r>
          </w:p>
        </w:tc>
      </w:tr>
      <w:tr w:rsidR="00C03FA1" w:rsidRPr="00A80562" w14:paraId="4E3AE7F9"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51F2EE5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associated with hallucinations and delusions</w:t>
            </w:r>
          </w:p>
        </w:tc>
        <w:tc>
          <w:tcPr>
            <w:tcW w:w="2005" w:type="dxa"/>
            <w:tcBorders>
              <w:top w:val="nil"/>
              <w:left w:val="single" w:sz="4" w:space="0" w:color="auto"/>
              <w:bottom w:val="nil"/>
              <w:right w:val="nil"/>
            </w:tcBorders>
            <w:shd w:val="clear" w:color="auto" w:fill="auto"/>
            <w:noWrap/>
            <w:vAlign w:val="bottom"/>
            <w:hideMark/>
          </w:tcPr>
          <w:p w14:paraId="6FADA16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731679B5"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40480E10"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275058A7"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5065B42B"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68BDA39F" w14:textId="77777777" w:rsidR="00C03FA1" w:rsidRPr="00A80562" w:rsidRDefault="00C03FA1" w:rsidP="00C03FA1">
            <w:pPr>
              <w:spacing w:after="0" w:line="240" w:lineRule="auto"/>
              <w:jc w:val="left"/>
              <w:rPr>
                <w:rFonts w:eastAsia="Times New Roman"/>
                <w:lang w:eastAsia="en-GB"/>
              </w:rPr>
            </w:pPr>
          </w:p>
        </w:tc>
      </w:tr>
      <w:tr w:rsidR="00C03FA1" w:rsidRPr="00A80562" w14:paraId="365C5544" w14:textId="77777777" w:rsidTr="00A80562">
        <w:trPr>
          <w:trHeight w:val="239"/>
        </w:trPr>
        <w:tc>
          <w:tcPr>
            <w:tcW w:w="236" w:type="dxa"/>
            <w:tcBorders>
              <w:top w:val="nil"/>
              <w:left w:val="nil"/>
              <w:bottom w:val="nil"/>
              <w:right w:val="nil"/>
            </w:tcBorders>
            <w:shd w:val="clear" w:color="auto" w:fill="auto"/>
            <w:noWrap/>
            <w:vAlign w:val="bottom"/>
            <w:hideMark/>
          </w:tcPr>
          <w:p w14:paraId="44E213CC"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301E58DE"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17441BB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32.33*** (29.45, 35.22)</w:t>
            </w:r>
          </w:p>
        </w:tc>
        <w:tc>
          <w:tcPr>
            <w:tcW w:w="2005" w:type="dxa"/>
            <w:tcBorders>
              <w:top w:val="nil"/>
              <w:left w:val="nil"/>
              <w:bottom w:val="nil"/>
              <w:right w:val="nil"/>
            </w:tcBorders>
            <w:shd w:val="clear" w:color="000000" w:fill="F2F2F2"/>
            <w:noWrap/>
            <w:vAlign w:val="bottom"/>
            <w:hideMark/>
          </w:tcPr>
          <w:p w14:paraId="2AE8C20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(-0.01, 0.03)</w:t>
            </w:r>
          </w:p>
        </w:tc>
        <w:tc>
          <w:tcPr>
            <w:tcW w:w="2006" w:type="dxa"/>
            <w:tcBorders>
              <w:top w:val="nil"/>
              <w:left w:val="nil"/>
              <w:bottom w:val="nil"/>
              <w:right w:val="nil"/>
            </w:tcBorders>
            <w:shd w:val="clear" w:color="000000" w:fill="F2F2F2"/>
            <w:noWrap/>
            <w:vAlign w:val="bottom"/>
            <w:hideMark/>
          </w:tcPr>
          <w:p w14:paraId="3E68725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-14.8*** (-19.04, -10.56)</w:t>
            </w:r>
          </w:p>
        </w:tc>
        <w:tc>
          <w:tcPr>
            <w:tcW w:w="2005" w:type="dxa"/>
            <w:tcBorders>
              <w:top w:val="nil"/>
              <w:left w:val="nil"/>
              <w:bottom w:val="nil"/>
              <w:right w:val="nil"/>
            </w:tcBorders>
            <w:shd w:val="clear" w:color="000000" w:fill="F2F2F2"/>
            <w:noWrap/>
            <w:vAlign w:val="bottom"/>
            <w:hideMark/>
          </w:tcPr>
          <w:p w14:paraId="47F8423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1.29*** (0.95, 1.63)</w:t>
            </w:r>
          </w:p>
        </w:tc>
        <w:tc>
          <w:tcPr>
            <w:tcW w:w="2005" w:type="dxa"/>
            <w:tcBorders>
              <w:top w:val="nil"/>
              <w:left w:val="nil"/>
              <w:bottom w:val="nil"/>
              <w:right w:val="nil"/>
            </w:tcBorders>
            <w:shd w:val="clear" w:color="000000" w:fill="F2F2F2"/>
            <w:noWrap/>
            <w:vAlign w:val="bottom"/>
            <w:hideMark/>
          </w:tcPr>
          <w:p w14:paraId="1A11D99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4.55* (0.48, 8.62)</w:t>
            </w:r>
          </w:p>
        </w:tc>
        <w:tc>
          <w:tcPr>
            <w:tcW w:w="2006" w:type="dxa"/>
            <w:tcBorders>
              <w:top w:val="nil"/>
              <w:left w:val="nil"/>
              <w:bottom w:val="nil"/>
              <w:right w:val="nil"/>
            </w:tcBorders>
            <w:shd w:val="clear" w:color="000000" w:fill="F2F2F2"/>
            <w:noWrap/>
            <w:vAlign w:val="bottom"/>
            <w:hideMark/>
          </w:tcPr>
          <w:p w14:paraId="39D4DE2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1ACAC601" w14:textId="77777777" w:rsidTr="00A80562">
        <w:trPr>
          <w:trHeight w:val="239"/>
        </w:trPr>
        <w:tc>
          <w:tcPr>
            <w:tcW w:w="236" w:type="dxa"/>
            <w:tcBorders>
              <w:top w:val="nil"/>
              <w:left w:val="nil"/>
              <w:bottom w:val="nil"/>
              <w:right w:val="nil"/>
            </w:tcBorders>
            <w:shd w:val="clear" w:color="auto" w:fill="auto"/>
            <w:noWrap/>
            <w:vAlign w:val="bottom"/>
            <w:hideMark/>
          </w:tcPr>
          <w:p w14:paraId="0F3FE148"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20B236E3"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6FF070F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0.702*** (0.623, 0.781)</w:t>
            </w:r>
          </w:p>
        </w:tc>
        <w:tc>
          <w:tcPr>
            <w:tcW w:w="2005" w:type="dxa"/>
            <w:tcBorders>
              <w:top w:val="nil"/>
              <w:left w:val="nil"/>
              <w:bottom w:val="nil"/>
              <w:right w:val="nil"/>
            </w:tcBorders>
            <w:shd w:val="clear" w:color="auto" w:fill="auto"/>
            <w:noWrap/>
            <w:vAlign w:val="bottom"/>
            <w:hideMark/>
          </w:tcPr>
          <w:p w14:paraId="762B818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(-0.001, 0)</w:t>
            </w:r>
          </w:p>
        </w:tc>
        <w:tc>
          <w:tcPr>
            <w:tcW w:w="2006" w:type="dxa"/>
            <w:tcBorders>
              <w:top w:val="nil"/>
              <w:left w:val="nil"/>
              <w:bottom w:val="nil"/>
              <w:right w:val="nil"/>
            </w:tcBorders>
            <w:shd w:val="clear" w:color="auto" w:fill="auto"/>
            <w:noWrap/>
            <w:vAlign w:val="bottom"/>
            <w:hideMark/>
          </w:tcPr>
          <w:p w14:paraId="7E1546B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-0.364*** (-0.48, -0.248)</w:t>
            </w:r>
          </w:p>
        </w:tc>
        <w:tc>
          <w:tcPr>
            <w:tcW w:w="2005" w:type="dxa"/>
            <w:tcBorders>
              <w:top w:val="nil"/>
              <w:left w:val="nil"/>
              <w:bottom w:val="nil"/>
              <w:right w:val="nil"/>
            </w:tcBorders>
            <w:shd w:val="clear" w:color="auto" w:fill="auto"/>
            <w:noWrap/>
            <w:vAlign w:val="bottom"/>
            <w:hideMark/>
          </w:tcPr>
          <w:p w14:paraId="11462A7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0.034*** (0.025, 0.044)</w:t>
            </w:r>
          </w:p>
        </w:tc>
        <w:tc>
          <w:tcPr>
            <w:tcW w:w="2005" w:type="dxa"/>
            <w:tcBorders>
              <w:top w:val="nil"/>
              <w:left w:val="nil"/>
              <w:bottom w:val="nil"/>
              <w:right w:val="nil"/>
            </w:tcBorders>
            <w:shd w:val="clear" w:color="auto" w:fill="auto"/>
            <w:noWrap/>
            <w:vAlign w:val="bottom"/>
            <w:hideMark/>
          </w:tcPr>
          <w:p w14:paraId="4BD76D7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0.15** (0.038, 0.261)</w:t>
            </w:r>
          </w:p>
        </w:tc>
        <w:tc>
          <w:tcPr>
            <w:tcW w:w="2006" w:type="dxa"/>
            <w:tcBorders>
              <w:top w:val="nil"/>
              <w:left w:val="nil"/>
              <w:bottom w:val="nil"/>
              <w:right w:val="nil"/>
            </w:tcBorders>
            <w:shd w:val="clear" w:color="auto" w:fill="auto"/>
            <w:noWrap/>
            <w:vAlign w:val="bottom"/>
            <w:hideMark/>
          </w:tcPr>
          <w:p w14:paraId="2290744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5D819DBF"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701ADCE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with depressed mood</w:t>
            </w:r>
          </w:p>
        </w:tc>
        <w:tc>
          <w:tcPr>
            <w:tcW w:w="2005" w:type="dxa"/>
            <w:tcBorders>
              <w:top w:val="nil"/>
              <w:left w:val="single" w:sz="4" w:space="0" w:color="auto"/>
              <w:bottom w:val="nil"/>
              <w:right w:val="nil"/>
            </w:tcBorders>
            <w:shd w:val="clear" w:color="auto" w:fill="auto"/>
            <w:noWrap/>
            <w:vAlign w:val="bottom"/>
            <w:hideMark/>
          </w:tcPr>
          <w:p w14:paraId="5199107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78186B08"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5BCF03A5"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2FCBC6F4"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379C5BB4"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0476D2CC" w14:textId="77777777" w:rsidR="00C03FA1" w:rsidRPr="00A80562" w:rsidRDefault="00C03FA1" w:rsidP="00C03FA1">
            <w:pPr>
              <w:spacing w:after="0" w:line="240" w:lineRule="auto"/>
              <w:jc w:val="left"/>
              <w:rPr>
                <w:rFonts w:eastAsia="Times New Roman"/>
                <w:lang w:eastAsia="en-GB"/>
              </w:rPr>
            </w:pPr>
          </w:p>
        </w:tc>
      </w:tr>
      <w:tr w:rsidR="00C03FA1" w:rsidRPr="00A80562" w14:paraId="7EDA76C4" w14:textId="77777777" w:rsidTr="00A80562">
        <w:trPr>
          <w:trHeight w:val="239"/>
        </w:trPr>
        <w:tc>
          <w:tcPr>
            <w:tcW w:w="236" w:type="dxa"/>
            <w:tcBorders>
              <w:top w:val="nil"/>
              <w:left w:val="nil"/>
              <w:bottom w:val="nil"/>
              <w:right w:val="nil"/>
            </w:tcBorders>
            <w:shd w:val="clear" w:color="auto" w:fill="auto"/>
            <w:noWrap/>
            <w:vAlign w:val="bottom"/>
            <w:hideMark/>
          </w:tcPr>
          <w:p w14:paraId="508D86B9"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607634FB"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31DB6FD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81.42*** (79.1, 83.74)</w:t>
            </w:r>
          </w:p>
        </w:tc>
        <w:tc>
          <w:tcPr>
            <w:tcW w:w="2005" w:type="dxa"/>
            <w:tcBorders>
              <w:top w:val="nil"/>
              <w:left w:val="nil"/>
              <w:bottom w:val="nil"/>
              <w:right w:val="nil"/>
            </w:tcBorders>
            <w:shd w:val="clear" w:color="000000" w:fill="F2F2F2"/>
            <w:noWrap/>
            <w:vAlign w:val="bottom"/>
            <w:hideMark/>
          </w:tcPr>
          <w:p w14:paraId="4A5EE2E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 0.04)</w:t>
            </w:r>
          </w:p>
        </w:tc>
        <w:tc>
          <w:tcPr>
            <w:tcW w:w="2006" w:type="dxa"/>
            <w:tcBorders>
              <w:top w:val="nil"/>
              <w:left w:val="nil"/>
              <w:bottom w:val="nil"/>
              <w:right w:val="nil"/>
            </w:tcBorders>
            <w:shd w:val="clear" w:color="000000" w:fill="F2F2F2"/>
            <w:noWrap/>
            <w:vAlign w:val="bottom"/>
            <w:hideMark/>
          </w:tcPr>
          <w:p w14:paraId="3533703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2.1 (-1.31, 5.5)</w:t>
            </w:r>
          </w:p>
        </w:tc>
        <w:tc>
          <w:tcPr>
            <w:tcW w:w="2005" w:type="dxa"/>
            <w:tcBorders>
              <w:top w:val="nil"/>
              <w:left w:val="nil"/>
              <w:bottom w:val="nil"/>
              <w:right w:val="nil"/>
            </w:tcBorders>
            <w:shd w:val="clear" w:color="000000" w:fill="F2F2F2"/>
            <w:noWrap/>
            <w:vAlign w:val="bottom"/>
            <w:hideMark/>
          </w:tcPr>
          <w:p w14:paraId="1163CB1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-0.65*** (-0.92, -0.37)</w:t>
            </w:r>
          </w:p>
        </w:tc>
        <w:tc>
          <w:tcPr>
            <w:tcW w:w="2005" w:type="dxa"/>
            <w:tcBorders>
              <w:top w:val="nil"/>
              <w:left w:val="nil"/>
              <w:bottom w:val="nil"/>
              <w:right w:val="nil"/>
            </w:tcBorders>
            <w:shd w:val="clear" w:color="000000" w:fill="F2F2F2"/>
            <w:noWrap/>
            <w:vAlign w:val="bottom"/>
            <w:hideMark/>
          </w:tcPr>
          <w:p w14:paraId="3C72E92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-7.58*** (-10.85, -4.31)</w:t>
            </w:r>
          </w:p>
        </w:tc>
        <w:tc>
          <w:tcPr>
            <w:tcW w:w="2006" w:type="dxa"/>
            <w:tcBorders>
              <w:top w:val="nil"/>
              <w:left w:val="nil"/>
              <w:bottom w:val="nil"/>
              <w:right w:val="nil"/>
            </w:tcBorders>
            <w:shd w:val="clear" w:color="000000" w:fill="F2F2F2"/>
            <w:noWrap/>
            <w:vAlign w:val="bottom"/>
            <w:hideMark/>
          </w:tcPr>
          <w:p w14:paraId="1F68498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2F30AB76" w14:textId="77777777" w:rsidTr="00A80562">
        <w:trPr>
          <w:trHeight w:val="239"/>
        </w:trPr>
        <w:tc>
          <w:tcPr>
            <w:tcW w:w="236" w:type="dxa"/>
            <w:tcBorders>
              <w:top w:val="nil"/>
              <w:left w:val="nil"/>
              <w:bottom w:val="nil"/>
              <w:right w:val="nil"/>
            </w:tcBorders>
            <w:shd w:val="clear" w:color="auto" w:fill="auto"/>
            <w:noWrap/>
            <w:vAlign w:val="bottom"/>
            <w:hideMark/>
          </w:tcPr>
          <w:p w14:paraId="1E0B4786"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31C39F25"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38BD228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1.697*** (1.617, 1.777)</w:t>
            </w:r>
          </w:p>
        </w:tc>
        <w:tc>
          <w:tcPr>
            <w:tcW w:w="2005" w:type="dxa"/>
            <w:tcBorders>
              <w:top w:val="nil"/>
              <w:left w:val="nil"/>
              <w:bottom w:val="nil"/>
              <w:right w:val="nil"/>
            </w:tcBorders>
            <w:shd w:val="clear" w:color="auto" w:fill="auto"/>
            <w:noWrap/>
            <w:vAlign w:val="bottom"/>
            <w:hideMark/>
          </w:tcPr>
          <w:p w14:paraId="4AE1CDC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(-0.001, 0.001)</w:t>
            </w:r>
          </w:p>
        </w:tc>
        <w:tc>
          <w:tcPr>
            <w:tcW w:w="2006" w:type="dxa"/>
            <w:tcBorders>
              <w:top w:val="nil"/>
              <w:left w:val="nil"/>
              <w:bottom w:val="nil"/>
              <w:right w:val="nil"/>
            </w:tcBorders>
            <w:shd w:val="clear" w:color="auto" w:fill="auto"/>
            <w:noWrap/>
            <w:vAlign w:val="bottom"/>
            <w:hideMark/>
          </w:tcPr>
          <w:p w14:paraId="53A07BD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-0.118* (-0.236, 0)</w:t>
            </w:r>
          </w:p>
        </w:tc>
        <w:tc>
          <w:tcPr>
            <w:tcW w:w="2005" w:type="dxa"/>
            <w:tcBorders>
              <w:top w:val="nil"/>
              <w:left w:val="nil"/>
              <w:bottom w:val="nil"/>
              <w:right w:val="nil"/>
            </w:tcBorders>
            <w:shd w:val="clear" w:color="auto" w:fill="auto"/>
            <w:noWrap/>
            <w:vAlign w:val="bottom"/>
            <w:hideMark/>
          </w:tcPr>
          <w:p w14:paraId="4EBB256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(-0.01, 0.009)</w:t>
            </w:r>
          </w:p>
        </w:tc>
        <w:tc>
          <w:tcPr>
            <w:tcW w:w="2005" w:type="dxa"/>
            <w:tcBorders>
              <w:top w:val="nil"/>
              <w:left w:val="nil"/>
              <w:bottom w:val="nil"/>
              <w:right w:val="nil"/>
            </w:tcBorders>
            <w:shd w:val="clear" w:color="auto" w:fill="auto"/>
            <w:noWrap/>
            <w:vAlign w:val="bottom"/>
            <w:hideMark/>
          </w:tcPr>
          <w:p w14:paraId="7C96621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-0.131* (-0.244, -0.018)</w:t>
            </w:r>
          </w:p>
        </w:tc>
        <w:tc>
          <w:tcPr>
            <w:tcW w:w="2006" w:type="dxa"/>
            <w:tcBorders>
              <w:top w:val="nil"/>
              <w:left w:val="nil"/>
              <w:bottom w:val="nil"/>
              <w:right w:val="nil"/>
            </w:tcBorders>
            <w:shd w:val="clear" w:color="auto" w:fill="auto"/>
            <w:noWrap/>
            <w:vAlign w:val="bottom"/>
            <w:hideMark/>
          </w:tcPr>
          <w:p w14:paraId="303CFFD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74214661"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792E901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Other mental and behavioural problems</w:t>
            </w:r>
          </w:p>
        </w:tc>
        <w:tc>
          <w:tcPr>
            <w:tcW w:w="2005" w:type="dxa"/>
            <w:tcBorders>
              <w:top w:val="nil"/>
              <w:left w:val="single" w:sz="4" w:space="0" w:color="auto"/>
              <w:bottom w:val="nil"/>
              <w:right w:val="nil"/>
            </w:tcBorders>
            <w:shd w:val="clear" w:color="auto" w:fill="auto"/>
            <w:noWrap/>
            <w:vAlign w:val="bottom"/>
            <w:hideMark/>
          </w:tcPr>
          <w:p w14:paraId="0A5B252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65AD8F80"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4E671A22"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6462751F"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3034203F"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5AC5DFA3" w14:textId="77777777" w:rsidR="00C03FA1" w:rsidRPr="00A80562" w:rsidRDefault="00C03FA1" w:rsidP="00C03FA1">
            <w:pPr>
              <w:spacing w:after="0" w:line="240" w:lineRule="auto"/>
              <w:jc w:val="left"/>
              <w:rPr>
                <w:rFonts w:eastAsia="Times New Roman"/>
                <w:lang w:eastAsia="en-GB"/>
              </w:rPr>
            </w:pPr>
          </w:p>
        </w:tc>
      </w:tr>
      <w:tr w:rsidR="00C03FA1" w:rsidRPr="00A80562" w14:paraId="5E519D6B" w14:textId="77777777" w:rsidTr="00A80562">
        <w:trPr>
          <w:trHeight w:val="239"/>
        </w:trPr>
        <w:tc>
          <w:tcPr>
            <w:tcW w:w="236" w:type="dxa"/>
            <w:tcBorders>
              <w:top w:val="nil"/>
              <w:left w:val="nil"/>
              <w:bottom w:val="nil"/>
              <w:right w:val="nil"/>
            </w:tcBorders>
            <w:shd w:val="clear" w:color="auto" w:fill="auto"/>
            <w:noWrap/>
            <w:vAlign w:val="bottom"/>
            <w:hideMark/>
          </w:tcPr>
          <w:p w14:paraId="3B95F318"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029BC34D"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2CA023C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83.8*** (81.13, 86.48)</w:t>
            </w:r>
          </w:p>
        </w:tc>
        <w:tc>
          <w:tcPr>
            <w:tcW w:w="2005" w:type="dxa"/>
            <w:tcBorders>
              <w:top w:val="nil"/>
              <w:left w:val="nil"/>
              <w:bottom w:val="nil"/>
              <w:right w:val="nil"/>
            </w:tcBorders>
            <w:shd w:val="clear" w:color="000000" w:fill="F2F2F2"/>
            <w:noWrap/>
            <w:vAlign w:val="bottom"/>
            <w:hideMark/>
          </w:tcPr>
          <w:p w14:paraId="168A96F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 (0.01, 0.05)</w:t>
            </w:r>
          </w:p>
        </w:tc>
        <w:tc>
          <w:tcPr>
            <w:tcW w:w="2006" w:type="dxa"/>
            <w:tcBorders>
              <w:top w:val="nil"/>
              <w:left w:val="nil"/>
              <w:bottom w:val="nil"/>
              <w:right w:val="nil"/>
            </w:tcBorders>
            <w:shd w:val="clear" w:color="000000" w:fill="F2F2F2"/>
            <w:noWrap/>
            <w:vAlign w:val="bottom"/>
            <w:hideMark/>
          </w:tcPr>
          <w:p w14:paraId="5DCD64C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-9.77*** (-13.7, -5.84)</w:t>
            </w:r>
          </w:p>
        </w:tc>
        <w:tc>
          <w:tcPr>
            <w:tcW w:w="2005" w:type="dxa"/>
            <w:tcBorders>
              <w:top w:val="nil"/>
              <w:left w:val="nil"/>
              <w:bottom w:val="nil"/>
              <w:right w:val="nil"/>
            </w:tcBorders>
            <w:shd w:val="clear" w:color="000000" w:fill="F2F2F2"/>
            <w:noWrap/>
            <w:vAlign w:val="bottom"/>
            <w:hideMark/>
          </w:tcPr>
          <w:p w14:paraId="2B9F2BB6"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0.93*** (0.61, 1.24)</w:t>
            </w:r>
          </w:p>
        </w:tc>
        <w:tc>
          <w:tcPr>
            <w:tcW w:w="2005" w:type="dxa"/>
            <w:tcBorders>
              <w:top w:val="nil"/>
              <w:left w:val="nil"/>
              <w:bottom w:val="nil"/>
              <w:right w:val="nil"/>
            </w:tcBorders>
            <w:shd w:val="clear" w:color="000000" w:fill="F2F2F2"/>
            <w:noWrap/>
            <w:vAlign w:val="bottom"/>
            <w:hideMark/>
          </w:tcPr>
          <w:p w14:paraId="145CB8A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4.13* (0.36, 7.89)</w:t>
            </w:r>
          </w:p>
        </w:tc>
        <w:tc>
          <w:tcPr>
            <w:tcW w:w="2006" w:type="dxa"/>
            <w:tcBorders>
              <w:top w:val="nil"/>
              <w:left w:val="nil"/>
              <w:bottom w:val="nil"/>
              <w:right w:val="nil"/>
            </w:tcBorders>
            <w:shd w:val="clear" w:color="000000" w:fill="F2F2F2"/>
            <w:noWrap/>
            <w:vAlign w:val="bottom"/>
            <w:hideMark/>
          </w:tcPr>
          <w:p w14:paraId="4425198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6DDA5D6A" w14:textId="77777777" w:rsidTr="00A80562">
        <w:trPr>
          <w:trHeight w:val="239"/>
        </w:trPr>
        <w:tc>
          <w:tcPr>
            <w:tcW w:w="236" w:type="dxa"/>
            <w:tcBorders>
              <w:top w:val="nil"/>
              <w:left w:val="nil"/>
              <w:bottom w:val="nil"/>
              <w:right w:val="nil"/>
            </w:tcBorders>
            <w:shd w:val="clear" w:color="auto" w:fill="auto"/>
            <w:noWrap/>
            <w:vAlign w:val="bottom"/>
            <w:hideMark/>
          </w:tcPr>
          <w:p w14:paraId="7C110D59"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353A1CB9"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116CB5C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1.955*** (1.873, 2.038)</w:t>
            </w:r>
          </w:p>
        </w:tc>
        <w:tc>
          <w:tcPr>
            <w:tcW w:w="2005" w:type="dxa"/>
            <w:tcBorders>
              <w:top w:val="nil"/>
              <w:left w:val="nil"/>
              <w:bottom w:val="nil"/>
              <w:right w:val="nil"/>
            </w:tcBorders>
            <w:shd w:val="clear" w:color="auto" w:fill="auto"/>
            <w:noWrap/>
            <w:vAlign w:val="bottom"/>
            <w:hideMark/>
          </w:tcPr>
          <w:p w14:paraId="1285911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0.001)</w:t>
            </w:r>
          </w:p>
        </w:tc>
        <w:tc>
          <w:tcPr>
            <w:tcW w:w="2006" w:type="dxa"/>
            <w:tcBorders>
              <w:top w:val="nil"/>
              <w:left w:val="nil"/>
              <w:bottom w:val="nil"/>
              <w:right w:val="nil"/>
            </w:tcBorders>
            <w:shd w:val="clear" w:color="auto" w:fill="auto"/>
            <w:noWrap/>
            <w:vAlign w:val="bottom"/>
            <w:hideMark/>
          </w:tcPr>
          <w:p w14:paraId="291B1ED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-0.375*** (-0.496, -0.254)</w:t>
            </w:r>
          </w:p>
        </w:tc>
        <w:tc>
          <w:tcPr>
            <w:tcW w:w="2005" w:type="dxa"/>
            <w:tcBorders>
              <w:top w:val="nil"/>
              <w:left w:val="nil"/>
              <w:bottom w:val="nil"/>
              <w:right w:val="nil"/>
            </w:tcBorders>
            <w:shd w:val="clear" w:color="auto" w:fill="auto"/>
            <w:noWrap/>
            <w:vAlign w:val="bottom"/>
            <w:hideMark/>
          </w:tcPr>
          <w:p w14:paraId="107B7DB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0.029*** (0.019, 0.039)</w:t>
            </w:r>
          </w:p>
        </w:tc>
        <w:tc>
          <w:tcPr>
            <w:tcW w:w="2005" w:type="dxa"/>
            <w:tcBorders>
              <w:top w:val="nil"/>
              <w:left w:val="nil"/>
              <w:bottom w:val="nil"/>
              <w:right w:val="nil"/>
            </w:tcBorders>
            <w:shd w:val="clear" w:color="auto" w:fill="auto"/>
            <w:noWrap/>
            <w:vAlign w:val="bottom"/>
            <w:hideMark/>
          </w:tcPr>
          <w:p w14:paraId="6C91C9B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0.061 (-0.055, 0.177)</w:t>
            </w:r>
          </w:p>
        </w:tc>
        <w:tc>
          <w:tcPr>
            <w:tcW w:w="2006" w:type="dxa"/>
            <w:tcBorders>
              <w:top w:val="nil"/>
              <w:left w:val="nil"/>
              <w:bottom w:val="nil"/>
              <w:right w:val="nil"/>
            </w:tcBorders>
            <w:shd w:val="clear" w:color="auto" w:fill="auto"/>
            <w:noWrap/>
            <w:vAlign w:val="bottom"/>
            <w:hideMark/>
          </w:tcPr>
          <w:p w14:paraId="2FF53AB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18A04D77"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6D3E8AA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lastRenderedPageBreak/>
              <w:t>Problems with relationships:</w:t>
            </w:r>
          </w:p>
        </w:tc>
        <w:tc>
          <w:tcPr>
            <w:tcW w:w="2005" w:type="dxa"/>
            <w:tcBorders>
              <w:top w:val="nil"/>
              <w:left w:val="single" w:sz="4" w:space="0" w:color="auto"/>
              <w:bottom w:val="nil"/>
              <w:right w:val="nil"/>
            </w:tcBorders>
            <w:shd w:val="clear" w:color="auto" w:fill="auto"/>
            <w:noWrap/>
            <w:vAlign w:val="bottom"/>
            <w:hideMark/>
          </w:tcPr>
          <w:p w14:paraId="135A8FF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145212CF"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2BA85063"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7320C0DA"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4A9351B2"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10B20617" w14:textId="77777777" w:rsidR="00C03FA1" w:rsidRPr="00A80562" w:rsidRDefault="00C03FA1" w:rsidP="00C03FA1">
            <w:pPr>
              <w:spacing w:after="0" w:line="240" w:lineRule="auto"/>
              <w:jc w:val="left"/>
              <w:rPr>
                <w:rFonts w:eastAsia="Times New Roman"/>
                <w:lang w:eastAsia="en-GB"/>
              </w:rPr>
            </w:pPr>
          </w:p>
        </w:tc>
      </w:tr>
      <w:tr w:rsidR="00C03FA1" w:rsidRPr="00A80562" w14:paraId="6519D76B" w14:textId="77777777" w:rsidTr="00A80562">
        <w:trPr>
          <w:trHeight w:val="239"/>
        </w:trPr>
        <w:tc>
          <w:tcPr>
            <w:tcW w:w="236" w:type="dxa"/>
            <w:tcBorders>
              <w:top w:val="nil"/>
              <w:left w:val="nil"/>
              <w:bottom w:val="nil"/>
              <w:right w:val="nil"/>
            </w:tcBorders>
            <w:shd w:val="clear" w:color="auto" w:fill="auto"/>
            <w:noWrap/>
            <w:vAlign w:val="bottom"/>
            <w:hideMark/>
          </w:tcPr>
          <w:p w14:paraId="58C88F0B"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21247768"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0F05A58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76.78*** (73.77, 79.79)</w:t>
            </w:r>
          </w:p>
        </w:tc>
        <w:tc>
          <w:tcPr>
            <w:tcW w:w="2005" w:type="dxa"/>
            <w:tcBorders>
              <w:top w:val="nil"/>
              <w:left w:val="nil"/>
              <w:bottom w:val="nil"/>
              <w:right w:val="nil"/>
            </w:tcBorders>
            <w:shd w:val="clear" w:color="000000" w:fill="F2F2F2"/>
            <w:noWrap/>
            <w:vAlign w:val="bottom"/>
            <w:hideMark/>
          </w:tcPr>
          <w:p w14:paraId="66ABF03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 (-0.05, -0.01)</w:t>
            </w:r>
          </w:p>
        </w:tc>
        <w:tc>
          <w:tcPr>
            <w:tcW w:w="2006" w:type="dxa"/>
            <w:tcBorders>
              <w:top w:val="nil"/>
              <w:left w:val="nil"/>
              <w:bottom w:val="nil"/>
              <w:right w:val="nil"/>
            </w:tcBorders>
            <w:shd w:val="clear" w:color="000000" w:fill="F2F2F2"/>
            <w:noWrap/>
            <w:vAlign w:val="bottom"/>
            <w:hideMark/>
          </w:tcPr>
          <w:p w14:paraId="6D2BC62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5.51* (1.08, 9.93)</w:t>
            </w:r>
          </w:p>
        </w:tc>
        <w:tc>
          <w:tcPr>
            <w:tcW w:w="2005" w:type="dxa"/>
            <w:tcBorders>
              <w:top w:val="nil"/>
              <w:left w:val="nil"/>
              <w:bottom w:val="nil"/>
              <w:right w:val="nil"/>
            </w:tcBorders>
            <w:shd w:val="clear" w:color="000000" w:fill="F2F2F2"/>
            <w:noWrap/>
            <w:vAlign w:val="bottom"/>
            <w:hideMark/>
          </w:tcPr>
          <w:p w14:paraId="435D7AE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-0.5** (-0.86, -0.15)</w:t>
            </w:r>
          </w:p>
        </w:tc>
        <w:tc>
          <w:tcPr>
            <w:tcW w:w="2005" w:type="dxa"/>
            <w:tcBorders>
              <w:top w:val="nil"/>
              <w:left w:val="nil"/>
              <w:bottom w:val="nil"/>
              <w:right w:val="nil"/>
            </w:tcBorders>
            <w:shd w:val="clear" w:color="000000" w:fill="F2F2F2"/>
            <w:noWrap/>
            <w:vAlign w:val="bottom"/>
            <w:hideMark/>
          </w:tcPr>
          <w:p w14:paraId="74415E6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-2.02 (-6.27, 2.22)</w:t>
            </w:r>
          </w:p>
        </w:tc>
        <w:tc>
          <w:tcPr>
            <w:tcW w:w="2006" w:type="dxa"/>
            <w:tcBorders>
              <w:top w:val="nil"/>
              <w:left w:val="nil"/>
              <w:bottom w:val="nil"/>
              <w:right w:val="nil"/>
            </w:tcBorders>
            <w:shd w:val="clear" w:color="000000" w:fill="F2F2F2"/>
            <w:noWrap/>
            <w:vAlign w:val="bottom"/>
            <w:hideMark/>
          </w:tcPr>
          <w:p w14:paraId="0ACFE89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5F680D3C" w14:textId="77777777" w:rsidTr="00A80562">
        <w:trPr>
          <w:trHeight w:val="239"/>
        </w:trPr>
        <w:tc>
          <w:tcPr>
            <w:tcW w:w="236" w:type="dxa"/>
            <w:tcBorders>
              <w:top w:val="nil"/>
              <w:left w:val="nil"/>
              <w:bottom w:val="nil"/>
              <w:right w:val="nil"/>
            </w:tcBorders>
            <w:shd w:val="clear" w:color="auto" w:fill="auto"/>
            <w:noWrap/>
            <w:vAlign w:val="bottom"/>
            <w:hideMark/>
          </w:tcPr>
          <w:p w14:paraId="2B6A0E6C"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1EB803F4"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147C5C6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1.584*** (1.491, 1.677)</w:t>
            </w:r>
          </w:p>
        </w:tc>
        <w:tc>
          <w:tcPr>
            <w:tcW w:w="2005" w:type="dxa"/>
            <w:tcBorders>
              <w:top w:val="nil"/>
              <w:left w:val="nil"/>
              <w:bottom w:val="nil"/>
              <w:right w:val="nil"/>
            </w:tcBorders>
            <w:shd w:val="clear" w:color="auto" w:fill="auto"/>
            <w:noWrap/>
            <w:vAlign w:val="bottom"/>
            <w:hideMark/>
          </w:tcPr>
          <w:p w14:paraId="01F13D6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(-0.002, 0)</w:t>
            </w:r>
          </w:p>
        </w:tc>
        <w:tc>
          <w:tcPr>
            <w:tcW w:w="2006" w:type="dxa"/>
            <w:tcBorders>
              <w:top w:val="nil"/>
              <w:left w:val="nil"/>
              <w:bottom w:val="nil"/>
              <w:right w:val="nil"/>
            </w:tcBorders>
            <w:shd w:val="clear" w:color="auto" w:fill="auto"/>
            <w:noWrap/>
            <w:vAlign w:val="bottom"/>
            <w:hideMark/>
          </w:tcPr>
          <w:p w14:paraId="1ECC459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-0.126 (-0.263, 0.011)</w:t>
            </w:r>
          </w:p>
        </w:tc>
        <w:tc>
          <w:tcPr>
            <w:tcW w:w="2005" w:type="dxa"/>
            <w:tcBorders>
              <w:top w:val="nil"/>
              <w:left w:val="nil"/>
              <w:bottom w:val="nil"/>
              <w:right w:val="nil"/>
            </w:tcBorders>
            <w:shd w:val="clear" w:color="auto" w:fill="auto"/>
            <w:noWrap/>
            <w:vAlign w:val="bottom"/>
            <w:hideMark/>
          </w:tcPr>
          <w:p w14:paraId="1D95C6A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-0.004 (-0.015, 0.007)</w:t>
            </w:r>
          </w:p>
        </w:tc>
        <w:tc>
          <w:tcPr>
            <w:tcW w:w="2005" w:type="dxa"/>
            <w:tcBorders>
              <w:top w:val="nil"/>
              <w:left w:val="nil"/>
              <w:bottom w:val="nil"/>
              <w:right w:val="nil"/>
            </w:tcBorders>
            <w:shd w:val="clear" w:color="auto" w:fill="auto"/>
            <w:noWrap/>
            <w:vAlign w:val="bottom"/>
            <w:hideMark/>
          </w:tcPr>
          <w:p w14:paraId="15F2287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-0.19** (-0.322, -0.059)</w:t>
            </w:r>
          </w:p>
        </w:tc>
        <w:tc>
          <w:tcPr>
            <w:tcW w:w="2006" w:type="dxa"/>
            <w:tcBorders>
              <w:top w:val="nil"/>
              <w:left w:val="nil"/>
              <w:bottom w:val="nil"/>
              <w:right w:val="nil"/>
            </w:tcBorders>
            <w:shd w:val="clear" w:color="auto" w:fill="auto"/>
            <w:noWrap/>
            <w:vAlign w:val="bottom"/>
            <w:hideMark/>
          </w:tcPr>
          <w:p w14:paraId="0607417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0DF4EE8D"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35D092C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with activities of daily living</w:t>
            </w:r>
          </w:p>
        </w:tc>
        <w:tc>
          <w:tcPr>
            <w:tcW w:w="2005" w:type="dxa"/>
            <w:tcBorders>
              <w:top w:val="nil"/>
              <w:left w:val="single" w:sz="4" w:space="0" w:color="auto"/>
              <w:bottom w:val="nil"/>
              <w:right w:val="nil"/>
            </w:tcBorders>
            <w:shd w:val="clear" w:color="auto" w:fill="auto"/>
            <w:noWrap/>
            <w:vAlign w:val="bottom"/>
            <w:hideMark/>
          </w:tcPr>
          <w:p w14:paraId="1D9CEB23"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27F572AF"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0E3D7CAB"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67E45E79"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3F092432"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5CBE5CA4" w14:textId="77777777" w:rsidR="00C03FA1" w:rsidRPr="00A80562" w:rsidRDefault="00C03FA1" w:rsidP="00C03FA1">
            <w:pPr>
              <w:spacing w:after="0" w:line="240" w:lineRule="auto"/>
              <w:jc w:val="left"/>
              <w:rPr>
                <w:rFonts w:eastAsia="Times New Roman"/>
                <w:lang w:eastAsia="en-GB"/>
              </w:rPr>
            </w:pPr>
          </w:p>
        </w:tc>
      </w:tr>
      <w:tr w:rsidR="00C03FA1" w:rsidRPr="00A80562" w14:paraId="1ABC43FE" w14:textId="77777777" w:rsidTr="00A80562">
        <w:trPr>
          <w:trHeight w:val="239"/>
        </w:trPr>
        <w:tc>
          <w:tcPr>
            <w:tcW w:w="236" w:type="dxa"/>
            <w:tcBorders>
              <w:top w:val="nil"/>
              <w:left w:val="nil"/>
              <w:bottom w:val="nil"/>
              <w:right w:val="nil"/>
            </w:tcBorders>
            <w:shd w:val="clear" w:color="auto" w:fill="auto"/>
            <w:noWrap/>
            <w:vAlign w:val="bottom"/>
            <w:hideMark/>
          </w:tcPr>
          <w:p w14:paraId="08704B14"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56FCE60D"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3F126BD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62.42*** (58.91, 65.93)</w:t>
            </w:r>
          </w:p>
        </w:tc>
        <w:tc>
          <w:tcPr>
            <w:tcW w:w="2005" w:type="dxa"/>
            <w:tcBorders>
              <w:top w:val="nil"/>
              <w:left w:val="nil"/>
              <w:bottom w:val="nil"/>
              <w:right w:val="nil"/>
            </w:tcBorders>
            <w:shd w:val="clear" w:color="000000" w:fill="F2F2F2"/>
            <w:noWrap/>
            <w:vAlign w:val="bottom"/>
            <w:hideMark/>
          </w:tcPr>
          <w:p w14:paraId="40C11A1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-0.04* (-0.06, -0.01)</w:t>
            </w:r>
          </w:p>
        </w:tc>
        <w:tc>
          <w:tcPr>
            <w:tcW w:w="2006" w:type="dxa"/>
            <w:tcBorders>
              <w:top w:val="nil"/>
              <w:left w:val="nil"/>
              <w:bottom w:val="nil"/>
              <w:right w:val="nil"/>
            </w:tcBorders>
            <w:shd w:val="clear" w:color="000000" w:fill="F2F2F2"/>
            <w:noWrap/>
            <w:vAlign w:val="bottom"/>
            <w:hideMark/>
          </w:tcPr>
          <w:p w14:paraId="4B1384A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-6.59* (-11.75, -1.44)</w:t>
            </w:r>
          </w:p>
        </w:tc>
        <w:tc>
          <w:tcPr>
            <w:tcW w:w="2005" w:type="dxa"/>
            <w:tcBorders>
              <w:top w:val="nil"/>
              <w:left w:val="nil"/>
              <w:bottom w:val="nil"/>
              <w:right w:val="nil"/>
            </w:tcBorders>
            <w:shd w:val="clear" w:color="000000" w:fill="F2F2F2"/>
            <w:noWrap/>
            <w:vAlign w:val="bottom"/>
            <w:hideMark/>
          </w:tcPr>
          <w:p w14:paraId="46D5DF4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0.35 (-0.07, 0.76)</w:t>
            </w:r>
          </w:p>
        </w:tc>
        <w:tc>
          <w:tcPr>
            <w:tcW w:w="2005" w:type="dxa"/>
            <w:tcBorders>
              <w:top w:val="nil"/>
              <w:left w:val="nil"/>
              <w:bottom w:val="nil"/>
              <w:right w:val="nil"/>
            </w:tcBorders>
            <w:shd w:val="clear" w:color="000000" w:fill="F2F2F2"/>
            <w:noWrap/>
            <w:vAlign w:val="bottom"/>
            <w:hideMark/>
          </w:tcPr>
          <w:p w14:paraId="15E2848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-1.36 (-6.31, 3.59)</w:t>
            </w:r>
          </w:p>
        </w:tc>
        <w:tc>
          <w:tcPr>
            <w:tcW w:w="2006" w:type="dxa"/>
            <w:tcBorders>
              <w:top w:val="nil"/>
              <w:left w:val="nil"/>
              <w:bottom w:val="nil"/>
              <w:right w:val="nil"/>
            </w:tcBorders>
            <w:shd w:val="clear" w:color="000000" w:fill="F2F2F2"/>
            <w:noWrap/>
            <w:vAlign w:val="bottom"/>
            <w:hideMark/>
          </w:tcPr>
          <w:p w14:paraId="2E01EBB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5AC7DCF4" w14:textId="77777777" w:rsidTr="00A80562">
        <w:trPr>
          <w:trHeight w:val="239"/>
        </w:trPr>
        <w:tc>
          <w:tcPr>
            <w:tcW w:w="236" w:type="dxa"/>
            <w:tcBorders>
              <w:top w:val="nil"/>
              <w:left w:val="nil"/>
              <w:bottom w:val="nil"/>
              <w:right w:val="nil"/>
            </w:tcBorders>
            <w:shd w:val="clear" w:color="auto" w:fill="auto"/>
            <w:noWrap/>
            <w:vAlign w:val="bottom"/>
            <w:hideMark/>
          </w:tcPr>
          <w:p w14:paraId="43891475"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7CE29448"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1B5F8E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1.169*** (1.079, 1.259)</w:t>
            </w:r>
          </w:p>
        </w:tc>
        <w:tc>
          <w:tcPr>
            <w:tcW w:w="2005" w:type="dxa"/>
            <w:tcBorders>
              <w:top w:val="nil"/>
              <w:left w:val="nil"/>
              <w:bottom w:val="nil"/>
              <w:right w:val="nil"/>
            </w:tcBorders>
            <w:shd w:val="clear" w:color="auto" w:fill="auto"/>
            <w:noWrap/>
            <w:vAlign w:val="bottom"/>
            <w:hideMark/>
          </w:tcPr>
          <w:p w14:paraId="3BF67065"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(-0.002, 0)</w:t>
            </w:r>
          </w:p>
        </w:tc>
        <w:tc>
          <w:tcPr>
            <w:tcW w:w="2006" w:type="dxa"/>
            <w:tcBorders>
              <w:top w:val="nil"/>
              <w:left w:val="nil"/>
              <w:bottom w:val="nil"/>
              <w:right w:val="nil"/>
            </w:tcBorders>
            <w:shd w:val="clear" w:color="auto" w:fill="auto"/>
            <w:noWrap/>
            <w:vAlign w:val="bottom"/>
            <w:hideMark/>
          </w:tcPr>
          <w:p w14:paraId="78429A5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-0.294*** (-0.425, -0.162)</w:t>
            </w:r>
          </w:p>
        </w:tc>
        <w:tc>
          <w:tcPr>
            <w:tcW w:w="2005" w:type="dxa"/>
            <w:tcBorders>
              <w:top w:val="nil"/>
              <w:left w:val="nil"/>
              <w:bottom w:val="nil"/>
              <w:right w:val="nil"/>
            </w:tcBorders>
            <w:shd w:val="clear" w:color="auto" w:fill="auto"/>
            <w:noWrap/>
            <w:vAlign w:val="bottom"/>
            <w:hideMark/>
          </w:tcPr>
          <w:p w14:paraId="2E272E8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0.019*** (0.008, 0.03)</w:t>
            </w:r>
          </w:p>
        </w:tc>
        <w:tc>
          <w:tcPr>
            <w:tcW w:w="2005" w:type="dxa"/>
            <w:tcBorders>
              <w:top w:val="nil"/>
              <w:left w:val="nil"/>
              <w:bottom w:val="nil"/>
              <w:right w:val="nil"/>
            </w:tcBorders>
            <w:shd w:val="clear" w:color="auto" w:fill="auto"/>
            <w:noWrap/>
            <w:vAlign w:val="bottom"/>
            <w:hideMark/>
          </w:tcPr>
          <w:p w14:paraId="302FE84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-0.008 (-0.135, 0.118)</w:t>
            </w:r>
          </w:p>
        </w:tc>
        <w:tc>
          <w:tcPr>
            <w:tcW w:w="2006" w:type="dxa"/>
            <w:tcBorders>
              <w:top w:val="nil"/>
              <w:left w:val="nil"/>
              <w:bottom w:val="nil"/>
              <w:right w:val="nil"/>
            </w:tcBorders>
            <w:shd w:val="clear" w:color="auto" w:fill="auto"/>
            <w:noWrap/>
            <w:vAlign w:val="bottom"/>
            <w:hideMark/>
          </w:tcPr>
          <w:p w14:paraId="38EF98D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66DFA4F5"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40745CD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with living conditions</w:t>
            </w:r>
          </w:p>
        </w:tc>
        <w:tc>
          <w:tcPr>
            <w:tcW w:w="2005" w:type="dxa"/>
            <w:tcBorders>
              <w:top w:val="nil"/>
              <w:left w:val="single" w:sz="4" w:space="0" w:color="auto"/>
              <w:bottom w:val="nil"/>
              <w:right w:val="nil"/>
            </w:tcBorders>
            <w:shd w:val="clear" w:color="auto" w:fill="auto"/>
            <w:noWrap/>
            <w:vAlign w:val="bottom"/>
            <w:hideMark/>
          </w:tcPr>
          <w:p w14:paraId="4B1AD35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5F2B6B27"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1FBAA53D"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5661E87B"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05208FED"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4D3E3763" w14:textId="77777777" w:rsidR="00C03FA1" w:rsidRPr="00A80562" w:rsidRDefault="00C03FA1" w:rsidP="00C03FA1">
            <w:pPr>
              <w:spacing w:after="0" w:line="240" w:lineRule="auto"/>
              <w:jc w:val="left"/>
              <w:rPr>
                <w:rFonts w:eastAsia="Times New Roman"/>
                <w:lang w:eastAsia="en-GB"/>
              </w:rPr>
            </w:pPr>
          </w:p>
        </w:tc>
      </w:tr>
      <w:tr w:rsidR="00C03FA1" w:rsidRPr="00A80562" w14:paraId="1920BE2F" w14:textId="77777777" w:rsidTr="00A80562">
        <w:trPr>
          <w:trHeight w:val="239"/>
        </w:trPr>
        <w:tc>
          <w:tcPr>
            <w:tcW w:w="236" w:type="dxa"/>
            <w:tcBorders>
              <w:top w:val="nil"/>
              <w:left w:val="nil"/>
              <w:bottom w:val="nil"/>
              <w:right w:val="nil"/>
            </w:tcBorders>
            <w:shd w:val="clear" w:color="auto" w:fill="auto"/>
            <w:noWrap/>
            <w:vAlign w:val="bottom"/>
            <w:hideMark/>
          </w:tcPr>
          <w:p w14:paraId="2CC83C99"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18C97B26"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048611D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36.4*** (32.91, 39.9)</w:t>
            </w:r>
          </w:p>
        </w:tc>
        <w:tc>
          <w:tcPr>
            <w:tcW w:w="2005" w:type="dxa"/>
            <w:tcBorders>
              <w:top w:val="nil"/>
              <w:left w:val="nil"/>
              <w:bottom w:val="nil"/>
              <w:right w:val="nil"/>
            </w:tcBorders>
            <w:shd w:val="clear" w:color="000000" w:fill="F2F2F2"/>
            <w:noWrap/>
            <w:vAlign w:val="bottom"/>
            <w:hideMark/>
          </w:tcPr>
          <w:p w14:paraId="26660419"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-0.01 (-0.03, 0.02)</w:t>
            </w:r>
          </w:p>
        </w:tc>
        <w:tc>
          <w:tcPr>
            <w:tcW w:w="2006" w:type="dxa"/>
            <w:tcBorders>
              <w:top w:val="nil"/>
              <w:left w:val="nil"/>
              <w:bottom w:val="nil"/>
              <w:right w:val="nil"/>
            </w:tcBorders>
            <w:shd w:val="clear" w:color="000000" w:fill="F2F2F2"/>
            <w:noWrap/>
            <w:vAlign w:val="bottom"/>
            <w:hideMark/>
          </w:tcPr>
          <w:p w14:paraId="32B7FB0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-26.52*** (-31.65, -21.38)</w:t>
            </w:r>
          </w:p>
        </w:tc>
        <w:tc>
          <w:tcPr>
            <w:tcW w:w="2005" w:type="dxa"/>
            <w:tcBorders>
              <w:top w:val="nil"/>
              <w:left w:val="nil"/>
              <w:bottom w:val="nil"/>
              <w:right w:val="nil"/>
            </w:tcBorders>
            <w:shd w:val="clear" w:color="000000" w:fill="F2F2F2"/>
            <w:noWrap/>
            <w:vAlign w:val="bottom"/>
            <w:hideMark/>
          </w:tcPr>
          <w:p w14:paraId="57258A5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2.23*** (1.82, 2.64)</w:t>
            </w:r>
          </w:p>
        </w:tc>
        <w:tc>
          <w:tcPr>
            <w:tcW w:w="2005" w:type="dxa"/>
            <w:tcBorders>
              <w:top w:val="nil"/>
              <w:left w:val="nil"/>
              <w:bottom w:val="nil"/>
              <w:right w:val="nil"/>
            </w:tcBorders>
            <w:shd w:val="clear" w:color="000000" w:fill="F2F2F2"/>
            <w:noWrap/>
            <w:vAlign w:val="bottom"/>
            <w:hideMark/>
          </w:tcPr>
          <w:p w14:paraId="5638124D"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6.91** (1.98, 11.83)</w:t>
            </w:r>
          </w:p>
        </w:tc>
        <w:tc>
          <w:tcPr>
            <w:tcW w:w="2006" w:type="dxa"/>
            <w:tcBorders>
              <w:top w:val="nil"/>
              <w:left w:val="nil"/>
              <w:bottom w:val="nil"/>
              <w:right w:val="nil"/>
            </w:tcBorders>
            <w:shd w:val="clear" w:color="000000" w:fill="F2F2F2"/>
            <w:noWrap/>
            <w:vAlign w:val="bottom"/>
            <w:hideMark/>
          </w:tcPr>
          <w:p w14:paraId="4022FBC0"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34CE407F" w14:textId="77777777" w:rsidTr="00A80562">
        <w:trPr>
          <w:trHeight w:val="239"/>
        </w:trPr>
        <w:tc>
          <w:tcPr>
            <w:tcW w:w="236" w:type="dxa"/>
            <w:tcBorders>
              <w:top w:val="nil"/>
              <w:left w:val="nil"/>
              <w:bottom w:val="nil"/>
              <w:right w:val="nil"/>
            </w:tcBorders>
            <w:shd w:val="clear" w:color="auto" w:fill="auto"/>
            <w:noWrap/>
            <w:vAlign w:val="bottom"/>
            <w:hideMark/>
          </w:tcPr>
          <w:p w14:paraId="182CC4DA"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0888A662"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7D63A02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0.704*** (0.613, 0.795)</w:t>
            </w:r>
          </w:p>
        </w:tc>
        <w:tc>
          <w:tcPr>
            <w:tcW w:w="2005" w:type="dxa"/>
            <w:tcBorders>
              <w:top w:val="nil"/>
              <w:left w:val="nil"/>
              <w:bottom w:val="nil"/>
              <w:right w:val="nil"/>
            </w:tcBorders>
            <w:shd w:val="clear" w:color="auto" w:fill="auto"/>
            <w:noWrap/>
            <w:vAlign w:val="bottom"/>
            <w:hideMark/>
          </w:tcPr>
          <w:p w14:paraId="72037B2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(-0.001, 0)</w:t>
            </w:r>
          </w:p>
        </w:tc>
        <w:tc>
          <w:tcPr>
            <w:tcW w:w="2006" w:type="dxa"/>
            <w:tcBorders>
              <w:top w:val="nil"/>
              <w:left w:val="nil"/>
              <w:bottom w:val="nil"/>
              <w:right w:val="nil"/>
            </w:tcBorders>
            <w:shd w:val="clear" w:color="auto" w:fill="auto"/>
            <w:noWrap/>
            <w:vAlign w:val="bottom"/>
            <w:hideMark/>
          </w:tcPr>
          <w:p w14:paraId="0A98DE4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-0.533*** (-0.667, -0.399)</w:t>
            </w:r>
          </w:p>
        </w:tc>
        <w:tc>
          <w:tcPr>
            <w:tcW w:w="2005" w:type="dxa"/>
            <w:tcBorders>
              <w:top w:val="nil"/>
              <w:left w:val="nil"/>
              <w:bottom w:val="nil"/>
              <w:right w:val="nil"/>
            </w:tcBorders>
            <w:shd w:val="clear" w:color="auto" w:fill="auto"/>
            <w:noWrap/>
            <w:vAlign w:val="bottom"/>
            <w:hideMark/>
          </w:tcPr>
          <w:p w14:paraId="2594833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0.048*** (0.037, 0.059)</w:t>
            </w:r>
          </w:p>
        </w:tc>
        <w:tc>
          <w:tcPr>
            <w:tcW w:w="2005" w:type="dxa"/>
            <w:tcBorders>
              <w:top w:val="nil"/>
              <w:left w:val="nil"/>
              <w:bottom w:val="nil"/>
              <w:right w:val="nil"/>
            </w:tcBorders>
            <w:shd w:val="clear" w:color="auto" w:fill="auto"/>
            <w:noWrap/>
            <w:vAlign w:val="bottom"/>
            <w:hideMark/>
          </w:tcPr>
          <w:p w14:paraId="4D7BAA8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0.187** (0.058, 0.315)</w:t>
            </w:r>
          </w:p>
        </w:tc>
        <w:tc>
          <w:tcPr>
            <w:tcW w:w="2006" w:type="dxa"/>
            <w:tcBorders>
              <w:top w:val="nil"/>
              <w:left w:val="nil"/>
              <w:bottom w:val="nil"/>
              <w:right w:val="nil"/>
            </w:tcBorders>
            <w:shd w:val="clear" w:color="auto" w:fill="auto"/>
            <w:noWrap/>
            <w:vAlign w:val="bottom"/>
            <w:hideMark/>
          </w:tcPr>
          <w:p w14:paraId="1C48ED8F"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5D58F057" w14:textId="77777777" w:rsidTr="00A80562">
        <w:trPr>
          <w:trHeight w:val="239"/>
        </w:trPr>
        <w:tc>
          <w:tcPr>
            <w:tcW w:w="3269" w:type="dxa"/>
            <w:gridSpan w:val="2"/>
            <w:tcBorders>
              <w:top w:val="nil"/>
              <w:left w:val="nil"/>
              <w:bottom w:val="nil"/>
              <w:right w:val="nil"/>
            </w:tcBorders>
            <w:shd w:val="clear" w:color="auto" w:fill="auto"/>
            <w:noWrap/>
            <w:vAlign w:val="bottom"/>
            <w:hideMark/>
          </w:tcPr>
          <w:p w14:paraId="678D0EC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Problems with occupation and activities</w:t>
            </w:r>
          </w:p>
        </w:tc>
        <w:tc>
          <w:tcPr>
            <w:tcW w:w="2005" w:type="dxa"/>
            <w:tcBorders>
              <w:top w:val="nil"/>
              <w:left w:val="single" w:sz="4" w:space="0" w:color="auto"/>
              <w:bottom w:val="nil"/>
              <w:right w:val="nil"/>
            </w:tcBorders>
            <w:shd w:val="clear" w:color="auto" w:fill="auto"/>
            <w:noWrap/>
            <w:vAlign w:val="bottom"/>
            <w:hideMark/>
          </w:tcPr>
          <w:p w14:paraId="297D669A"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05" w:type="dxa"/>
            <w:tcBorders>
              <w:top w:val="nil"/>
              <w:left w:val="nil"/>
              <w:bottom w:val="nil"/>
              <w:right w:val="nil"/>
            </w:tcBorders>
            <w:shd w:val="clear" w:color="auto" w:fill="auto"/>
            <w:noWrap/>
            <w:vAlign w:val="bottom"/>
            <w:hideMark/>
          </w:tcPr>
          <w:p w14:paraId="4AD5E827" w14:textId="77777777" w:rsidR="00C03FA1" w:rsidRPr="00A80562" w:rsidRDefault="00C03FA1" w:rsidP="00C03FA1">
            <w:pPr>
              <w:spacing w:after="0" w:line="240" w:lineRule="auto"/>
              <w:jc w:val="left"/>
              <w:rPr>
                <w:rFonts w:eastAsia="Times New Roman"/>
                <w:sz w:val="16"/>
                <w:szCs w:val="16"/>
                <w:lang w:eastAsia="en-GB"/>
              </w:rPr>
            </w:pPr>
          </w:p>
        </w:tc>
        <w:tc>
          <w:tcPr>
            <w:tcW w:w="2006" w:type="dxa"/>
            <w:tcBorders>
              <w:top w:val="nil"/>
              <w:left w:val="nil"/>
              <w:bottom w:val="nil"/>
              <w:right w:val="nil"/>
            </w:tcBorders>
            <w:shd w:val="clear" w:color="auto" w:fill="auto"/>
            <w:noWrap/>
            <w:vAlign w:val="bottom"/>
            <w:hideMark/>
          </w:tcPr>
          <w:p w14:paraId="0B380194"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7EA14355" w14:textId="77777777" w:rsidR="00C03FA1" w:rsidRPr="00A80562" w:rsidRDefault="00C03FA1" w:rsidP="00C03FA1">
            <w:pPr>
              <w:spacing w:after="0" w:line="240" w:lineRule="auto"/>
              <w:jc w:val="left"/>
              <w:rPr>
                <w:rFonts w:eastAsia="Times New Roman"/>
                <w:lang w:eastAsia="en-GB"/>
              </w:rPr>
            </w:pPr>
          </w:p>
        </w:tc>
        <w:tc>
          <w:tcPr>
            <w:tcW w:w="2005" w:type="dxa"/>
            <w:tcBorders>
              <w:top w:val="nil"/>
              <w:left w:val="nil"/>
              <w:bottom w:val="nil"/>
              <w:right w:val="nil"/>
            </w:tcBorders>
            <w:shd w:val="clear" w:color="auto" w:fill="auto"/>
            <w:noWrap/>
            <w:vAlign w:val="bottom"/>
            <w:hideMark/>
          </w:tcPr>
          <w:p w14:paraId="0BA11968" w14:textId="77777777" w:rsidR="00C03FA1" w:rsidRPr="00A80562" w:rsidRDefault="00C03FA1" w:rsidP="00C03FA1">
            <w:pPr>
              <w:spacing w:after="0" w:line="240" w:lineRule="auto"/>
              <w:jc w:val="left"/>
              <w:rPr>
                <w:rFonts w:eastAsia="Times New Roman"/>
                <w:lang w:eastAsia="en-GB"/>
              </w:rPr>
            </w:pPr>
          </w:p>
        </w:tc>
        <w:tc>
          <w:tcPr>
            <w:tcW w:w="2006" w:type="dxa"/>
            <w:tcBorders>
              <w:top w:val="nil"/>
              <w:left w:val="nil"/>
              <w:bottom w:val="nil"/>
              <w:right w:val="nil"/>
            </w:tcBorders>
            <w:shd w:val="clear" w:color="auto" w:fill="auto"/>
            <w:noWrap/>
            <w:vAlign w:val="bottom"/>
            <w:hideMark/>
          </w:tcPr>
          <w:p w14:paraId="3E585245" w14:textId="77777777" w:rsidR="00C03FA1" w:rsidRPr="00A80562" w:rsidRDefault="00C03FA1" w:rsidP="00C03FA1">
            <w:pPr>
              <w:spacing w:after="0" w:line="240" w:lineRule="auto"/>
              <w:jc w:val="left"/>
              <w:rPr>
                <w:rFonts w:eastAsia="Times New Roman"/>
                <w:lang w:eastAsia="en-GB"/>
              </w:rPr>
            </w:pPr>
          </w:p>
        </w:tc>
      </w:tr>
      <w:tr w:rsidR="00C03FA1" w:rsidRPr="00A80562" w14:paraId="7572F8EC" w14:textId="77777777" w:rsidTr="00A80562">
        <w:trPr>
          <w:trHeight w:val="239"/>
        </w:trPr>
        <w:tc>
          <w:tcPr>
            <w:tcW w:w="236" w:type="dxa"/>
            <w:tcBorders>
              <w:top w:val="nil"/>
              <w:left w:val="nil"/>
              <w:bottom w:val="nil"/>
              <w:right w:val="nil"/>
            </w:tcBorders>
            <w:shd w:val="clear" w:color="auto" w:fill="auto"/>
            <w:noWrap/>
            <w:vAlign w:val="bottom"/>
            <w:hideMark/>
          </w:tcPr>
          <w:p w14:paraId="38091A30" w14:textId="77777777" w:rsidR="00C03FA1" w:rsidRPr="00A80562" w:rsidRDefault="00C03FA1" w:rsidP="00C03FA1">
            <w:pPr>
              <w:spacing w:after="0" w:line="240" w:lineRule="auto"/>
              <w:jc w:val="left"/>
              <w:rPr>
                <w:rFonts w:eastAsia="Times New Roman"/>
                <w:lang w:eastAsia="en-GB"/>
              </w:rPr>
            </w:pPr>
          </w:p>
        </w:tc>
        <w:tc>
          <w:tcPr>
            <w:tcW w:w="3033" w:type="dxa"/>
            <w:tcBorders>
              <w:top w:val="nil"/>
              <w:left w:val="nil"/>
              <w:bottom w:val="nil"/>
              <w:right w:val="nil"/>
            </w:tcBorders>
            <w:shd w:val="clear" w:color="000000" w:fill="F2F2F2"/>
            <w:noWrap/>
            <w:vAlign w:val="bottom"/>
            <w:hideMark/>
          </w:tcPr>
          <w:p w14:paraId="503E8272"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05" w:type="dxa"/>
            <w:tcBorders>
              <w:top w:val="nil"/>
              <w:left w:val="single" w:sz="4" w:space="0" w:color="auto"/>
              <w:bottom w:val="nil"/>
              <w:right w:val="nil"/>
            </w:tcBorders>
            <w:shd w:val="clear" w:color="000000" w:fill="F2F2F2"/>
            <w:noWrap/>
            <w:vAlign w:val="bottom"/>
            <w:hideMark/>
          </w:tcPr>
          <w:p w14:paraId="091F358C"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60.62*** (57.43, 63.81)</w:t>
            </w:r>
          </w:p>
        </w:tc>
        <w:tc>
          <w:tcPr>
            <w:tcW w:w="2005" w:type="dxa"/>
            <w:tcBorders>
              <w:top w:val="nil"/>
              <w:left w:val="nil"/>
              <w:bottom w:val="nil"/>
              <w:right w:val="nil"/>
            </w:tcBorders>
            <w:shd w:val="clear" w:color="000000" w:fill="F2F2F2"/>
            <w:noWrap/>
            <w:vAlign w:val="bottom"/>
            <w:hideMark/>
          </w:tcPr>
          <w:p w14:paraId="0D55DF14"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 (-0.04, 0.01)</w:t>
            </w:r>
          </w:p>
        </w:tc>
        <w:tc>
          <w:tcPr>
            <w:tcW w:w="2006" w:type="dxa"/>
            <w:tcBorders>
              <w:top w:val="nil"/>
              <w:left w:val="nil"/>
              <w:bottom w:val="nil"/>
              <w:right w:val="nil"/>
            </w:tcBorders>
            <w:shd w:val="clear" w:color="000000" w:fill="F2F2F2"/>
            <w:noWrap/>
            <w:vAlign w:val="bottom"/>
            <w:hideMark/>
          </w:tcPr>
          <w:p w14:paraId="325BC3FB"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-3.91 (-8.6, 0.77)</w:t>
            </w:r>
          </w:p>
        </w:tc>
        <w:tc>
          <w:tcPr>
            <w:tcW w:w="2005" w:type="dxa"/>
            <w:tcBorders>
              <w:top w:val="nil"/>
              <w:left w:val="nil"/>
              <w:bottom w:val="nil"/>
              <w:right w:val="nil"/>
            </w:tcBorders>
            <w:shd w:val="clear" w:color="000000" w:fill="F2F2F2"/>
            <w:noWrap/>
            <w:vAlign w:val="bottom"/>
            <w:hideMark/>
          </w:tcPr>
          <w:p w14:paraId="057A332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0.27 (-0.1, 0.65)</w:t>
            </w:r>
          </w:p>
        </w:tc>
        <w:tc>
          <w:tcPr>
            <w:tcW w:w="2005" w:type="dxa"/>
            <w:tcBorders>
              <w:top w:val="nil"/>
              <w:left w:val="nil"/>
              <w:bottom w:val="nil"/>
              <w:right w:val="nil"/>
            </w:tcBorders>
            <w:shd w:val="clear" w:color="000000" w:fill="F2F2F2"/>
            <w:noWrap/>
            <w:vAlign w:val="bottom"/>
            <w:hideMark/>
          </w:tcPr>
          <w:p w14:paraId="3C081C48"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0.19 (-4.31, 4.68)</w:t>
            </w:r>
          </w:p>
        </w:tc>
        <w:tc>
          <w:tcPr>
            <w:tcW w:w="2006" w:type="dxa"/>
            <w:tcBorders>
              <w:top w:val="nil"/>
              <w:left w:val="nil"/>
              <w:bottom w:val="nil"/>
              <w:right w:val="nil"/>
            </w:tcBorders>
            <w:shd w:val="clear" w:color="000000" w:fill="F2F2F2"/>
            <w:noWrap/>
            <w:vAlign w:val="bottom"/>
            <w:hideMark/>
          </w:tcPr>
          <w:p w14:paraId="1E31BED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C03FA1" w:rsidRPr="00A80562" w14:paraId="3EFA0905" w14:textId="77777777" w:rsidTr="00A80562">
        <w:trPr>
          <w:trHeight w:val="239"/>
        </w:trPr>
        <w:tc>
          <w:tcPr>
            <w:tcW w:w="236" w:type="dxa"/>
            <w:tcBorders>
              <w:top w:val="nil"/>
              <w:left w:val="nil"/>
              <w:bottom w:val="nil"/>
              <w:right w:val="nil"/>
            </w:tcBorders>
            <w:shd w:val="clear" w:color="auto" w:fill="auto"/>
            <w:noWrap/>
            <w:vAlign w:val="bottom"/>
            <w:hideMark/>
          </w:tcPr>
          <w:p w14:paraId="56C46620" w14:textId="77777777" w:rsidR="00C03FA1" w:rsidRPr="00A80562" w:rsidRDefault="00C03FA1" w:rsidP="00C03FA1">
            <w:pPr>
              <w:spacing w:after="0" w:line="240" w:lineRule="auto"/>
              <w:jc w:val="left"/>
              <w:rPr>
                <w:rFonts w:eastAsia="Times New Roman"/>
                <w:sz w:val="16"/>
                <w:szCs w:val="16"/>
                <w:lang w:eastAsia="en-GB"/>
              </w:rPr>
            </w:pPr>
          </w:p>
        </w:tc>
        <w:tc>
          <w:tcPr>
            <w:tcW w:w="3033" w:type="dxa"/>
            <w:tcBorders>
              <w:top w:val="nil"/>
              <w:left w:val="nil"/>
              <w:bottom w:val="nil"/>
              <w:right w:val="nil"/>
            </w:tcBorders>
            <w:shd w:val="clear" w:color="auto" w:fill="auto"/>
            <w:noWrap/>
            <w:vAlign w:val="bottom"/>
            <w:hideMark/>
          </w:tcPr>
          <w:p w14:paraId="478EC526" w14:textId="77777777" w:rsidR="00C03FA1" w:rsidRPr="00A80562" w:rsidRDefault="00C03FA1" w:rsidP="00C03FA1">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05" w:type="dxa"/>
            <w:tcBorders>
              <w:top w:val="nil"/>
              <w:left w:val="single" w:sz="4" w:space="0" w:color="auto"/>
              <w:bottom w:val="nil"/>
              <w:right w:val="nil"/>
            </w:tcBorders>
            <w:shd w:val="clear" w:color="auto" w:fill="auto"/>
            <w:noWrap/>
            <w:vAlign w:val="bottom"/>
            <w:hideMark/>
          </w:tcPr>
          <w:p w14:paraId="4B2E0F6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1.16*** (1.059, 1.262)</w:t>
            </w:r>
          </w:p>
        </w:tc>
        <w:tc>
          <w:tcPr>
            <w:tcW w:w="2005" w:type="dxa"/>
            <w:tcBorders>
              <w:top w:val="nil"/>
              <w:left w:val="nil"/>
              <w:bottom w:val="nil"/>
              <w:right w:val="nil"/>
            </w:tcBorders>
            <w:shd w:val="clear" w:color="auto" w:fill="auto"/>
            <w:noWrap/>
            <w:vAlign w:val="bottom"/>
            <w:hideMark/>
          </w:tcPr>
          <w:p w14:paraId="4110EE81"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-0.001 (-0.001, 0)</w:t>
            </w:r>
          </w:p>
        </w:tc>
        <w:tc>
          <w:tcPr>
            <w:tcW w:w="2006" w:type="dxa"/>
            <w:tcBorders>
              <w:top w:val="nil"/>
              <w:left w:val="nil"/>
              <w:bottom w:val="nil"/>
              <w:right w:val="nil"/>
            </w:tcBorders>
            <w:shd w:val="clear" w:color="auto" w:fill="auto"/>
            <w:noWrap/>
            <w:vAlign w:val="bottom"/>
            <w:hideMark/>
          </w:tcPr>
          <w:p w14:paraId="419AA4C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-0.32*** (-0.469, -0.171)</w:t>
            </w:r>
          </w:p>
        </w:tc>
        <w:tc>
          <w:tcPr>
            <w:tcW w:w="2005" w:type="dxa"/>
            <w:tcBorders>
              <w:top w:val="nil"/>
              <w:left w:val="nil"/>
              <w:bottom w:val="nil"/>
              <w:right w:val="nil"/>
            </w:tcBorders>
            <w:shd w:val="clear" w:color="auto" w:fill="auto"/>
            <w:noWrap/>
            <w:vAlign w:val="bottom"/>
            <w:hideMark/>
          </w:tcPr>
          <w:p w14:paraId="64B03EEE"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0.024*** (0.012, 0.036)</w:t>
            </w:r>
          </w:p>
        </w:tc>
        <w:tc>
          <w:tcPr>
            <w:tcW w:w="2005" w:type="dxa"/>
            <w:tcBorders>
              <w:top w:val="nil"/>
              <w:left w:val="nil"/>
              <w:bottom w:val="nil"/>
              <w:right w:val="nil"/>
            </w:tcBorders>
            <w:shd w:val="clear" w:color="auto" w:fill="auto"/>
            <w:noWrap/>
            <w:vAlign w:val="bottom"/>
            <w:hideMark/>
          </w:tcPr>
          <w:p w14:paraId="586B2C17"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0.038 (-0.105, 0.181)</w:t>
            </w:r>
          </w:p>
        </w:tc>
        <w:tc>
          <w:tcPr>
            <w:tcW w:w="2006" w:type="dxa"/>
            <w:tcBorders>
              <w:top w:val="nil"/>
              <w:left w:val="nil"/>
              <w:bottom w:val="nil"/>
              <w:right w:val="nil"/>
            </w:tcBorders>
            <w:shd w:val="clear" w:color="auto" w:fill="auto"/>
            <w:noWrap/>
            <w:vAlign w:val="bottom"/>
            <w:hideMark/>
          </w:tcPr>
          <w:p w14:paraId="22876352" w14:textId="77777777" w:rsidR="00C03FA1" w:rsidRPr="00A80562" w:rsidRDefault="00C03FA1" w:rsidP="00C03FA1">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bl>
    <w:p w14:paraId="66DCA58A" w14:textId="77777777" w:rsidR="00C03FA1" w:rsidRDefault="00C03FA1" w:rsidP="00682538"/>
    <w:p w14:paraId="108994DC" w14:textId="6F81EFE2" w:rsidR="00032C85" w:rsidRPr="00012A73" w:rsidRDefault="00032C85" w:rsidP="00682538">
      <w:pPr>
        <w:rPr>
          <w:i/>
        </w:rPr>
      </w:pPr>
      <w:r w:rsidRPr="00012A73">
        <w:t>All models estimated with Maximum Likelihood, except where all ARIMA terms are equal to 0 in which case models are estimated with OLS. All models cover the full weeks from March 1</w:t>
      </w:r>
      <w:r w:rsidRPr="00012A73">
        <w:rPr>
          <w:vertAlign w:val="superscript"/>
        </w:rPr>
        <w:t>st</w:t>
      </w:r>
      <w:r w:rsidRPr="00012A73">
        <w:t>, 2016 to July 4</w:t>
      </w:r>
      <w:r w:rsidRPr="00012A73">
        <w:rPr>
          <w:vertAlign w:val="superscript"/>
        </w:rPr>
        <w:t>th</w:t>
      </w:r>
      <w:r w:rsidRPr="00012A73">
        <w:t>, 2020 except for first admissions/referrals, which start from March 1</w:t>
      </w:r>
      <w:r w:rsidRPr="00012A73">
        <w:rPr>
          <w:vertAlign w:val="superscript"/>
        </w:rPr>
        <w:t>st</w:t>
      </w:r>
      <w:r w:rsidRPr="00012A73">
        <w:t>, 2018.</w:t>
      </w:r>
      <w:r w:rsidRPr="00012A73">
        <w:br/>
        <w:t>Significance levels: *</w:t>
      </w:r>
      <w:r w:rsidRPr="00012A73">
        <w:rPr>
          <w:i/>
        </w:rPr>
        <w:t xml:space="preserve">p&lt;0.1, **p&lt;0.05, </w:t>
      </w:r>
      <w:r w:rsidRPr="00012A73">
        <w:t xml:space="preserve"> ***</w:t>
      </w:r>
      <w:r w:rsidRPr="00012A73">
        <w:rPr>
          <w:i/>
        </w:rPr>
        <w:t>p&lt;0.01</w:t>
      </w:r>
    </w:p>
    <w:p w14:paraId="66D421F2" w14:textId="77777777" w:rsidR="004A79A8" w:rsidRDefault="004A79A8" w:rsidP="00682538">
      <w:pPr>
        <w:rPr>
          <w:rFonts w:asciiTheme="majorHAnsi" w:eastAsiaTheme="majorEastAsia" w:hAnsiTheme="majorHAnsi" w:cstheme="majorBidi"/>
          <w:color w:val="1F4D78" w:themeColor="accent1" w:themeShade="7F"/>
          <w:sz w:val="24"/>
          <w:szCs w:val="24"/>
        </w:rPr>
      </w:pPr>
      <w:r>
        <w:br w:type="page"/>
      </w:r>
    </w:p>
    <w:p w14:paraId="67014BF1" w14:textId="206B22AA" w:rsidR="0004760B" w:rsidRDefault="0004760B" w:rsidP="006C05EE">
      <w:pPr>
        <w:pStyle w:val="Heading3"/>
      </w:pPr>
      <w:r>
        <w:lastRenderedPageBreak/>
        <w:t xml:space="preserve">Appendix </w:t>
      </w:r>
      <w:r w:rsidR="00FC4639">
        <w:t>1</w:t>
      </w:r>
      <w:r>
        <w:t>.4 – Results for patients with a recorded diagnosis of psychosis</w:t>
      </w:r>
    </w:p>
    <w:tbl>
      <w:tblPr>
        <w:tblW w:w="15485" w:type="dxa"/>
        <w:tblLayout w:type="fixed"/>
        <w:tblLook w:val="04A0" w:firstRow="1" w:lastRow="0" w:firstColumn="1" w:lastColumn="0" w:noHBand="0" w:noVBand="1"/>
      </w:tblPr>
      <w:tblGrid>
        <w:gridCol w:w="237"/>
        <w:gridCol w:w="2896"/>
        <w:gridCol w:w="2058"/>
        <w:gridCol w:w="2059"/>
        <w:gridCol w:w="2059"/>
        <w:gridCol w:w="2058"/>
        <w:gridCol w:w="2059"/>
        <w:gridCol w:w="2059"/>
      </w:tblGrid>
      <w:tr w:rsidR="00A80562" w:rsidRPr="00A80562" w14:paraId="03AF604E" w14:textId="77777777" w:rsidTr="00A80562">
        <w:trPr>
          <w:trHeight w:val="251"/>
        </w:trPr>
        <w:tc>
          <w:tcPr>
            <w:tcW w:w="3133" w:type="dxa"/>
            <w:gridSpan w:val="2"/>
            <w:tcBorders>
              <w:top w:val="nil"/>
              <w:left w:val="nil"/>
              <w:bottom w:val="single" w:sz="8" w:space="0" w:color="auto"/>
              <w:right w:val="single" w:sz="4" w:space="0" w:color="000000"/>
            </w:tcBorders>
            <w:shd w:val="clear" w:color="auto" w:fill="auto"/>
            <w:noWrap/>
            <w:vAlign w:val="bottom"/>
            <w:hideMark/>
          </w:tcPr>
          <w:p w14:paraId="37FAA69B" w14:textId="77777777" w:rsidR="00A80562" w:rsidRPr="00A80562" w:rsidRDefault="00A80562">
            <w:pPr>
              <w:jc w:val="left"/>
              <w:rPr>
                <w:rFonts w:eastAsia="Times New Roman"/>
                <w:b/>
                <w:bCs/>
                <w:sz w:val="16"/>
                <w:szCs w:val="16"/>
                <w:lang w:eastAsia="en-GB"/>
              </w:rPr>
            </w:pPr>
            <w:r w:rsidRPr="00A80562">
              <w:rPr>
                <w:rFonts w:eastAsia="Times New Roman"/>
                <w:b/>
                <w:bCs/>
                <w:sz w:val="16"/>
                <w:szCs w:val="16"/>
                <w:lang w:eastAsia="en-GB"/>
              </w:rPr>
              <w:t>Outcome</w:t>
            </w:r>
          </w:p>
        </w:tc>
        <w:tc>
          <w:tcPr>
            <w:tcW w:w="2058" w:type="dxa"/>
            <w:tcBorders>
              <w:top w:val="nil"/>
              <w:left w:val="nil"/>
              <w:bottom w:val="single" w:sz="8" w:space="0" w:color="auto"/>
              <w:right w:val="nil"/>
            </w:tcBorders>
            <w:shd w:val="clear" w:color="auto" w:fill="auto"/>
            <w:noWrap/>
            <w:vAlign w:val="bottom"/>
            <w:hideMark/>
          </w:tcPr>
          <w:p w14:paraId="25D653C3" w14:textId="77777777" w:rsidR="00A80562" w:rsidRPr="00A80562" w:rsidRDefault="00A80562" w:rsidP="00A80562">
            <w:pPr>
              <w:spacing w:after="0" w:line="240" w:lineRule="auto"/>
              <w:jc w:val="left"/>
              <w:rPr>
                <w:rFonts w:eastAsia="Times New Roman"/>
                <w:b/>
                <w:bCs/>
                <w:sz w:val="16"/>
                <w:szCs w:val="16"/>
                <w:lang w:eastAsia="en-GB"/>
              </w:rPr>
            </w:pPr>
            <w:r w:rsidRPr="00A80562">
              <w:rPr>
                <w:rFonts w:eastAsia="Times New Roman"/>
                <w:b/>
                <w:bCs/>
                <w:sz w:val="16"/>
                <w:szCs w:val="16"/>
                <w:lang w:eastAsia="en-GB"/>
              </w:rPr>
              <w:t>Constant</w:t>
            </w:r>
          </w:p>
        </w:tc>
        <w:tc>
          <w:tcPr>
            <w:tcW w:w="2059" w:type="dxa"/>
            <w:tcBorders>
              <w:top w:val="nil"/>
              <w:left w:val="nil"/>
              <w:bottom w:val="single" w:sz="8" w:space="0" w:color="auto"/>
              <w:right w:val="nil"/>
            </w:tcBorders>
            <w:shd w:val="clear" w:color="auto" w:fill="auto"/>
            <w:noWrap/>
            <w:vAlign w:val="bottom"/>
            <w:hideMark/>
          </w:tcPr>
          <w:p w14:paraId="2A58364F" w14:textId="77777777" w:rsidR="00A80562" w:rsidRPr="00A80562" w:rsidRDefault="00A80562" w:rsidP="00A80562">
            <w:pPr>
              <w:spacing w:after="0" w:line="240" w:lineRule="auto"/>
              <w:jc w:val="left"/>
              <w:rPr>
                <w:rFonts w:eastAsia="Times New Roman"/>
                <w:b/>
                <w:bCs/>
                <w:sz w:val="16"/>
                <w:szCs w:val="16"/>
                <w:lang w:eastAsia="en-GB"/>
              </w:rPr>
            </w:pPr>
            <w:r w:rsidRPr="00A80562">
              <w:rPr>
                <w:rFonts w:eastAsia="Times New Roman"/>
                <w:b/>
                <w:bCs/>
                <w:sz w:val="16"/>
                <w:szCs w:val="16"/>
                <w:lang w:eastAsia="en-GB"/>
              </w:rPr>
              <w:t>Weekly slope</w:t>
            </w:r>
          </w:p>
        </w:tc>
        <w:tc>
          <w:tcPr>
            <w:tcW w:w="2059" w:type="dxa"/>
            <w:tcBorders>
              <w:top w:val="nil"/>
              <w:left w:val="nil"/>
              <w:bottom w:val="single" w:sz="8" w:space="0" w:color="auto"/>
              <w:right w:val="nil"/>
            </w:tcBorders>
            <w:shd w:val="clear" w:color="auto" w:fill="auto"/>
            <w:noWrap/>
            <w:vAlign w:val="bottom"/>
            <w:hideMark/>
          </w:tcPr>
          <w:p w14:paraId="15283FB5" w14:textId="77777777" w:rsidR="00A80562" w:rsidRPr="00A80562" w:rsidRDefault="00A80562" w:rsidP="00A80562">
            <w:pPr>
              <w:spacing w:after="0" w:line="240" w:lineRule="auto"/>
              <w:jc w:val="left"/>
              <w:rPr>
                <w:rFonts w:eastAsia="Times New Roman"/>
                <w:b/>
                <w:bCs/>
                <w:sz w:val="16"/>
                <w:szCs w:val="16"/>
                <w:lang w:eastAsia="en-GB"/>
              </w:rPr>
            </w:pPr>
            <w:r w:rsidRPr="00A80562">
              <w:rPr>
                <w:rFonts w:eastAsia="Times New Roman"/>
                <w:b/>
                <w:bCs/>
                <w:sz w:val="16"/>
                <w:szCs w:val="16"/>
                <w:lang w:eastAsia="en-GB"/>
              </w:rPr>
              <w:t>Step change</w:t>
            </w:r>
          </w:p>
        </w:tc>
        <w:tc>
          <w:tcPr>
            <w:tcW w:w="2058" w:type="dxa"/>
            <w:tcBorders>
              <w:top w:val="nil"/>
              <w:left w:val="nil"/>
              <w:bottom w:val="single" w:sz="8" w:space="0" w:color="auto"/>
              <w:right w:val="nil"/>
            </w:tcBorders>
            <w:shd w:val="clear" w:color="auto" w:fill="auto"/>
            <w:noWrap/>
            <w:vAlign w:val="bottom"/>
            <w:hideMark/>
          </w:tcPr>
          <w:p w14:paraId="4420AF69" w14:textId="77777777" w:rsidR="00A80562" w:rsidRPr="00A80562" w:rsidRDefault="00A80562" w:rsidP="00A80562">
            <w:pPr>
              <w:spacing w:after="0" w:line="240" w:lineRule="auto"/>
              <w:jc w:val="left"/>
              <w:rPr>
                <w:rFonts w:eastAsia="Times New Roman"/>
                <w:b/>
                <w:bCs/>
                <w:sz w:val="16"/>
                <w:szCs w:val="16"/>
                <w:lang w:eastAsia="en-GB"/>
              </w:rPr>
            </w:pPr>
            <w:r w:rsidRPr="00A80562">
              <w:rPr>
                <w:rFonts w:eastAsia="Times New Roman"/>
                <w:b/>
                <w:bCs/>
                <w:sz w:val="16"/>
                <w:szCs w:val="16"/>
                <w:lang w:eastAsia="en-GB"/>
              </w:rPr>
              <w:t>Slope change</w:t>
            </w:r>
          </w:p>
        </w:tc>
        <w:tc>
          <w:tcPr>
            <w:tcW w:w="2059" w:type="dxa"/>
            <w:tcBorders>
              <w:top w:val="nil"/>
              <w:left w:val="nil"/>
              <w:bottom w:val="single" w:sz="8" w:space="0" w:color="auto"/>
              <w:right w:val="nil"/>
            </w:tcBorders>
            <w:shd w:val="clear" w:color="auto" w:fill="auto"/>
            <w:noWrap/>
            <w:vAlign w:val="bottom"/>
            <w:hideMark/>
          </w:tcPr>
          <w:p w14:paraId="34F632E0" w14:textId="77777777" w:rsidR="00A80562" w:rsidRPr="00A80562" w:rsidRDefault="00A80562" w:rsidP="00A80562">
            <w:pPr>
              <w:spacing w:after="0" w:line="240" w:lineRule="auto"/>
              <w:jc w:val="left"/>
              <w:rPr>
                <w:rFonts w:eastAsia="Times New Roman"/>
                <w:b/>
                <w:bCs/>
                <w:sz w:val="16"/>
                <w:szCs w:val="16"/>
                <w:lang w:eastAsia="en-GB"/>
              </w:rPr>
            </w:pPr>
            <w:r w:rsidRPr="00A80562">
              <w:rPr>
                <w:rFonts w:eastAsia="Times New Roman"/>
                <w:b/>
                <w:bCs/>
                <w:sz w:val="16"/>
                <w:szCs w:val="16"/>
                <w:lang w:eastAsia="en-GB"/>
              </w:rPr>
              <w:t>Combined (15 weeks)</w:t>
            </w:r>
          </w:p>
        </w:tc>
        <w:tc>
          <w:tcPr>
            <w:tcW w:w="2059" w:type="dxa"/>
            <w:tcBorders>
              <w:top w:val="nil"/>
              <w:left w:val="nil"/>
              <w:bottom w:val="single" w:sz="8" w:space="0" w:color="auto"/>
              <w:right w:val="nil"/>
            </w:tcBorders>
            <w:shd w:val="clear" w:color="auto" w:fill="auto"/>
            <w:noWrap/>
            <w:vAlign w:val="bottom"/>
            <w:hideMark/>
          </w:tcPr>
          <w:p w14:paraId="640A8C25" w14:textId="77777777" w:rsidR="00A80562" w:rsidRPr="00A80562" w:rsidRDefault="00A80562" w:rsidP="00A80562">
            <w:pPr>
              <w:spacing w:after="0" w:line="240" w:lineRule="auto"/>
              <w:jc w:val="left"/>
              <w:rPr>
                <w:rFonts w:eastAsia="Times New Roman"/>
                <w:b/>
                <w:bCs/>
                <w:sz w:val="16"/>
                <w:szCs w:val="16"/>
                <w:lang w:eastAsia="en-GB"/>
              </w:rPr>
            </w:pPr>
            <w:r w:rsidRPr="00A80562">
              <w:rPr>
                <w:rFonts w:eastAsia="Times New Roman"/>
                <w:b/>
                <w:bCs/>
                <w:sz w:val="16"/>
                <w:szCs w:val="16"/>
                <w:lang w:eastAsia="en-GB"/>
              </w:rPr>
              <w:t>ARIMA terms</w:t>
            </w:r>
          </w:p>
        </w:tc>
      </w:tr>
      <w:tr w:rsidR="00A80562" w:rsidRPr="00A80562" w14:paraId="2547DFCE" w14:textId="77777777" w:rsidTr="00A80562">
        <w:trPr>
          <w:trHeight w:val="239"/>
        </w:trPr>
        <w:tc>
          <w:tcPr>
            <w:tcW w:w="3133" w:type="dxa"/>
            <w:gridSpan w:val="2"/>
            <w:tcBorders>
              <w:top w:val="single" w:sz="8" w:space="0" w:color="auto"/>
              <w:left w:val="nil"/>
              <w:bottom w:val="single" w:sz="4" w:space="0" w:color="auto"/>
              <w:right w:val="nil"/>
            </w:tcBorders>
            <w:shd w:val="clear" w:color="auto" w:fill="auto"/>
            <w:noWrap/>
            <w:vAlign w:val="bottom"/>
            <w:hideMark/>
          </w:tcPr>
          <w:p w14:paraId="7A0E434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Outpatient referrals:</w:t>
            </w:r>
          </w:p>
        </w:tc>
        <w:tc>
          <w:tcPr>
            <w:tcW w:w="2058" w:type="dxa"/>
            <w:tcBorders>
              <w:top w:val="nil"/>
              <w:left w:val="single" w:sz="4" w:space="0" w:color="auto"/>
              <w:bottom w:val="single" w:sz="4" w:space="0" w:color="auto"/>
              <w:right w:val="nil"/>
            </w:tcBorders>
            <w:shd w:val="clear" w:color="auto" w:fill="auto"/>
            <w:noWrap/>
            <w:vAlign w:val="bottom"/>
            <w:hideMark/>
          </w:tcPr>
          <w:p w14:paraId="1038352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59" w:type="dxa"/>
            <w:tcBorders>
              <w:top w:val="nil"/>
              <w:left w:val="nil"/>
              <w:bottom w:val="single" w:sz="4" w:space="0" w:color="auto"/>
              <w:right w:val="nil"/>
            </w:tcBorders>
            <w:shd w:val="clear" w:color="auto" w:fill="auto"/>
            <w:noWrap/>
            <w:vAlign w:val="bottom"/>
            <w:hideMark/>
          </w:tcPr>
          <w:p w14:paraId="575B760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59" w:type="dxa"/>
            <w:tcBorders>
              <w:top w:val="nil"/>
              <w:left w:val="nil"/>
              <w:bottom w:val="single" w:sz="4" w:space="0" w:color="auto"/>
              <w:right w:val="nil"/>
            </w:tcBorders>
            <w:shd w:val="clear" w:color="auto" w:fill="auto"/>
            <w:noWrap/>
            <w:vAlign w:val="bottom"/>
            <w:hideMark/>
          </w:tcPr>
          <w:p w14:paraId="6ACBBD1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58" w:type="dxa"/>
            <w:tcBorders>
              <w:top w:val="nil"/>
              <w:left w:val="nil"/>
              <w:bottom w:val="single" w:sz="4" w:space="0" w:color="auto"/>
              <w:right w:val="nil"/>
            </w:tcBorders>
            <w:shd w:val="clear" w:color="auto" w:fill="auto"/>
            <w:noWrap/>
            <w:vAlign w:val="bottom"/>
            <w:hideMark/>
          </w:tcPr>
          <w:p w14:paraId="2522E1D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Coefficient (95% CI)</w:t>
            </w:r>
          </w:p>
        </w:tc>
        <w:tc>
          <w:tcPr>
            <w:tcW w:w="2059" w:type="dxa"/>
            <w:tcBorders>
              <w:top w:val="nil"/>
              <w:left w:val="nil"/>
              <w:bottom w:val="single" w:sz="4" w:space="0" w:color="auto"/>
              <w:right w:val="nil"/>
            </w:tcBorders>
            <w:shd w:val="clear" w:color="auto" w:fill="auto"/>
            <w:noWrap/>
            <w:vAlign w:val="bottom"/>
            <w:hideMark/>
          </w:tcPr>
          <w:p w14:paraId="463DF88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Linear combination after 15 weeks (95% CI)</w:t>
            </w:r>
          </w:p>
        </w:tc>
        <w:tc>
          <w:tcPr>
            <w:tcW w:w="2059" w:type="dxa"/>
            <w:tcBorders>
              <w:top w:val="nil"/>
              <w:left w:val="nil"/>
              <w:bottom w:val="single" w:sz="4" w:space="0" w:color="auto"/>
              <w:right w:val="nil"/>
            </w:tcBorders>
            <w:shd w:val="clear" w:color="auto" w:fill="auto"/>
            <w:noWrap/>
            <w:vAlign w:val="bottom"/>
            <w:hideMark/>
          </w:tcPr>
          <w:p w14:paraId="52731DB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(AR, I, MA)</w:t>
            </w:r>
          </w:p>
        </w:tc>
      </w:tr>
      <w:tr w:rsidR="00A80562" w:rsidRPr="00A80562" w14:paraId="7E30F84D" w14:textId="77777777" w:rsidTr="00A80562">
        <w:trPr>
          <w:trHeight w:val="239"/>
        </w:trPr>
        <w:tc>
          <w:tcPr>
            <w:tcW w:w="237" w:type="dxa"/>
            <w:tcBorders>
              <w:top w:val="nil"/>
              <w:left w:val="nil"/>
              <w:bottom w:val="nil"/>
              <w:right w:val="nil"/>
            </w:tcBorders>
            <w:shd w:val="clear" w:color="auto" w:fill="auto"/>
            <w:noWrap/>
            <w:vAlign w:val="bottom"/>
            <w:hideMark/>
          </w:tcPr>
          <w:p w14:paraId="5161B202"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000000" w:fill="F2F2F2"/>
            <w:noWrap/>
            <w:vAlign w:val="bottom"/>
            <w:hideMark/>
          </w:tcPr>
          <w:p w14:paraId="2BF6DE34"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Total referrals</w:t>
            </w:r>
          </w:p>
        </w:tc>
        <w:tc>
          <w:tcPr>
            <w:tcW w:w="2058" w:type="dxa"/>
            <w:tcBorders>
              <w:top w:val="nil"/>
              <w:left w:val="single" w:sz="4" w:space="0" w:color="auto"/>
              <w:bottom w:val="nil"/>
              <w:right w:val="nil"/>
            </w:tcBorders>
            <w:shd w:val="clear" w:color="000000" w:fill="F2F2F2"/>
            <w:noWrap/>
            <w:vAlign w:val="bottom"/>
            <w:hideMark/>
          </w:tcPr>
          <w:p w14:paraId="38B744D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51.9*** (49.4, 54.5)</w:t>
            </w:r>
          </w:p>
        </w:tc>
        <w:tc>
          <w:tcPr>
            <w:tcW w:w="2059" w:type="dxa"/>
            <w:tcBorders>
              <w:top w:val="nil"/>
              <w:left w:val="nil"/>
              <w:bottom w:val="nil"/>
              <w:right w:val="nil"/>
            </w:tcBorders>
            <w:shd w:val="clear" w:color="000000" w:fill="F2F2F2"/>
            <w:noWrap/>
            <w:vAlign w:val="bottom"/>
            <w:hideMark/>
          </w:tcPr>
          <w:p w14:paraId="69D7A3D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(-0.1, 0)</w:t>
            </w:r>
          </w:p>
        </w:tc>
        <w:tc>
          <w:tcPr>
            <w:tcW w:w="2059" w:type="dxa"/>
            <w:tcBorders>
              <w:top w:val="nil"/>
              <w:left w:val="nil"/>
              <w:bottom w:val="nil"/>
              <w:right w:val="nil"/>
            </w:tcBorders>
            <w:shd w:val="clear" w:color="000000" w:fill="F2F2F2"/>
            <w:noWrap/>
            <w:vAlign w:val="bottom"/>
            <w:hideMark/>
          </w:tcPr>
          <w:p w14:paraId="10B49B5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-10.8 (-25, 3.4)</w:t>
            </w:r>
          </w:p>
        </w:tc>
        <w:tc>
          <w:tcPr>
            <w:tcW w:w="2058" w:type="dxa"/>
            <w:tcBorders>
              <w:top w:val="nil"/>
              <w:left w:val="nil"/>
              <w:bottom w:val="nil"/>
              <w:right w:val="nil"/>
            </w:tcBorders>
            <w:shd w:val="clear" w:color="000000" w:fill="F2F2F2"/>
            <w:noWrap/>
            <w:vAlign w:val="bottom"/>
            <w:hideMark/>
          </w:tcPr>
          <w:p w14:paraId="7BB8093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 (-0.9, 2.8)</w:t>
            </w:r>
          </w:p>
        </w:tc>
        <w:tc>
          <w:tcPr>
            <w:tcW w:w="2059" w:type="dxa"/>
            <w:tcBorders>
              <w:top w:val="nil"/>
              <w:left w:val="nil"/>
              <w:bottom w:val="nil"/>
              <w:right w:val="nil"/>
            </w:tcBorders>
            <w:shd w:val="clear" w:color="000000" w:fill="F2F2F2"/>
            <w:noWrap/>
            <w:vAlign w:val="bottom"/>
            <w:hideMark/>
          </w:tcPr>
          <w:p w14:paraId="5E47183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3.6 (-14.4, 21.6)</w:t>
            </w:r>
          </w:p>
        </w:tc>
        <w:tc>
          <w:tcPr>
            <w:tcW w:w="2059" w:type="dxa"/>
            <w:tcBorders>
              <w:top w:val="nil"/>
              <w:left w:val="nil"/>
              <w:bottom w:val="nil"/>
              <w:right w:val="nil"/>
            </w:tcBorders>
            <w:shd w:val="clear" w:color="000000" w:fill="F2F2F2"/>
            <w:noWrap/>
            <w:vAlign w:val="bottom"/>
            <w:hideMark/>
          </w:tcPr>
          <w:p w14:paraId="6878D28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A80562" w:rsidRPr="00A80562" w14:paraId="3B05AF98" w14:textId="77777777" w:rsidTr="00A80562">
        <w:trPr>
          <w:trHeight w:val="239"/>
        </w:trPr>
        <w:tc>
          <w:tcPr>
            <w:tcW w:w="237" w:type="dxa"/>
            <w:tcBorders>
              <w:top w:val="nil"/>
              <w:left w:val="nil"/>
              <w:bottom w:val="nil"/>
              <w:right w:val="nil"/>
            </w:tcBorders>
            <w:shd w:val="clear" w:color="auto" w:fill="auto"/>
            <w:noWrap/>
            <w:vAlign w:val="bottom"/>
            <w:hideMark/>
          </w:tcPr>
          <w:p w14:paraId="37B2A6D2"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5BB6A213"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days to contact after referral</w:t>
            </w:r>
          </w:p>
        </w:tc>
        <w:tc>
          <w:tcPr>
            <w:tcW w:w="2058" w:type="dxa"/>
            <w:tcBorders>
              <w:top w:val="nil"/>
              <w:left w:val="single" w:sz="4" w:space="0" w:color="auto"/>
              <w:bottom w:val="nil"/>
              <w:right w:val="nil"/>
            </w:tcBorders>
            <w:shd w:val="clear" w:color="auto" w:fill="auto"/>
            <w:noWrap/>
            <w:vAlign w:val="bottom"/>
            <w:hideMark/>
          </w:tcPr>
          <w:p w14:paraId="0874A04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307.53*** (299.74, 315.31)</w:t>
            </w:r>
          </w:p>
        </w:tc>
        <w:tc>
          <w:tcPr>
            <w:tcW w:w="2059" w:type="dxa"/>
            <w:tcBorders>
              <w:top w:val="nil"/>
              <w:left w:val="nil"/>
              <w:bottom w:val="nil"/>
              <w:right w:val="nil"/>
            </w:tcBorders>
            <w:shd w:val="clear" w:color="auto" w:fill="auto"/>
            <w:noWrap/>
            <w:vAlign w:val="bottom"/>
            <w:hideMark/>
          </w:tcPr>
          <w:p w14:paraId="7D3664F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-1.01*** (-1.07, -0.95)</w:t>
            </w:r>
          </w:p>
        </w:tc>
        <w:tc>
          <w:tcPr>
            <w:tcW w:w="2059" w:type="dxa"/>
            <w:tcBorders>
              <w:top w:val="nil"/>
              <w:left w:val="nil"/>
              <w:bottom w:val="nil"/>
              <w:right w:val="nil"/>
            </w:tcBorders>
            <w:shd w:val="clear" w:color="auto" w:fill="auto"/>
            <w:noWrap/>
            <w:vAlign w:val="bottom"/>
            <w:hideMark/>
          </w:tcPr>
          <w:p w14:paraId="2ACB498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-16.91*** (-25.54, -8.28)</w:t>
            </w:r>
          </w:p>
        </w:tc>
        <w:tc>
          <w:tcPr>
            <w:tcW w:w="2058" w:type="dxa"/>
            <w:tcBorders>
              <w:top w:val="nil"/>
              <w:left w:val="nil"/>
              <w:bottom w:val="nil"/>
              <w:right w:val="nil"/>
            </w:tcBorders>
            <w:shd w:val="clear" w:color="auto" w:fill="auto"/>
            <w:noWrap/>
            <w:vAlign w:val="bottom"/>
            <w:hideMark/>
          </w:tcPr>
          <w:p w14:paraId="53D0306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-2.35*** (-3.49, -1.21)</w:t>
            </w:r>
          </w:p>
        </w:tc>
        <w:tc>
          <w:tcPr>
            <w:tcW w:w="2059" w:type="dxa"/>
            <w:tcBorders>
              <w:top w:val="nil"/>
              <w:left w:val="nil"/>
              <w:bottom w:val="nil"/>
              <w:right w:val="nil"/>
            </w:tcBorders>
            <w:shd w:val="clear" w:color="auto" w:fill="auto"/>
            <w:noWrap/>
            <w:vAlign w:val="bottom"/>
            <w:hideMark/>
          </w:tcPr>
          <w:p w14:paraId="74DCFAD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-52.1*** (-68.5, -35.7)</w:t>
            </w:r>
          </w:p>
        </w:tc>
        <w:tc>
          <w:tcPr>
            <w:tcW w:w="2059" w:type="dxa"/>
            <w:tcBorders>
              <w:top w:val="nil"/>
              <w:left w:val="nil"/>
              <w:bottom w:val="nil"/>
              <w:right w:val="nil"/>
            </w:tcBorders>
            <w:shd w:val="clear" w:color="auto" w:fill="auto"/>
            <w:noWrap/>
            <w:vAlign w:val="bottom"/>
            <w:hideMark/>
          </w:tcPr>
          <w:p w14:paraId="5C90D34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0323F0C3" w14:textId="77777777" w:rsidTr="00A80562">
        <w:trPr>
          <w:trHeight w:val="239"/>
        </w:trPr>
        <w:tc>
          <w:tcPr>
            <w:tcW w:w="237" w:type="dxa"/>
            <w:tcBorders>
              <w:top w:val="nil"/>
              <w:left w:val="nil"/>
              <w:bottom w:val="nil"/>
              <w:right w:val="nil"/>
            </w:tcBorders>
            <w:shd w:val="clear" w:color="auto" w:fill="auto"/>
            <w:noWrap/>
            <w:vAlign w:val="bottom"/>
            <w:hideMark/>
          </w:tcPr>
          <w:p w14:paraId="642E3687"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000000" w:fill="F2F2F2"/>
            <w:noWrap/>
            <w:vAlign w:val="bottom"/>
            <w:hideMark/>
          </w:tcPr>
          <w:p w14:paraId="5BEED0DA"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 referrals with contact within 30 days</w:t>
            </w:r>
          </w:p>
        </w:tc>
        <w:tc>
          <w:tcPr>
            <w:tcW w:w="2058" w:type="dxa"/>
            <w:tcBorders>
              <w:top w:val="nil"/>
              <w:left w:val="single" w:sz="4" w:space="0" w:color="auto"/>
              <w:bottom w:val="nil"/>
              <w:right w:val="nil"/>
            </w:tcBorders>
            <w:shd w:val="clear" w:color="000000" w:fill="F2F2F2"/>
            <w:noWrap/>
            <w:vAlign w:val="bottom"/>
            <w:hideMark/>
          </w:tcPr>
          <w:p w14:paraId="73CF260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64.6*** (63.3, 65.9)</w:t>
            </w:r>
          </w:p>
        </w:tc>
        <w:tc>
          <w:tcPr>
            <w:tcW w:w="2059" w:type="dxa"/>
            <w:tcBorders>
              <w:top w:val="nil"/>
              <w:left w:val="nil"/>
              <w:bottom w:val="nil"/>
              <w:right w:val="nil"/>
            </w:tcBorders>
            <w:shd w:val="clear" w:color="000000" w:fill="F2F2F2"/>
            <w:noWrap/>
            <w:vAlign w:val="bottom"/>
            <w:hideMark/>
          </w:tcPr>
          <w:p w14:paraId="6CF34E9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(-0.1, 0)</w:t>
            </w:r>
          </w:p>
        </w:tc>
        <w:tc>
          <w:tcPr>
            <w:tcW w:w="2059" w:type="dxa"/>
            <w:tcBorders>
              <w:top w:val="nil"/>
              <w:left w:val="nil"/>
              <w:bottom w:val="nil"/>
              <w:right w:val="nil"/>
            </w:tcBorders>
            <w:shd w:val="clear" w:color="000000" w:fill="F2F2F2"/>
            <w:noWrap/>
            <w:vAlign w:val="bottom"/>
            <w:hideMark/>
          </w:tcPr>
          <w:p w14:paraId="4D1A9B3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-7.9*** (-9.3, -6.4)</w:t>
            </w:r>
          </w:p>
        </w:tc>
        <w:tc>
          <w:tcPr>
            <w:tcW w:w="2058" w:type="dxa"/>
            <w:tcBorders>
              <w:top w:val="nil"/>
              <w:left w:val="nil"/>
              <w:bottom w:val="nil"/>
              <w:right w:val="nil"/>
            </w:tcBorders>
            <w:shd w:val="clear" w:color="000000" w:fill="F2F2F2"/>
            <w:noWrap/>
            <w:vAlign w:val="bottom"/>
            <w:hideMark/>
          </w:tcPr>
          <w:p w14:paraId="10C0AAC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1.5*** (1.3, 1.6)</w:t>
            </w:r>
          </w:p>
        </w:tc>
        <w:tc>
          <w:tcPr>
            <w:tcW w:w="2059" w:type="dxa"/>
            <w:tcBorders>
              <w:top w:val="nil"/>
              <w:left w:val="nil"/>
              <w:bottom w:val="nil"/>
              <w:right w:val="nil"/>
            </w:tcBorders>
            <w:shd w:val="clear" w:color="000000" w:fill="F2F2F2"/>
            <w:noWrap/>
            <w:vAlign w:val="bottom"/>
            <w:hideMark/>
          </w:tcPr>
          <w:p w14:paraId="4A635C9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14*** (11.3, 16.7)</w:t>
            </w:r>
          </w:p>
        </w:tc>
        <w:tc>
          <w:tcPr>
            <w:tcW w:w="2059" w:type="dxa"/>
            <w:tcBorders>
              <w:top w:val="nil"/>
              <w:left w:val="nil"/>
              <w:bottom w:val="nil"/>
              <w:right w:val="nil"/>
            </w:tcBorders>
            <w:shd w:val="clear" w:color="000000" w:fill="F2F2F2"/>
            <w:noWrap/>
            <w:vAlign w:val="bottom"/>
            <w:hideMark/>
          </w:tcPr>
          <w:p w14:paraId="60E3183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2EA16023" w14:textId="77777777" w:rsidTr="00A80562">
        <w:trPr>
          <w:trHeight w:val="239"/>
        </w:trPr>
        <w:tc>
          <w:tcPr>
            <w:tcW w:w="3133" w:type="dxa"/>
            <w:gridSpan w:val="2"/>
            <w:tcBorders>
              <w:top w:val="nil"/>
              <w:left w:val="nil"/>
              <w:bottom w:val="single" w:sz="4" w:space="0" w:color="auto"/>
              <w:right w:val="nil"/>
            </w:tcBorders>
            <w:shd w:val="clear" w:color="auto" w:fill="auto"/>
            <w:noWrap/>
            <w:vAlign w:val="bottom"/>
            <w:hideMark/>
          </w:tcPr>
          <w:p w14:paraId="14D81DF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Outpatient contacts:</w:t>
            </w:r>
          </w:p>
        </w:tc>
        <w:tc>
          <w:tcPr>
            <w:tcW w:w="2058" w:type="dxa"/>
            <w:tcBorders>
              <w:top w:val="nil"/>
              <w:left w:val="single" w:sz="4" w:space="0" w:color="auto"/>
              <w:bottom w:val="single" w:sz="4" w:space="0" w:color="auto"/>
              <w:right w:val="nil"/>
            </w:tcBorders>
            <w:shd w:val="clear" w:color="auto" w:fill="auto"/>
            <w:noWrap/>
            <w:vAlign w:val="bottom"/>
            <w:hideMark/>
          </w:tcPr>
          <w:p w14:paraId="42025E4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6FE6C61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03496DF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8" w:type="dxa"/>
            <w:tcBorders>
              <w:top w:val="nil"/>
              <w:left w:val="nil"/>
              <w:bottom w:val="single" w:sz="4" w:space="0" w:color="auto"/>
              <w:right w:val="nil"/>
            </w:tcBorders>
            <w:shd w:val="clear" w:color="auto" w:fill="auto"/>
            <w:noWrap/>
            <w:vAlign w:val="bottom"/>
            <w:hideMark/>
          </w:tcPr>
          <w:p w14:paraId="330B827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5B98760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02F5E6B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A80562" w:rsidRPr="00A80562" w14:paraId="32394271" w14:textId="77777777" w:rsidTr="00A80562">
        <w:trPr>
          <w:trHeight w:val="239"/>
        </w:trPr>
        <w:tc>
          <w:tcPr>
            <w:tcW w:w="237" w:type="dxa"/>
            <w:tcBorders>
              <w:top w:val="nil"/>
              <w:left w:val="nil"/>
              <w:bottom w:val="nil"/>
              <w:right w:val="nil"/>
            </w:tcBorders>
            <w:shd w:val="clear" w:color="auto" w:fill="auto"/>
            <w:noWrap/>
            <w:vAlign w:val="bottom"/>
            <w:hideMark/>
          </w:tcPr>
          <w:p w14:paraId="7FF1EE23"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000000" w:fill="F2F2F2"/>
            <w:noWrap/>
            <w:vAlign w:val="bottom"/>
            <w:hideMark/>
          </w:tcPr>
          <w:p w14:paraId="7F49BA3C"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Total contacts</w:t>
            </w:r>
          </w:p>
        </w:tc>
        <w:tc>
          <w:tcPr>
            <w:tcW w:w="2058" w:type="dxa"/>
            <w:tcBorders>
              <w:top w:val="nil"/>
              <w:left w:val="single" w:sz="4" w:space="0" w:color="auto"/>
              <w:bottom w:val="nil"/>
              <w:right w:val="nil"/>
            </w:tcBorders>
            <w:shd w:val="clear" w:color="000000" w:fill="F2F2F2"/>
            <w:noWrap/>
            <w:vAlign w:val="bottom"/>
            <w:hideMark/>
          </w:tcPr>
          <w:p w14:paraId="4A7A840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740.4*** (712, 768.8)</w:t>
            </w:r>
          </w:p>
        </w:tc>
        <w:tc>
          <w:tcPr>
            <w:tcW w:w="2059" w:type="dxa"/>
            <w:tcBorders>
              <w:top w:val="nil"/>
              <w:left w:val="nil"/>
              <w:bottom w:val="nil"/>
              <w:right w:val="nil"/>
            </w:tcBorders>
            <w:shd w:val="clear" w:color="000000" w:fill="F2F2F2"/>
            <w:noWrap/>
            <w:vAlign w:val="bottom"/>
            <w:hideMark/>
          </w:tcPr>
          <w:p w14:paraId="5927367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-0.2 (-0.4, 0)</w:t>
            </w:r>
          </w:p>
        </w:tc>
        <w:tc>
          <w:tcPr>
            <w:tcW w:w="2059" w:type="dxa"/>
            <w:tcBorders>
              <w:top w:val="nil"/>
              <w:left w:val="nil"/>
              <w:bottom w:val="nil"/>
              <w:right w:val="nil"/>
            </w:tcBorders>
            <w:shd w:val="clear" w:color="000000" w:fill="F2F2F2"/>
            <w:noWrap/>
            <w:vAlign w:val="bottom"/>
            <w:hideMark/>
          </w:tcPr>
          <w:p w14:paraId="50604E3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48.2 (-99.9, 196.3)</w:t>
            </w:r>
          </w:p>
        </w:tc>
        <w:tc>
          <w:tcPr>
            <w:tcW w:w="2058" w:type="dxa"/>
            <w:tcBorders>
              <w:top w:val="nil"/>
              <w:left w:val="nil"/>
              <w:bottom w:val="nil"/>
              <w:right w:val="nil"/>
            </w:tcBorders>
            <w:shd w:val="clear" w:color="000000" w:fill="F2F2F2"/>
            <w:noWrap/>
            <w:vAlign w:val="bottom"/>
            <w:hideMark/>
          </w:tcPr>
          <w:p w14:paraId="19A6550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26** (10.5, 41.5)</w:t>
            </w:r>
          </w:p>
        </w:tc>
        <w:tc>
          <w:tcPr>
            <w:tcW w:w="2059" w:type="dxa"/>
            <w:tcBorders>
              <w:top w:val="nil"/>
              <w:left w:val="nil"/>
              <w:bottom w:val="nil"/>
              <w:right w:val="nil"/>
            </w:tcBorders>
            <w:shd w:val="clear" w:color="000000" w:fill="F2F2F2"/>
            <w:noWrap/>
            <w:vAlign w:val="bottom"/>
            <w:hideMark/>
          </w:tcPr>
          <w:p w14:paraId="1D1993D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438.2*** (314.2, 562.2)</w:t>
            </w:r>
          </w:p>
        </w:tc>
        <w:tc>
          <w:tcPr>
            <w:tcW w:w="2059" w:type="dxa"/>
            <w:tcBorders>
              <w:top w:val="nil"/>
              <w:left w:val="nil"/>
              <w:bottom w:val="nil"/>
              <w:right w:val="nil"/>
            </w:tcBorders>
            <w:shd w:val="clear" w:color="000000" w:fill="F2F2F2"/>
            <w:noWrap/>
            <w:vAlign w:val="bottom"/>
            <w:hideMark/>
          </w:tcPr>
          <w:p w14:paraId="794A4B5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A80562" w:rsidRPr="00A80562" w14:paraId="2FC284B8" w14:textId="77777777" w:rsidTr="00A80562">
        <w:trPr>
          <w:trHeight w:val="239"/>
        </w:trPr>
        <w:tc>
          <w:tcPr>
            <w:tcW w:w="237" w:type="dxa"/>
            <w:tcBorders>
              <w:top w:val="nil"/>
              <w:left w:val="nil"/>
              <w:bottom w:val="nil"/>
              <w:right w:val="nil"/>
            </w:tcBorders>
            <w:shd w:val="clear" w:color="auto" w:fill="auto"/>
            <w:noWrap/>
            <w:vAlign w:val="bottom"/>
            <w:hideMark/>
          </w:tcPr>
          <w:p w14:paraId="59B6AA03"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4FA5216F"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Face-to-face contacts</w:t>
            </w:r>
          </w:p>
        </w:tc>
        <w:tc>
          <w:tcPr>
            <w:tcW w:w="2058" w:type="dxa"/>
            <w:tcBorders>
              <w:top w:val="nil"/>
              <w:left w:val="single" w:sz="4" w:space="0" w:color="auto"/>
              <w:bottom w:val="nil"/>
              <w:right w:val="nil"/>
            </w:tcBorders>
            <w:shd w:val="clear" w:color="auto" w:fill="auto"/>
            <w:noWrap/>
            <w:vAlign w:val="bottom"/>
            <w:hideMark/>
          </w:tcPr>
          <w:p w14:paraId="0D00923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671*** (646.1, 695.9)</w:t>
            </w:r>
          </w:p>
        </w:tc>
        <w:tc>
          <w:tcPr>
            <w:tcW w:w="2059" w:type="dxa"/>
            <w:tcBorders>
              <w:top w:val="nil"/>
              <w:left w:val="nil"/>
              <w:bottom w:val="nil"/>
              <w:right w:val="nil"/>
            </w:tcBorders>
            <w:shd w:val="clear" w:color="auto" w:fill="auto"/>
            <w:noWrap/>
            <w:vAlign w:val="bottom"/>
            <w:hideMark/>
          </w:tcPr>
          <w:p w14:paraId="69F526B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-0.4*** (-0.6, -0.2)</w:t>
            </w:r>
          </w:p>
        </w:tc>
        <w:tc>
          <w:tcPr>
            <w:tcW w:w="2059" w:type="dxa"/>
            <w:tcBorders>
              <w:top w:val="nil"/>
              <w:left w:val="nil"/>
              <w:bottom w:val="nil"/>
              <w:right w:val="nil"/>
            </w:tcBorders>
            <w:shd w:val="clear" w:color="auto" w:fill="auto"/>
            <w:noWrap/>
            <w:vAlign w:val="bottom"/>
            <w:hideMark/>
          </w:tcPr>
          <w:p w14:paraId="7CDBD85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-362.8** (-600.7, -124.9)</w:t>
            </w:r>
          </w:p>
        </w:tc>
        <w:tc>
          <w:tcPr>
            <w:tcW w:w="2058" w:type="dxa"/>
            <w:tcBorders>
              <w:top w:val="nil"/>
              <w:left w:val="nil"/>
              <w:bottom w:val="nil"/>
              <w:right w:val="nil"/>
            </w:tcBorders>
            <w:shd w:val="clear" w:color="auto" w:fill="auto"/>
            <w:noWrap/>
            <w:vAlign w:val="bottom"/>
            <w:hideMark/>
          </w:tcPr>
          <w:p w14:paraId="19070D2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8.4 (-22.2, 38.9)</w:t>
            </w:r>
          </w:p>
        </w:tc>
        <w:tc>
          <w:tcPr>
            <w:tcW w:w="2059" w:type="dxa"/>
            <w:tcBorders>
              <w:top w:val="nil"/>
              <w:left w:val="nil"/>
              <w:bottom w:val="nil"/>
              <w:right w:val="nil"/>
            </w:tcBorders>
            <w:shd w:val="clear" w:color="auto" w:fill="auto"/>
            <w:noWrap/>
            <w:vAlign w:val="bottom"/>
            <w:hideMark/>
          </w:tcPr>
          <w:p w14:paraId="3E901D6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-237.1 (-549.6, 75.5)</w:t>
            </w:r>
          </w:p>
        </w:tc>
        <w:tc>
          <w:tcPr>
            <w:tcW w:w="2059" w:type="dxa"/>
            <w:tcBorders>
              <w:top w:val="nil"/>
              <w:left w:val="nil"/>
              <w:bottom w:val="nil"/>
              <w:right w:val="nil"/>
            </w:tcBorders>
            <w:shd w:val="clear" w:color="auto" w:fill="auto"/>
            <w:noWrap/>
            <w:vAlign w:val="bottom"/>
            <w:hideMark/>
          </w:tcPr>
          <w:p w14:paraId="39C4036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A80562" w:rsidRPr="00A80562" w14:paraId="1E5CFBB2" w14:textId="77777777" w:rsidTr="00A80562">
        <w:trPr>
          <w:trHeight w:val="239"/>
        </w:trPr>
        <w:tc>
          <w:tcPr>
            <w:tcW w:w="237" w:type="dxa"/>
            <w:tcBorders>
              <w:top w:val="nil"/>
              <w:left w:val="nil"/>
              <w:bottom w:val="nil"/>
              <w:right w:val="nil"/>
            </w:tcBorders>
            <w:shd w:val="clear" w:color="auto" w:fill="auto"/>
            <w:noWrap/>
            <w:vAlign w:val="bottom"/>
            <w:hideMark/>
          </w:tcPr>
          <w:p w14:paraId="546A5093"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000000" w:fill="F2F2F2"/>
            <w:noWrap/>
            <w:vAlign w:val="bottom"/>
            <w:hideMark/>
          </w:tcPr>
          <w:p w14:paraId="0DA1E70E"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Remote contacts</w:t>
            </w:r>
          </w:p>
        </w:tc>
        <w:tc>
          <w:tcPr>
            <w:tcW w:w="2058" w:type="dxa"/>
            <w:tcBorders>
              <w:top w:val="nil"/>
              <w:left w:val="single" w:sz="4" w:space="0" w:color="auto"/>
              <w:bottom w:val="nil"/>
              <w:right w:val="nil"/>
            </w:tcBorders>
            <w:shd w:val="clear" w:color="000000" w:fill="F2F2F2"/>
            <w:noWrap/>
            <w:vAlign w:val="bottom"/>
            <w:hideMark/>
          </w:tcPr>
          <w:p w14:paraId="1729BAC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60.4*** (45.1, 75.8)</w:t>
            </w:r>
          </w:p>
        </w:tc>
        <w:tc>
          <w:tcPr>
            <w:tcW w:w="2059" w:type="dxa"/>
            <w:tcBorders>
              <w:top w:val="nil"/>
              <w:left w:val="nil"/>
              <w:bottom w:val="nil"/>
              <w:right w:val="nil"/>
            </w:tcBorders>
            <w:shd w:val="clear" w:color="000000" w:fill="F2F2F2"/>
            <w:noWrap/>
            <w:vAlign w:val="bottom"/>
            <w:hideMark/>
          </w:tcPr>
          <w:p w14:paraId="36EF7B6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0.3*** (0.2, 0.4)</w:t>
            </w:r>
          </w:p>
        </w:tc>
        <w:tc>
          <w:tcPr>
            <w:tcW w:w="2059" w:type="dxa"/>
            <w:tcBorders>
              <w:top w:val="nil"/>
              <w:left w:val="nil"/>
              <w:bottom w:val="nil"/>
              <w:right w:val="nil"/>
            </w:tcBorders>
            <w:shd w:val="clear" w:color="000000" w:fill="F2F2F2"/>
            <w:noWrap/>
            <w:vAlign w:val="bottom"/>
            <w:hideMark/>
          </w:tcPr>
          <w:p w14:paraId="1C5EC63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397.6*** (378.7, 416.6)</w:t>
            </w:r>
          </w:p>
        </w:tc>
        <w:tc>
          <w:tcPr>
            <w:tcW w:w="2058" w:type="dxa"/>
            <w:tcBorders>
              <w:top w:val="nil"/>
              <w:left w:val="nil"/>
              <w:bottom w:val="nil"/>
              <w:right w:val="nil"/>
            </w:tcBorders>
            <w:shd w:val="clear" w:color="000000" w:fill="F2F2F2"/>
            <w:noWrap/>
            <w:vAlign w:val="bottom"/>
            <w:hideMark/>
          </w:tcPr>
          <w:p w14:paraId="7AE7CA2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18.4*** (16.4, 20.4)</w:t>
            </w:r>
          </w:p>
        </w:tc>
        <w:tc>
          <w:tcPr>
            <w:tcW w:w="2059" w:type="dxa"/>
            <w:tcBorders>
              <w:top w:val="nil"/>
              <w:left w:val="nil"/>
              <w:bottom w:val="nil"/>
              <w:right w:val="nil"/>
            </w:tcBorders>
            <w:shd w:val="clear" w:color="000000" w:fill="F2F2F2"/>
            <w:noWrap/>
            <w:vAlign w:val="bottom"/>
            <w:hideMark/>
          </w:tcPr>
          <w:p w14:paraId="2942482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673.6*** (655.6, 691.6)</w:t>
            </w:r>
          </w:p>
        </w:tc>
        <w:tc>
          <w:tcPr>
            <w:tcW w:w="2059" w:type="dxa"/>
            <w:tcBorders>
              <w:top w:val="nil"/>
              <w:left w:val="nil"/>
              <w:bottom w:val="nil"/>
              <w:right w:val="nil"/>
            </w:tcBorders>
            <w:shd w:val="clear" w:color="000000" w:fill="F2F2F2"/>
            <w:noWrap/>
            <w:vAlign w:val="bottom"/>
            <w:hideMark/>
          </w:tcPr>
          <w:p w14:paraId="6ED5E27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A80562" w:rsidRPr="00A80562" w14:paraId="0A32D48F" w14:textId="77777777" w:rsidTr="00A80562">
        <w:trPr>
          <w:trHeight w:val="239"/>
        </w:trPr>
        <w:tc>
          <w:tcPr>
            <w:tcW w:w="3133" w:type="dxa"/>
            <w:gridSpan w:val="2"/>
            <w:tcBorders>
              <w:top w:val="nil"/>
              <w:left w:val="nil"/>
              <w:bottom w:val="single" w:sz="4" w:space="0" w:color="auto"/>
              <w:right w:val="nil"/>
            </w:tcBorders>
            <w:shd w:val="clear" w:color="auto" w:fill="auto"/>
            <w:noWrap/>
            <w:vAlign w:val="bottom"/>
            <w:hideMark/>
          </w:tcPr>
          <w:p w14:paraId="70308BD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Inpatient admissions:</w:t>
            </w:r>
          </w:p>
        </w:tc>
        <w:tc>
          <w:tcPr>
            <w:tcW w:w="2058" w:type="dxa"/>
            <w:tcBorders>
              <w:top w:val="nil"/>
              <w:left w:val="single" w:sz="4" w:space="0" w:color="auto"/>
              <w:bottom w:val="single" w:sz="4" w:space="0" w:color="auto"/>
              <w:right w:val="nil"/>
            </w:tcBorders>
            <w:shd w:val="clear" w:color="auto" w:fill="auto"/>
            <w:noWrap/>
            <w:vAlign w:val="bottom"/>
            <w:hideMark/>
          </w:tcPr>
          <w:p w14:paraId="1171AF7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5164511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10881E2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8" w:type="dxa"/>
            <w:tcBorders>
              <w:top w:val="nil"/>
              <w:left w:val="nil"/>
              <w:bottom w:val="single" w:sz="4" w:space="0" w:color="auto"/>
              <w:right w:val="nil"/>
            </w:tcBorders>
            <w:shd w:val="clear" w:color="auto" w:fill="auto"/>
            <w:noWrap/>
            <w:vAlign w:val="bottom"/>
            <w:hideMark/>
          </w:tcPr>
          <w:p w14:paraId="50F876A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66EC09D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0842EAB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A80562" w:rsidRPr="00A80562" w14:paraId="52A1467E" w14:textId="77777777" w:rsidTr="00A80562">
        <w:trPr>
          <w:trHeight w:val="239"/>
        </w:trPr>
        <w:tc>
          <w:tcPr>
            <w:tcW w:w="237" w:type="dxa"/>
            <w:tcBorders>
              <w:top w:val="nil"/>
              <w:left w:val="nil"/>
              <w:bottom w:val="nil"/>
              <w:right w:val="nil"/>
            </w:tcBorders>
            <w:shd w:val="clear" w:color="auto" w:fill="auto"/>
            <w:noWrap/>
            <w:vAlign w:val="bottom"/>
            <w:hideMark/>
          </w:tcPr>
          <w:p w14:paraId="5B112B45"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000000" w:fill="F2F2F2"/>
            <w:noWrap/>
            <w:vAlign w:val="bottom"/>
            <w:hideMark/>
          </w:tcPr>
          <w:p w14:paraId="3CB5CE2F"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Total bed days</w:t>
            </w:r>
          </w:p>
        </w:tc>
        <w:tc>
          <w:tcPr>
            <w:tcW w:w="2058" w:type="dxa"/>
            <w:tcBorders>
              <w:top w:val="nil"/>
              <w:left w:val="single" w:sz="4" w:space="0" w:color="auto"/>
              <w:bottom w:val="nil"/>
              <w:right w:val="nil"/>
            </w:tcBorders>
            <w:shd w:val="clear" w:color="000000" w:fill="F2F2F2"/>
            <w:noWrap/>
            <w:vAlign w:val="bottom"/>
            <w:hideMark/>
          </w:tcPr>
          <w:p w14:paraId="25B3ABE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890.9*** (851.8, 930.1)</w:t>
            </w:r>
          </w:p>
        </w:tc>
        <w:tc>
          <w:tcPr>
            <w:tcW w:w="2059" w:type="dxa"/>
            <w:tcBorders>
              <w:top w:val="nil"/>
              <w:left w:val="nil"/>
              <w:bottom w:val="nil"/>
              <w:right w:val="nil"/>
            </w:tcBorders>
            <w:shd w:val="clear" w:color="000000" w:fill="F2F2F2"/>
            <w:noWrap/>
            <w:vAlign w:val="bottom"/>
            <w:hideMark/>
          </w:tcPr>
          <w:p w14:paraId="78D78E8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-0.9*** (-1.2, -0.5)</w:t>
            </w:r>
          </w:p>
        </w:tc>
        <w:tc>
          <w:tcPr>
            <w:tcW w:w="2059" w:type="dxa"/>
            <w:tcBorders>
              <w:top w:val="nil"/>
              <w:left w:val="nil"/>
              <w:bottom w:val="nil"/>
              <w:right w:val="nil"/>
            </w:tcBorders>
            <w:shd w:val="clear" w:color="000000" w:fill="F2F2F2"/>
            <w:noWrap/>
            <w:vAlign w:val="bottom"/>
            <w:hideMark/>
          </w:tcPr>
          <w:p w14:paraId="0084567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24.8 (-118.2, 167.7)</w:t>
            </w:r>
          </w:p>
        </w:tc>
        <w:tc>
          <w:tcPr>
            <w:tcW w:w="2058" w:type="dxa"/>
            <w:tcBorders>
              <w:top w:val="nil"/>
              <w:left w:val="nil"/>
              <w:bottom w:val="nil"/>
              <w:right w:val="nil"/>
            </w:tcBorders>
            <w:shd w:val="clear" w:color="000000" w:fill="F2F2F2"/>
            <w:noWrap/>
            <w:vAlign w:val="bottom"/>
            <w:hideMark/>
          </w:tcPr>
          <w:p w14:paraId="6FF609B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-1.7 (-14, 10.7)</w:t>
            </w:r>
          </w:p>
        </w:tc>
        <w:tc>
          <w:tcPr>
            <w:tcW w:w="2059" w:type="dxa"/>
            <w:tcBorders>
              <w:top w:val="nil"/>
              <w:left w:val="nil"/>
              <w:bottom w:val="nil"/>
              <w:right w:val="nil"/>
            </w:tcBorders>
            <w:shd w:val="clear" w:color="000000" w:fill="F2F2F2"/>
            <w:noWrap/>
            <w:vAlign w:val="bottom"/>
            <w:hideMark/>
          </w:tcPr>
          <w:p w14:paraId="4CDEABC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 (-135.9, 135.6)</w:t>
            </w:r>
          </w:p>
        </w:tc>
        <w:tc>
          <w:tcPr>
            <w:tcW w:w="2059" w:type="dxa"/>
            <w:tcBorders>
              <w:top w:val="nil"/>
              <w:left w:val="nil"/>
              <w:bottom w:val="nil"/>
              <w:right w:val="nil"/>
            </w:tcBorders>
            <w:shd w:val="clear" w:color="000000" w:fill="F2F2F2"/>
            <w:noWrap/>
            <w:vAlign w:val="bottom"/>
            <w:hideMark/>
          </w:tcPr>
          <w:p w14:paraId="157207C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(1, 0, 1)</w:t>
            </w:r>
          </w:p>
        </w:tc>
      </w:tr>
      <w:tr w:rsidR="00A80562" w:rsidRPr="00A80562" w14:paraId="3729255D" w14:textId="77777777" w:rsidTr="00A80562">
        <w:trPr>
          <w:trHeight w:val="239"/>
        </w:trPr>
        <w:tc>
          <w:tcPr>
            <w:tcW w:w="3133" w:type="dxa"/>
            <w:gridSpan w:val="2"/>
            <w:tcBorders>
              <w:top w:val="nil"/>
              <w:left w:val="nil"/>
              <w:bottom w:val="single" w:sz="4" w:space="0" w:color="auto"/>
              <w:right w:val="nil"/>
            </w:tcBorders>
            <w:shd w:val="clear" w:color="auto" w:fill="auto"/>
            <w:noWrap/>
            <w:vAlign w:val="bottom"/>
            <w:hideMark/>
          </w:tcPr>
          <w:p w14:paraId="101A2A8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HoNOS assessments:</w:t>
            </w:r>
          </w:p>
        </w:tc>
        <w:tc>
          <w:tcPr>
            <w:tcW w:w="2058" w:type="dxa"/>
            <w:tcBorders>
              <w:top w:val="nil"/>
              <w:left w:val="single" w:sz="4" w:space="0" w:color="auto"/>
              <w:bottom w:val="single" w:sz="4" w:space="0" w:color="auto"/>
              <w:right w:val="nil"/>
            </w:tcBorders>
            <w:shd w:val="clear" w:color="auto" w:fill="auto"/>
            <w:noWrap/>
            <w:vAlign w:val="bottom"/>
            <w:hideMark/>
          </w:tcPr>
          <w:p w14:paraId="56DDBC2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138818D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672D761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8" w:type="dxa"/>
            <w:tcBorders>
              <w:top w:val="nil"/>
              <w:left w:val="nil"/>
              <w:bottom w:val="single" w:sz="4" w:space="0" w:color="auto"/>
              <w:right w:val="nil"/>
            </w:tcBorders>
            <w:shd w:val="clear" w:color="auto" w:fill="auto"/>
            <w:noWrap/>
            <w:vAlign w:val="bottom"/>
            <w:hideMark/>
          </w:tcPr>
          <w:p w14:paraId="56188B4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06A4EA3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7FBAAA6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A80562" w:rsidRPr="00A80562" w14:paraId="65938E06" w14:textId="77777777" w:rsidTr="00A80562">
        <w:trPr>
          <w:trHeight w:val="239"/>
        </w:trPr>
        <w:tc>
          <w:tcPr>
            <w:tcW w:w="237" w:type="dxa"/>
            <w:tcBorders>
              <w:top w:val="nil"/>
              <w:left w:val="nil"/>
              <w:bottom w:val="nil"/>
              <w:right w:val="nil"/>
            </w:tcBorders>
            <w:shd w:val="clear" w:color="auto" w:fill="auto"/>
            <w:noWrap/>
            <w:vAlign w:val="bottom"/>
            <w:hideMark/>
          </w:tcPr>
          <w:p w14:paraId="408B2DBD"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000000" w:fill="F2F2F2"/>
            <w:noWrap/>
            <w:vAlign w:val="bottom"/>
            <w:hideMark/>
          </w:tcPr>
          <w:p w14:paraId="3666740B"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Total assessments</w:t>
            </w:r>
          </w:p>
        </w:tc>
        <w:tc>
          <w:tcPr>
            <w:tcW w:w="2058" w:type="dxa"/>
            <w:tcBorders>
              <w:top w:val="nil"/>
              <w:left w:val="single" w:sz="4" w:space="0" w:color="auto"/>
              <w:bottom w:val="nil"/>
              <w:right w:val="nil"/>
            </w:tcBorders>
            <w:shd w:val="clear" w:color="000000" w:fill="F2F2F2"/>
            <w:noWrap/>
            <w:vAlign w:val="bottom"/>
            <w:hideMark/>
          </w:tcPr>
          <w:p w14:paraId="137E8F4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44.17*** (40.97, 47.36)</w:t>
            </w:r>
          </w:p>
        </w:tc>
        <w:tc>
          <w:tcPr>
            <w:tcW w:w="2059" w:type="dxa"/>
            <w:tcBorders>
              <w:top w:val="nil"/>
              <w:left w:val="nil"/>
              <w:bottom w:val="nil"/>
              <w:right w:val="nil"/>
            </w:tcBorders>
            <w:shd w:val="clear" w:color="000000" w:fill="F2F2F2"/>
            <w:noWrap/>
            <w:vAlign w:val="bottom"/>
            <w:hideMark/>
          </w:tcPr>
          <w:p w14:paraId="794C7DD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(-0.03, 0.02)</w:t>
            </w:r>
          </w:p>
        </w:tc>
        <w:tc>
          <w:tcPr>
            <w:tcW w:w="2059" w:type="dxa"/>
            <w:tcBorders>
              <w:top w:val="nil"/>
              <w:left w:val="nil"/>
              <w:bottom w:val="nil"/>
              <w:right w:val="nil"/>
            </w:tcBorders>
            <w:shd w:val="clear" w:color="000000" w:fill="F2F2F2"/>
            <w:noWrap/>
            <w:vAlign w:val="bottom"/>
            <w:hideMark/>
          </w:tcPr>
          <w:p w14:paraId="0684D7D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0.19 (-12.3, 12.68)</w:t>
            </w:r>
          </w:p>
        </w:tc>
        <w:tc>
          <w:tcPr>
            <w:tcW w:w="2058" w:type="dxa"/>
            <w:tcBorders>
              <w:top w:val="nil"/>
              <w:left w:val="nil"/>
              <w:bottom w:val="nil"/>
              <w:right w:val="nil"/>
            </w:tcBorders>
            <w:shd w:val="clear" w:color="000000" w:fill="F2F2F2"/>
            <w:noWrap/>
            <w:vAlign w:val="bottom"/>
            <w:hideMark/>
          </w:tcPr>
          <w:p w14:paraId="3159C74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0.05 (-1.35, 1.44)</w:t>
            </w:r>
          </w:p>
        </w:tc>
        <w:tc>
          <w:tcPr>
            <w:tcW w:w="2059" w:type="dxa"/>
            <w:tcBorders>
              <w:top w:val="nil"/>
              <w:left w:val="nil"/>
              <w:bottom w:val="nil"/>
              <w:right w:val="nil"/>
            </w:tcBorders>
            <w:shd w:val="clear" w:color="000000" w:fill="F2F2F2"/>
            <w:noWrap/>
            <w:vAlign w:val="bottom"/>
            <w:hideMark/>
          </w:tcPr>
          <w:p w14:paraId="5C3F872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0.89 (-10.94, 12.72)</w:t>
            </w:r>
          </w:p>
        </w:tc>
        <w:tc>
          <w:tcPr>
            <w:tcW w:w="2059" w:type="dxa"/>
            <w:tcBorders>
              <w:top w:val="nil"/>
              <w:left w:val="nil"/>
              <w:bottom w:val="nil"/>
              <w:right w:val="nil"/>
            </w:tcBorders>
            <w:shd w:val="clear" w:color="000000" w:fill="F2F2F2"/>
            <w:noWrap/>
            <w:vAlign w:val="bottom"/>
            <w:hideMark/>
          </w:tcPr>
          <w:p w14:paraId="0C3197A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(0, 0, 1)</w:t>
            </w:r>
          </w:p>
        </w:tc>
      </w:tr>
      <w:tr w:rsidR="00A80562" w:rsidRPr="00A80562" w14:paraId="201681E7" w14:textId="77777777" w:rsidTr="00A80562">
        <w:trPr>
          <w:trHeight w:val="239"/>
        </w:trPr>
        <w:tc>
          <w:tcPr>
            <w:tcW w:w="3133" w:type="dxa"/>
            <w:gridSpan w:val="2"/>
            <w:tcBorders>
              <w:top w:val="nil"/>
              <w:left w:val="nil"/>
              <w:bottom w:val="single" w:sz="4" w:space="0" w:color="auto"/>
              <w:right w:val="nil"/>
            </w:tcBorders>
            <w:shd w:val="clear" w:color="auto" w:fill="auto"/>
            <w:noWrap/>
            <w:vAlign w:val="bottom"/>
            <w:hideMark/>
          </w:tcPr>
          <w:p w14:paraId="68BC6A6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HoNOS scores:</w:t>
            </w:r>
          </w:p>
        </w:tc>
        <w:tc>
          <w:tcPr>
            <w:tcW w:w="2058" w:type="dxa"/>
            <w:tcBorders>
              <w:top w:val="nil"/>
              <w:left w:val="single" w:sz="4" w:space="0" w:color="auto"/>
              <w:bottom w:val="single" w:sz="4" w:space="0" w:color="auto"/>
              <w:right w:val="nil"/>
            </w:tcBorders>
            <w:shd w:val="clear" w:color="auto" w:fill="auto"/>
            <w:noWrap/>
            <w:vAlign w:val="bottom"/>
            <w:hideMark/>
          </w:tcPr>
          <w:p w14:paraId="1F4AAC5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0EC14A1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284308D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8" w:type="dxa"/>
            <w:tcBorders>
              <w:top w:val="nil"/>
              <w:left w:val="nil"/>
              <w:bottom w:val="single" w:sz="4" w:space="0" w:color="auto"/>
              <w:right w:val="nil"/>
            </w:tcBorders>
            <w:shd w:val="clear" w:color="auto" w:fill="auto"/>
            <w:noWrap/>
            <w:vAlign w:val="bottom"/>
            <w:hideMark/>
          </w:tcPr>
          <w:p w14:paraId="2EB7602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4BF05A2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single" w:sz="4" w:space="0" w:color="auto"/>
              <w:right w:val="nil"/>
            </w:tcBorders>
            <w:shd w:val="clear" w:color="auto" w:fill="auto"/>
            <w:noWrap/>
            <w:vAlign w:val="bottom"/>
            <w:hideMark/>
          </w:tcPr>
          <w:p w14:paraId="5EC0A8B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r>
      <w:tr w:rsidR="00A80562" w:rsidRPr="00A80562" w14:paraId="5B8E0E46" w14:textId="77777777" w:rsidTr="00A80562">
        <w:trPr>
          <w:trHeight w:val="239"/>
        </w:trPr>
        <w:tc>
          <w:tcPr>
            <w:tcW w:w="237" w:type="dxa"/>
            <w:tcBorders>
              <w:top w:val="nil"/>
              <w:left w:val="nil"/>
              <w:bottom w:val="nil"/>
              <w:right w:val="nil"/>
            </w:tcBorders>
            <w:shd w:val="clear" w:color="auto" w:fill="auto"/>
            <w:noWrap/>
            <w:vAlign w:val="bottom"/>
            <w:hideMark/>
          </w:tcPr>
          <w:p w14:paraId="1A823E95"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000000" w:fill="F2F2F2"/>
            <w:noWrap/>
            <w:vAlign w:val="bottom"/>
            <w:hideMark/>
          </w:tcPr>
          <w:p w14:paraId="11A78E6F"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total score</w:t>
            </w:r>
          </w:p>
        </w:tc>
        <w:tc>
          <w:tcPr>
            <w:tcW w:w="2058" w:type="dxa"/>
            <w:tcBorders>
              <w:top w:val="nil"/>
              <w:left w:val="single" w:sz="4" w:space="0" w:color="auto"/>
              <w:bottom w:val="nil"/>
              <w:right w:val="nil"/>
            </w:tcBorders>
            <w:shd w:val="clear" w:color="000000" w:fill="F2F2F2"/>
            <w:noWrap/>
            <w:vAlign w:val="bottom"/>
            <w:hideMark/>
          </w:tcPr>
          <w:p w14:paraId="640FE38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13.055*** (12.768, 13.342)</w:t>
            </w:r>
          </w:p>
        </w:tc>
        <w:tc>
          <w:tcPr>
            <w:tcW w:w="2059" w:type="dxa"/>
            <w:tcBorders>
              <w:top w:val="nil"/>
              <w:left w:val="nil"/>
              <w:bottom w:val="nil"/>
              <w:right w:val="nil"/>
            </w:tcBorders>
            <w:shd w:val="clear" w:color="000000" w:fill="F2F2F2"/>
            <w:noWrap/>
            <w:vAlign w:val="bottom"/>
            <w:hideMark/>
          </w:tcPr>
          <w:p w14:paraId="5099B75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-0.009*** (-0.012, -0.007)</w:t>
            </w:r>
          </w:p>
        </w:tc>
        <w:tc>
          <w:tcPr>
            <w:tcW w:w="2059" w:type="dxa"/>
            <w:tcBorders>
              <w:top w:val="nil"/>
              <w:left w:val="nil"/>
              <w:bottom w:val="nil"/>
              <w:right w:val="nil"/>
            </w:tcBorders>
            <w:shd w:val="clear" w:color="000000" w:fill="F2F2F2"/>
            <w:noWrap/>
            <w:vAlign w:val="bottom"/>
            <w:hideMark/>
          </w:tcPr>
          <w:p w14:paraId="341C89D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0.63*** (0.261, 0.999)</w:t>
            </w:r>
          </w:p>
        </w:tc>
        <w:tc>
          <w:tcPr>
            <w:tcW w:w="2058" w:type="dxa"/>
            <w:tcBorders>
              <w:top w:val="nil"/>
              <w:left w:val="nil"/>
              <w:bottom w:val="nil"/>
              <w:right w:val="nil"/>
            </w:tcBorders>
            <w:shd w:val="clear" w:color="000000" w:fill="F2F2F2"/>
            <w:noWrap/>
            <w:vAlign w:val="bottom"/>
            <w:hideMark/>
          </w:tcPr>
          <w:p w14:paraId="45E1884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0.008 (-0.02, 0.037)</w:t>
            </w:r>
          </w:p>
        </w:tc>
        <w:tc>
          <w:tcPr>
            <w:tcW w:w="2059" w:type="dxa"/>
            <w:tcBorders>
              <w:top w:val="nil"/>
              <w:left w:val="nil"/>
              <w:bottom w:val="nil"/>
              <w:right w:val="nil"/>
            </w:tcBorders>
            <w:shd w:val="clear" w:color="000000" w:fill="F2F2F2"/>
            <w:noWrap/>
            <w:vAlign w:val="bottom"/>
            <w:hideMark/>
          </w:tcPr>
          <w:p w14:paraId="7836C17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0.757*** (0.359, 1.154)</w:t>
            </w:r>
          </w:p>
        </w:tc>
        <w:tc>
          <w:tcPr>
            <w:tcW w:w="2059" w:type="dxa"/>
            <w:tcBorders>
              <w:top w:val="nil"/>
              <w:left w:val="nil"/>
              <w:bottom w:val="nil"/>
              <w:right w:val="nil"/>
            </w:tcBorders>
            <w:shd w:val="clear" w:color="000000" w:fill="F2F2F2"/>
            <w:noWrap/>
            <w:vAlign w:val="bottom"/>
            <w:hideMark/>
          </w:tcPr>
          <w:p w14:paraId="67A90E1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08CB9B36"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73C67AA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Overactive, aggressive, disruptive or agitated behaviour</w:t>
            </w:r>
          </w:p>
        </w:tc>
        <w:tc>
          <w:tcPr>
            <w:tcW w:w="2058" w:type="dxa"/>
            <w:tcBorders>
              <w:top w:val="nil"/>
              <w:left w:val="single" w:sz="4" w:space="0" w:color="auto"/>
              <w:bottom w:val="nil"/>
              <w:right w:val="nil"/>
            </w:tcBorders>
            <w:shd w:val="clear" w:color="auto" w:fill="auto"/>
            <w:noWrap/>
            <w:vAlign w:val="bottom"/>
            <w:hideMark/>
          </w:tcPr>
          <w:p w14:paraId="205D4A9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3603538E"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38A93A1D"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4F2747F8"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3100E257"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09F7F701" w14:textId="77777777" w:rsidR="00A80562" w:rsidRPr="00A80562" w:rsidRDefault="00A80562" w:rsidP="00A80562">
            <w:pPr>
              <w:spacing w:after="0" w:line="240" w:lineRule="auto"/>
              <w:jc w:val="left"/>
              <w:rPr>
                <w:rFonts w:eastAsia="Times New Roman"/>
                <w:lang w:eastAsia="en-GB"/>
              </w:rPr>
            </w:pPr>
          </w:p>
        </w:tc>
      </w:tr>
      <w:tr w:rsidR="00A80562" w:rsidRPr="00A80562" w14:paraId="27606DF0" w14:textId="77777777" w:rsidTr="00A80562">
        <w:trPr>
          <w:trHeight w:val="239"/>
        </w:trPr>
        <w:tc>
          <w:tcPr>
            <w:tcW w:w="237" w:type="dxa"/>
            <w:tcBorders>
              <w:top w:val="nil"/>
              <w:left w:val="nil"/>
              <w:bottom w:val="nil"/>
              <w:right w:val="nil"/>
            </w:tcBorders>
            <w:shd w:val="clear" w:color="auto" w:fill="auto"/>
            <w:noWrap/>
            <w:vAlign w:val="bottom"/>
            <w:hideMark/>
          </w:tcPr>
          <w:p w14:paraId="060E22CA"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67594D63"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67FABD0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49.57*** (47.71, 51.43)</w:t>
            </w:r>
          </w:p>
        </w:tc>
        <w:tc>
          <w:tcPr>
            <w:tcW w:w="2059" w:type="dxa"/>
            <w:tcBorders>
              <w:top w:val="nil"/>
              <w:left w:val="nil"/>
              <w:bottom w:val="nil"/>
              <w:right w:val="nil"/>
            </w:tcBorders>
            <w:shd w:val="clear" w:color="000000" w:fill="F2F2F2"/>
            <w:noWrap/>
            <w:vAlign w:val="bottom"/>
            <w:hideMark/>
          </w:tcPr>
          <w:p w14:paraId="1932D59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-0.04*** (-0.05, -0.03)</w:t>
            </w:r>
          </w:p>
        </w:tc>
        <w:tc>
          <w:tcPr>
            <w:tcW w:w="2059" w:type="dxa"/>
            <w:tcBorders>
              <w:top w:val="nil"/>
              <w:left w:val="nil"/>
              <w:bottom w:val="nil"/>
              <w:right w:val="nil"/>
            </w:tcBorders>
            <w:shd w:val="clear" w:color="000000" w:fill="F2F2F2"/>
            <w:noWrap/>
            <w:vAlign w:val="bottom"/>
            <w:hideMark/>
          </w:tcPr>
          <w:p w14:paraId="4E38DB1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4.43*** (2.04, 6.82)</w:t>
            </w:r>
          </w:p>
        </w:tc>
        <w:tc>
          <w:tcPr>
            <w:tcW w:w="2058" w:type="dxa"/>
            <w:tcBorders>
              <w:top w:val="nil"/>
              <w:left w:val="nil"/>
              <w:bottom w:val="nil"/>
              <w:right w:val="nil"/>
            </w:tcBorders>
            <w:shd w:val="clear" w:color="000000" w:fill="F2F2F2"/>
            <w:noWrap/>
            <w:vAlign w:val="bottom"/>
            <w:hideMark/>
          </w:tcPr>
          <w:p w14:paraId="763A0E5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-0.35*** (-0.54, -0.17)</w:t>
            </w:r>
          </w:p>
        </w:tc>
        <w:tc>
          <w:tcPr>
            <w:tcW w:w="2059" w:type="dxa"/>
            <w:tcBorders>
              <w:top w:val="nil"/>
              <w:left w:val="nil"/>
              <w:bottom w:val="nil"/>
              <w:right w:val="nil"/>
            </w:tcBorders>
            <w:shd w:val="clear" w:color="000000" w:fill="F2F2F2"/>
            <w:noWrap/>
            <w:vAlign w:val="bottom"/>
            <w:hideMark/>
          </w:tcPr>
          <w:p w14:paraId="2C46268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-0.88 (-3.46, 1.69)</w:t>
            </w:r>
          </w:p>
        </w:tc>
        <w:tc>
          <w:tcPr>
            <w:tcW w:w="2059" w:type="dxa"/>
            <w:tcBorders>
              <w:top w:val="nil"/>
              <w:left w:val="nil"/>
              <w:bottom w:val="nil"/>
              <w:right w:val="nil"/>
            </w:tcBorders>
            <w:shd w:val="clear" w:color="000000" w:fill="F2F2F2"/>
            <w:noWrap/>
            <w:vAlign w:val="bottom"/>
            <w:hideMark/>
          </w:tcPr>
          <w:p w14:paraId="1A40148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46695C9E" w14:textId="77777777" w:rsidTr="00A80562">
        <w:trPr>
          <w:trHeight w:val="239"/>
        </w:trPr>
        <w:tc>
          <w:tcPr>
            <w:tcW w:w="237" w:type="dxa"/>
            <w:tcBorders>
              <w:top w:val="nil"/>
              <w:left w:val="nil"/>
              <w:bottom w:val="nil"/>
              <w:right w:val="nil"/>
            </w:tcBorders>
            <w:shd w:val="clear" w:color="auto" w:fill="auto"/>
            <w:noWrap/>
            <w:vAlign w:val="bottom"/>
            <w:hideMark/>
          </w:tcPr>
          <w:p w14:paraId="3966636F"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28016B99"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598990F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0.928*** (0.88, 0.976)</w:t>
            </w:r>
          </w:p>
        </w:tc>
        <w:tc>
          <w:tcPr>
            <w:tcW w:w="2059" w:type="dxa"/>
            <w:tcBorders>
              <w:top w:val="nil"/>
              <w:left w:val="nil"/>
              <w:bottom w:val="nil"/>
              <w:right w:val="nil"/>
            </w:tcBorders>
            <w:shd w:val="clear" w:color="auto" w:fill="auto"/>
            <w:noWrap/>
            <w:vAlign w:val="bottom"/>
            <w:hideMark/>
          </w:tcPr>
          <w:p w14:paraId="0D8C33E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59" w:type="dxa"/>
            <w:tcBorders>
              <w:top w:val="nil"/>
              <w:left w:val="nil"/>
              <w:bottom w:val="nil"/>
              <w:right w:val="nil"/>
            </w:tcBorders>
            <w:shd w:val="clear" w:color="auto" w:fill="auto"/>
            <w:noWrap/>
            <w:vAlign w:val="bottom"/>
            <w:hideMark/>
          </w:tcPr>
          <w:p w14:paraId="56AFA6F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-0.002 (-0.063, 0.059)</w:t>
            </w:r>
          </w:p>
        </w:tc>
        <w:tc>
          <w:tcPr>
            <w:tcW w:w="2058" w:type="dxa"/>
            <w:tcBorders>
              <w:top w:val="nil"/>
              <w:left w:val="nil"/>
              <w:bottom w:val="nil"/>
              <w:right w:val="nil"/>
            </w:tcBorders>
            <w:shd w:val="clear" w:color="auto" w:fill="auto"/>
            <w:noWrap/>
            <w:vAlign w:val="bottom"/>
            <w:hideMark/>
          </w:tcPr>
          <w:p w14:paraId="2BA441B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0.004 (-0.001, 0.009)</w:t>
            </w:r>
          </w:p>
        </w:tc>
        <w:tc>
          <w:tcPr>
            <w:tcW w:w="2059" w:type="dxa"/>
            <w:tcBorders>
              <w:top w:val="nil"/>
              <w:left w:val="nil"/>
              <w:bottom w:val="nil"/>
              <w:right w:val="nil"/>
            </w:tcBorders>
            <w:shd w:val="clear" w:color="auto" w:fill="auto"/>
            <w:noWrap/>
            <w:vAlign w:val="bottom"/>
            <w:hideMark/>
          </w:tcPr>
          <w:p w14:paraId="577A055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0.061 (-0.005, 0.128)</w:t>
            </w:r>
          </w:p>
        </w:tc>
        <w:tc>
          <w:tcPr>
            <w:tcW w:w="2059" w:type="dxa"/>
            <w:tcBorders>
              <w:top w:val="nil"/>
              <w:left w:val="nil"/>
              <w:bottom w:val="nil"/>
              <w:right w:val="nil"/>
            </w:tcBorders>
            <w:shd w:val="clear" w:color="auto" w:fill="auto"/>
            <w:noWrap/>
            <w:vAlign w:val="bottom"/>
            <w:hideMark/>
          </w:tcPr>
          <w:p w14:paraId="7F2B97B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457E4D12"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5312F85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Non-accidental self-injury</w:t>
            </w:r>
          </w:p>
        </w:tc>
        <w:tc>
          <w:tcPr>
            <w:tcW w:w="2058" w:type="dxa"/>
            <w:tcBorders>
              <w:top w:val="nil"/>
              <w:left w:val="single" w:sz="4" w:space="0" w:color="auto"/>
              <w:bottom w:val="nil"/>
              <w:right w:val="nil"/>
            </w:tcBorders>
            <w:shd w:val="clear" w:color="auto" w:fill="auto"/>
            <w:noWrap/>
            <w:vAlign w:val="bottom"/>
            <w:hideMark/>
          </w:tcPr>
          <w:p w14:paraId="19CDB40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0380B156"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7B1FF194"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1383A398"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3C27B631"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5A854393" w14:textId="77777777" w:rsidR="00A80562" w:rsidRPr="00A80562" w:rsidRDefault="00A80562" w:rsidP="00A80562">
            <w:pPr>
              <w:spacing w:after="0" w:line="240" w:lineRule="auto"/>
              <w:jc w:val="left"/>
              <w:rPr>
                <w:rFonts w:eastAsia="Times New Roman"/>
                <w:lang w:eastAsia="en-GB"/>
              </w:rPr>
            </w:pPr>
          </w:p>
        </w:tc>
      </w:tr>
      <w:tr w:rsidR="00A80562" w:rsidRPr="00A80562" w14:paraId="356DC12D" w14:textId="77777777" w:rsidTr="00A80562">
        <w:trPr>
          <w:trHeight w:val="239"/>
        </w:trPr>
        <w:tc>
          <w:tcPr>
            <w:tcW w:w="237" w:type="dxa"/>
            <w:tcBorders>
              <w:top w:val="nil"/>
              <w:left w:val="nil"/>
              <w:bottom w:val="nil"/>
              <w:right w:val="nil"/>
            </w:tcBorders>
            <w:shd w:val="clear" w:color="auto" w:fill="auto"/>
            <w:noWrap/>
            <w:vAlign w:val="bottom"/>
            <w:hideMark/>
          </w:tcPr>
          <w:p w14:paraId="195F903F"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022D7929"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258DDD2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19.5*** (17.8, 21.21)</w:t>
            </w:r>
          </w:p>
        </w:tc>
        <w:tc>
          <w:tcPr>
            <w:tcW w:w="2059" w:type="dxa"/>
            <w:tcBorders>
              <w:top w:val="nil"/>
              <w:left w:val="nil"/>
              <w:bottom w:val="nil"/>
              <w:right w:val="nil"/>
            </w:tcBorders>
            <w:shd w:val="clear" w:color="000000" w:fill="F2F2F2"/>
            <w:noWrap/>
            <w:vAlign w:val="bottom"/>
            <w:hideMark/>
          </w:tcPr>
          <w:p w14:paraId="4E6B0BE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-0.02*** (-0.04, -0.01)</w:t>
            </w:r>
          </w:p>
        </w:tc>
        <w:tc>
          <w:tcPr>
            <w:tcW w:w="2059" w:type="dxa"/>
            <w:tcBorders>
              <w:top w:val="nil"/>
              <w:left w:val="nil"/>
              <w:bottom w:val="nil"/>
              <w:right w:val="nil"/>
            </w:tcBorders>
            <w:shd w:val="clear" w:color="000000" w:fill="F2F2F2"/>
            <w:noWrap/>
            <w:vAlign w:val="bottom"/>
            <w:hideMark/>
          </w:tcPr>
          <w:p w14:paraId="7BB44D6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2.91** (0.71, 5.1)</w:t>
            </w:r>
          </w:p>
        </w:tc>
        <w:tc>
          <w:tcPr>
            <w:tcW w:w="2058" w:type="dxa"/>
            <w:tcBorders>
              <w:top w:val="nil"/>
              <w:left w:val="nil"/>
              <w:bottom w:val="nil"/>
              <w:right w:val="nil"/>
            </w:tcBorders>
            <w:shd w:val="clear" w:color="000000" w:fill="F2F2F2"/>
            <w:noWrap/>
            <w:vAlign w:val="bottom"/>
            <w:hideMark/>
          </w:tcPr>
          <w:p w14:paraId="4F0A098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0.32*** (0.15, 0.49)</w:t>
            </w:r>
          </w:p>
        </w:tc>
        <w:tc>
          <w:tcPr>
            <w:tcW w:w="2059" w:type="dxa"/>
            <w:tcBorders>
              <w:top w:val="nil"/>
              <w:left w:val="nil"/>
              <w:bottom w:val="nil"/>
              <w:right w:val="nil"/>
            </w:tcBorders>
            <w:shd w:val="clear" w:color="000000" w:fill="F2F2F2"/>
            <w:noWrap/>
            <w:vAlign w:val="bottom"/>
            <w:hideMark/>
          </w:tcPr>
          <w:p w14:paraId="4F1CB1B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7.75*** (5.38, 10.11)</w:t>
            </w:r>
          </w:p>
        </w:tc>
        <w:tc>
          <w:tcPr>
            <w:tcW w:w="2059" w:type="dxa"/>
            <w:tcBorders>
              <w:top w:val="nil"/>
              <w:left w:val="nil"/>
              <w:bottom w:val="nil"/>
              <w:right w:val="nil"/>
            </w:tcBorders>
            <w:shd w:val="clear" w:color="000000" w:fill="F2F2F2"/>
            <w:noWrap/>
            <w:vAlign w:val="bottom"/>
            <w:hideMark/>
          </w:tcPr>
          <w:p w14:paraId="1AD9ED3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7522BEDA" w14:textId="77777777" w:rsidTr="00A80562">
        <w:trPr>
          <w:trHeight w:val="239"/>
        </w:trPr>
        <w:tc>
          <w:tcPr>
            <w:tcW w:w="237" w:type="dxa"/>
            <w:tcBorders>
              <w:top w:val="nil"/>
              <w:left w:val="nil"/>
              <w:bottom w:val="nil"/>
              <w:right w:val="nil"/>
            </w:tcBorders>
            <w:shd w:val="clear" w:color="auto" w:fill="auto"/>
            <w:noWrap/>
            <w:vAlign w:val="bottom"/>
            <w:hideMark/>
          </w:tcPr>
          <w:p w14:paraId="4E98BAA8"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543D9AAB"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5A63719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0.37*** (0.335, 0.406)</w:t>
            </w:r>
          </w:p>
        </w:tc>
        <w:tc>
          <w:tcPr>
            <w:tcW w:w="2059" w:type="dxa"/>
            <w:tcBorders>
              <w:top w:val="nil"/>
              <w:left w:val="nil"/>
              <w:bottom w:val="nil"/>
              <w:right w:val="nil"/>
            </w:tcBorders>
            <w:shd w:val="clear" w:color="auto" w:fill="auto"/>
            <w:noWrap/>
            <w:vAlign w:val="bottom"/>
            <w:hideMark/>
          </w:tcPr>
          <w:p w14:paraId="3409245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-0.001*** (-0.001, 0)</w:t>
            </w:r>
          </w:p>
        </w:tc>
        <w:tc>
          <w:tcPr>
            <w:tcW w:w="2059" w:type="dxa"/>
            <w:tcBorders>
              <w:top w:val="nil"/>
              <w:left w:val="nil"/>
              <w:bottom w:val="nil"/>
              <w:right w:val="nil"/>
            </w:tcBorders>
            <w:shd w:val="clear" w:color="auto" w:fill="auto"/>
            <w:noWrap/>
            <w:vAlign w:val="bottom"/>
            <w:hideMark/>
          </w:tcPr>
          <w:p w14:paraId="5DC3F4D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-0.018 (-0.064, 0.027)</w:t>
            </w:r>
          </w:p>
        </w:tc>
        <w:tc>
          <w:tcPr>
            <w:tcW w:w="2058" w:type="dxa"/>
            <w:tcBorders>
              <w:top w:val="nil"/>
              <w:left w:val="nil"/>
              <w:bottom w:val="nil"/>
              <w:right w:val="nil"/>
            </w:tcBorders>
            <w:shd w:val="clear" w:color="auto" w:fill="auto"/>
            <w:noWrap/>
            <w:vAlign w:val="bottom"/>
            <w:hideMark/>
          </w:tcPr>
          <w:p w14:paraId="4194069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0.014*** (0.011, 0.018)</w:t>
            </w:r>
          </w:p>
        </w:tc>
        <w:tc>
          <w:tcPr>
            <w:tcW w:w="2059" w:type="dxa"/>
            <w:tcBorders>
              <w:top w:val="nil"/>
              <w:left w:val="nil"/>
              <w:bottom w:val="nil"/>
              <w:right w:val="nil"/>
            </w:tcBorders>
            <w:shd w:val="clear" w:color="auto" w:fill="auto"/>
            <w:noWrap/>
            <w:vAlign w:val="bottom"/>
            <w:hideMark/>
          </w:tcPr>
          <w:p w14:paraId="66CE853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0.198*** (0.149, 0.247)</w:t>
            </w:r>
          </w:p>
        </w:tc>
        <w:tc>
          <w:tcPr>
            <w:tcW w:w="2059" w:type="dxa"/>
            <w:tcBorders>
              <w:top w:val="nil"/>
              <w:left w:val="nil"/>
              <w:bottom w:val="nil"/>
              <w:right w:val="nil"/>
            </w:tcBorders>
            <w:shd w:val="clear" w:color="auto" w:fill="auto"/>
            <w:noWrap/>
            <w:vAlign w:val="bottom"/>
            <w:hideMark/>
          </w:tcPr>
          <w:p w14:paraId="1BD929B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482F6B13"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51009BD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Problem-drinking or drug-taking</w:t>
            </w:r>
          </w:p>
        </w:tc>
        <w:tc>
          <w:tcPr>
            <w:tcW w:w="2058" w:type="dxa"/>
            <w:tcBorders>
              <w:top w:val="nil"/>
              <w:left w:val="single" w:sz="4" w:space="0" w:color="auto"/>
              <w:bottom w:val="nil"/>
              <w:right w:val="nil"/>
            </w:tcBorders>
            <w:shd w:val="clear" w:color="auto" w:fill="auto"/>
            <w:noWrap/>
            <w:vAlign w:val="bottom"/>
            <w:hideMark/>
          </w:tcPr>
          <w:p w14:paraId="1F668D0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3C3DE352"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2D469216"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075F32E8"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6A30AABF"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681351A1" w14:textId="77777777" w:rsidR="00A80562" w:rsidRPr="00A80562" w:rsidRDefault="00A80562" w:rsidP="00A80562">
            <w:pPr>
              <w:spacing w:after="0" w:line="240" w:lineRule="auto"/>
              <w:jc w:val="left"/>
              <w:rPr>
                <w:rFonts w:eastAsia="Times New Roman"/>
                <w:lang w:eastAsia="en-GB"/>
              </w:rPr>
            </w:pPr>
          </w:p>
        </w:tc>
      </w:tr>
      <w:tr w:rsidR="00A80562" w:rsidRPr="00A80562" w14:paraId="37279876" w14:textId="77777777" w:rsidTr="00A80562">
        <w:trPr>
          <w:trHeight w:val="239"/>
        </w:trPr>
        <w:tc>
          <w:tcPr>
            <w:tcW w:w="237" w:type="dxa"/>
            <w:tcBorders>
              <w:top w:val="nil"/>
              <w:left w:val="nil"/>
              <w:bottom w:val="nil"/>
              <w:right w:val="nil"/>
            </w:tcBorders>
            <w:shd w:val="clear" w:color="auto" w:fill="auto"/>
            <w:noWrap/>
            <w:vAlign w:val="bottom"/>
            <w:hideMark/>
          </w:tcPr>
          <w:p w14:paraId="5E2B8CB8"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47C2605C"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06F78A6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24.88*** (23.21, 26.55)</w:t>
            </w:r>
          </w:p>
        </w:tc>
        <w:tc>
          <w:tcPr>
            <w:tcW w:w="2059" w:type="dxa"/>
            <w:tcBorders>
              <w:top w:val="nil"/>
              <w:left w:val="nil"/>
              <w:bottom w:val="nil"/>
              <w:right w:val="nil"/>
            </w:tcBorders>
            <w:shd w:val="clear" w:color="000000" w:fill="F2F2F2"/>
            <w:noWrap/>
            <w:vAlign w:val="bottom"/>
            <w:hideMark/>
          </w:tcPr>
          <w:p w14:paraId="618486B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-0.01 (-0.02, 0.01)</w:t>
            </w:r>
          </w:p>
        </w:tc>
        <w:tc>
          <w:tcPr>
            <w:tcW w:w="2059" w:type="dxa"/>
            <w:tcBorders>
              <w:top w:val="nil"/>
              <w:left w:val="nil"/>
              <w:bottom w:val="nil"/>
              <w:right w:val="nil"/>
            </w:tcBorders>
            <w:shd w:val="clear" w:color="000000" w:fill="F2F2F2"/>
            <w:noWrap/>
            <w:vAlign w:val="bottom"/>
            <w:hideMark/>
          </w:tcPr>
          <w:p w14:paraId="34315F1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-4.28*** (-6.42, -2.13)</w:t>
            </w:r>
          </w:p>
        </w:tc>
        <w:tc>
          <w:tcPr>
            <w:tcW w:w="2058" w:type="dxa"/>
            <w:tcBorders>
              <w:top w:val="nil"/>
              <w:left w:val="nil"/>
              <w:bottom w:val="nil"/>
              <w:right w:val="nil"/>
            </w:tcBorders>
            <w:shd w:val="clear" w:color="000000" w:fill="F2F2F2"/>
            <w:noWrap/>
            <w:vAlign w:val="bottom"/>
            <w:hideMark/>
          </w:tcPr>
          <w:p w14:paraId="6519E72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0.77*** (0.6, 0.93)</w:t>
            </w:r>
          </w:p>
        </w:tc>
        <w:tc>
          <w:tcPr>
            <w:tcW w:w="2059" w:type="dxa"/>
            <w:tcBorders>
              <w:top w:val="nil"/>
              <w:left w:val="nil"/>
              <w:bottom w:val="nil"/>
              <w:right w:val="nil"/>
            </w:tcBorders>
            <w:shd w:val="clear" w:color="000000" w:fill="F2F2F2"/>
            <w:noWrap/>
            <w:vAlign w:val="bottom"/>
            <w:hideMark/>
          </w:tcPr>
          <w:p w14:paraId="2DC6597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7.2*** (4.89, 9.52)</w:t>
            </w:r>
          </w:p>
        </w:tc>
        <w:tc>
          <w:tcPr>
            <w:tcW w:w="2059" w:type="dxa"/>
            <w:tcBorders>
              <w:top w:val="nil"/>
              <w:left w:val="nil"/>
              <w:bottom w:val="nil"/>
              <w:right w:val="nil"/>
            </w:tcBorders>
            <w:shd w:val="clear" w:color="000000" w:fill="F2F2F2"/>
            <w:noWrap/>
            <w:vAlign w:val="bottom"/>
            <w:hideMark/>
          </w:tcPr>
          <w:p w14:paraId="2D62822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02666E7B" w14:textId="77777777" w:rsidTr="00A80562">
        <w:trPr>
          <w:trHeight w:val="239"/>
        </w:trPr>
        <w:tc>
          <w:tcPr>
            <w:tcW w:w="237" w:type="dxa"/>
            <w:tcBorders>
              <w:top w:val="nil"/>
              <w:left w:val="nil"/>
              <w:bottom w:val="nil"/>
              <w:right w:val="nil"/>
            </w:tcBorders>
            <w:shd w:val="clear" w:color="auto" w:fill="auto"/>
            <w:noWrap/>
            <w:vAlign w:val="bottom"/>
            <w:hideMark/>
          </w:tcPr>
          <w:p w14:paraId="0510CA9A"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7039205A"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5A9B158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0.512*** (0.474, 0.551)</w:t>
            </w:r>
          </w:p>
        </w:tc>
        <w:tc>
          <w:tcPr>
            <w:tcW w:w="2059" w:type="dxa"/>
            <w:tcBorders>
              <w:top w:val="nil"/>
              <w:left w:val="nil"/>
              <w:bottom w:val="nil"/>
              <w:right w:val="nil"/>
            </w:tcBorders>
            <w:shd w:val="clear" w:color="auto" w:fill="auto"/>
            <w:noWrap/>
            <w:vAlign w:val="bottom"/>
            <w:hideMark/>
          </w:tcPr>
          <w:p w14:paraId="0A96C1F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c>
          <w:tcPr>
            <w:tcW w:w="2059" w:type="dxa"/>
            <w:tcBorders>
              <w:top w:val="nil"/>
              <w:left w:val="nil"/>
              <w:bottom w:val="nil"/>
              <w:right w:val="nil"/>
            </w:tcBorders>
            <w:shd w:val="clear" w:color="auto" w:fill="auto"/>
            <w:noWrap/>
            <w:vAlign w:val="bottom"/>
            <w:hideMark/>
          </w:tcPr>
          <w:p w14:paraId="549C620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-0.13*** (-0.18, -0.08)</w:t>
            </w:r>
          </w:p>
        </w:tc>
        <w:tc>
          <w:tcPr>
            <w:tcW w:w="2058" w:type="dxa"/>
            <w:tcBorders>
              <w:top w:val="nil"/>
              <w:left w:val="nil"/>
              <w:bottom w:val="nil"/>
              <w:right w:val="nil"/>
            </w:tcBorders>
            <w:shd w:val="clear" w:color="auto" w:fill="auto"/>
            <w:noWrap/>
            <w:vAlign w:val="bottom"/>
            <w:hideMark/>
          </w:tcPr>
          <w:p w14:paraId="0E6A321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0.02*** (0.016, 0.024)</w:t>
            </w:r>
          </w:p>
        </w:tc>
        <w:tc>
          <w:tcPr>
            <w:tcW w:w="2059" w:type="dxa"/>
            <w:tcBorders>
              <w:top w:val="nil"/>
              <w:left w:val="nil"/>
              <w:bottom w:val="nil"/>
              <w:right w:val="nil"/>
            </w:tcBorders>
            <w:shd w:val="clear" w:color="auto" w:fill="auto"/>
            <w:noWrap/>
            <w:vAlign w:val="bottom"/>
            <w:hideMark/>
          </w:tcPr>
          <w:p w14:paraId="1B114E8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0.172*** (0.118, 0.226)</w:t>
            </w:r>
          </w:p>
        </w:tc>
        <w:tc>
          <w:tcPr>
            <w:tcW w:w="2059" w:type="dxa"/>
            <w:tcBorders>
              <w:top w:val="nil"/>
              <w:left w:val="nil"/>
              <w:bottom w:val="nil"/>
              <w:right w:val="nil"/>
            </w:tcBorders>
            <w:shd w:val="clear" w:color="auto" w:fill="auto"/>
            <w:noWrap/>
            <w:vAlign w:val="bottom"/>
            <w:hideMark/>
          </w:tcPr>
          <w:p w14:paraId="01FDD87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0AF3F2F1"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2EA913F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Cognitive problems</w:t>
            </w:r>
          </w:p>
        </w:tc>
        <w:tc>
          <w:tcPr>
            <w:tcW w:w="2058" w:type="dxa"/>
            <w:tcBorders>
              <w:top w:val="nil"/>
              <w:left w:val="single" w:sz="4" w:space="0" w:color="auto"/>
              <w:bottom w:val="nil"/>
              <w:right w:val="nil"/>
            </w:tcBorders>
            <w:shd w:val="clear" w:color="auto" w:fill="auto"/>
            <w:noWrap/>
            <w:vAlign w:val="bottom"/>
            <w:hideMark/>
          </w:tcPr>
          <w:p w14:paraId="276FCCC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0710EA7C"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2F003CE3"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372C9FE4"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45FEB5FC"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57985B50" w14:textId="77777777" w:rsidR="00A80562" w:rsidRPr="00A80562" w:rsidRDefault="00A80562" w:rsidP="00A80562">
            <w:pPr>
              <w:spacing w:after="0" w:line="240" w:lineRule="auto"/>
              <w:jc w:val="left"/>
              <w:rPr>
                <w:rFonts w:eastAsia="Times New Roman"/>
                <w:lang w:eastAsia="en-GB"/>
              </w:rPr>
            </w:pPr>
          </w:p>
        </w:tc>
      </w:tr>
      <w:tr w:rsidR="00A80562" w:rsidRPr="00A80562" w14:paraId="05153F02" w14:textId="77777777" w:rsidTr="00A80562">
        <w:trPr>
          <w:trHeight w:val="239"/>
        </w:trPr>
        <w:tc>
          <w:tcPr>
            <w:tcW w:w="237" w:type="dxa"/>
            <w:tcBorders>
              <w:top w:val="nil"/>
              <w:left w:val="nil"/>
              <w:bottom w:val="nil"/>
              <w:right w:val="nil"/>
            </w:tcBorders>
            <w:shd w:val="clear" w:color="auto" w:fill="auto"/>
            <w:noWrap/>
            <w:vAlign w:val="bottom"/>
            <w:hideMark/>
          </w:tcPr>
          <w:p w14:paraId="4BBBCA16"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7E449338"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27D0B46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45.17*** (43.05, 47.29)</w:t>
            </w:r>
          </w:p>
        </w:tc>
        <w:tc>
          <w:tcPr>
            <w:tcW w:w="2059" w:type="dxa"/>
            <w:tcBorders>
              <w:top w:val="nil"/>
              <w:left w:val="nil"/>
              <w:bottom w:val="nil"/>
              <w:right w:val="nil"/>
            </w:tcBorders>
            <w:shd w:val="clear" w:color="000000" w:fill="F2F2F2"/>
            <w:noWrap/>
            <w:vAlign w:val="bottom"/>
            <w:hideMark/>
          </w:tcPr>
          <w:p w14:paraId="0CA553A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-0.02* (-0.03, 0)</w:t>
            </w:r>
          </w:p>
        </w:tc>
        <w:tc>
          <w:tcPr>
            <w:tcW w:w="2059" w:type="dxa"/>
            <w:tcBorders>
              <w:top w:val="nil"/>
              <w:left w:val="nil"/>
              <w:bottom w:val="nil"/>
              <w:right w:val="nil"/>
            </w:tcBorders>
            <w:shd w:val="clear" w:color="000000" w:fill="F2F2F2"/>
            <w:noWrap/>
            <w:vAlign w:val="bottom"/>
            <w:hideMark/>
          </w:tcPr>
          <w:p w14:paraId="3D86A95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-3.25* (-5.97, -0.52)</w:t>
            </w:r>
          </w:p>
        </w:tc>
        <w:tc>
          <w:tcPr>
            <w:tcW w:w="2058" w:type="dxa"/>
            <w:tcBorders>
              <w:top w:val="nil"/>
              <w:left w:val="nil"/>
              <w:bottom w:val="nil"/>
              <w:right w:val="nil"/>
            </w:tcBorders>
            <w:shd w:val="clear" w:color="000000" w:fill="F2F2F2"/>
            <w:noWrap/>
            <w:vAlign w:val="bottom"/>
            <w:hideMark/>
          </w:tcPr>
          <w:p w14:paraId="721A9A7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0.62*** (0.41, 0.83)</w:t>
            </w:r>
          </w:p>
        </w:tc>
        <w:tc>
          <w:tcPr>
            <w:tcW w:w="2059" w:type="dxa"/>
            <w:tcBorders>
              <w:top w:val="nil"/>
              <w:left w:val="nil"/>
              <w:bottom w:val="nil"/>
              <w:right w:val="nil"/>
            </w:tcBorders>
            <w:shd w:val="clear" w:color="000000" w:fill="F2F2F2"/>
            <w:noWrap/>
            <w:vAlign w:val="bottom"/>
            <w:hideMark/>
          </w:tcPr>
          <w:p w14:paraId="01A47B6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6.03*** (3.09, 8.96)</w:t>
            </w:r>
          </w:p>
        </w:tc>
        <w:tc>
          <w:tcPr>
            <w:tcW w:w="2059" w:type="dxa"/>
            <w:tcBorders>
              <w:top w:val="nil"/>
              <w:left w:val="nil"/>
              <w:bottom w:val="nil"/>
              <w:right w:val="nil"/>
            </w:tcBorders>
            <w:shd w:val="clear" w:color="000000" w:fill="F2F2F2"/>
            <w:noWrap/>
            <w:vAlign w:val="bottom"/>
            <w:hideMark/>
          </w:tcPr>
          <w:p w14:paraId="1E1E224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377990CE" w14:textId="77777777" w:rsidTr="00A80562">
        <w:trPr>
          <w:trHeight w:val="239"/>
        </w:trPr>
        <w:tc>
          <w:tcPr>
            <w:tcW w:w="237" w:type="dxa"/>
            <w:tcBorders>
              <w:top w:val="nil"/>
              <w:left w:val="nil"/>
              <w:bottom w:val="nil"/>
              <w:right w:val="nil"/>
            </w:tcBorders>
            <w:shd w:val="clear" w:color="auto" w:fill="auto"/>
            <w:noWrap/>
            <w:vAlign w:val="bottom"/>
            <w:hideMark/>
          </w:tcPr>
          <w:p w14:paraId="1B1EE677"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0B7C1DF1"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339552F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0.769*** (0.722, 0.815)</w:t>
            </w:r>
          </w:p>
        </w:tc>
        <w:tc>
          <w:tcPr>
            <w:tcW w:w="2059" w:type="dxa"/>
            <w:tcBorders>
              <w:top w:val="nil"/>
              <w:left w:val="nil"/>
              <w:bottom w:val="nil"/>
              <w:right w:val="nil"/>
            </w:tcBorders>
            <w:shd w:val="clear" w:color="auto" w:fill="auto"/>
            <w:noWrap/>
            <w:vAlign w:val="bottom"/>
            <w:hideMark/>
          </w:tcPr>
          <w:p w14:paraId="029BEC7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(-0.001, 0)</w:t>
            </w:r>
          </w:p>
        </w:tc>
        <w:tc>
          <w:tcPr>
            <w:tcW w:w="2059" w:type="dxa"/>
            <w:tcBorders>
              <w:top w:val="nil"/>
              <w:left w:val="nil"/>
              <w:bottom w:val="nil"/>
              <w:right w:val="nil"/>
            </w:tcBorders>
            <w:shd w:val="clear" w:color="auto" w:fill="auto"/>
            <w:noWrap/>
            <w:vAlign w:val="bottom"/>
            <w:hideMark/>
          </w:tcPr>
          <w:p w14:paraId="32CA50B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-0.099** (-0.159, -0.039)</w:t>
            </w:r>
          </w:p>
        </w:tc>
        <w:tc>
          <w:tcPr>
            <w:tcW w:w="2058" w:type="dxa"/>
            <w:tcBorders>
              <w:top w:val="nil"/>
              <w:left w:val="nil"/>
              <w:bottom w:val="nil"/>
              <w:right w:val="nil"/>
            </w:tcBorders>
            <w:shd w:val="clear" w:color="auto" w:fill="auto"/>
            <w:noWrap/>
            <w:vAlign w:val="bottom"/>
            <w:hideMark/>
          </w:tcPr>
          <w:p w14:paraId="1686DA9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0.017*** (0.013, 0.022)</w:t>
            </w:r>
          </w:p>
        </w:tc>
        <w:tc>
          <w:tcPr>
            <w:tcW w:w="2059" w:type="dxa"/>
            <w:tcBorders>
              <w:top w:val="nil"/>
              <w:left w:val="nil"/>
              <w:bottom w:val="nil"/>
              <w:right w:val="nil"/>
            </w:tcBorders>
            <w:shd w:val="clear" w:color="auto" w:fill="auto"/>
            <w:noWrap/>
            <w:vAlign w:val="bottom"/>
            <w:hideMark/>
          </w:tcPr>
          <w:p w14:paraId="4E7C360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0.16*** (0.095, 0.224)</w:t>
            </w:r>
          </w:p>
        </w:tc>
        <w:tc>
          <w:tcPr>
            <w:tcW w:w="2059" w:type="dxa"/>
            <w:tcBorders>
              <w:top w:val="nil"/>
              <w:left w:val="nil"/>
              <w:bottom w:val="nil"/>
              <w:right w:val="nil"/>
            </w:tcBorders>
            <w:shd w:val="clear" w:color="auto" w:fill="auto"/>
            <w:noWrap/>
            <w:vAlign w:val="bottom"/>
            <w:hideMark/>
          </w:tcPr>
          <w:p w14:paraId="0E32372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3F747B85"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4DB501E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Physical illness or disability or disability problems</w:t>
            </w:r>
          </w:p>
        </w:tc>
        <w:tc>
          <w:tcPr>
            <w:tcW w:w="2058" w:type="dxa"/>
            <w:tcBorders>
              <w:top w:val="nil"/>
              <w:left w:val="single" w:sz="4" w:space="0" w:color="auto"/>
              <w:bottom w:val="nil"/>
              <w:right w:val="nil"/>
            </w:tcBorders>
            <w:shd w:val="clear" w:color="auto" w:fill="auto"/>
            <w:noWrap/>
            <w:vAlign w:val="bottom"/>
            <w:hideMark/>
          </w:tcPr>
          <w:p w14:paraId="3417F22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15B1DB8D"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63405CBA"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373247BA"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1EF68396"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7222E33C" w14:textId="77777777" w:rsidR="00A80562" w:rsidRPr="00A80562" w:rsidRDefault="00A80562" w:rsidP="00A80562">
            <w:pPr>
              <w:spacing w:after="0" w:line="240" w:lineRule="auto"/>
              <w:jc w:val="left"/>
              <w:rPr>
                <w:rFonts w:eastAsia="Times New Roman"/>
                <w:lang w:eastAsia="en-GB"/>
              </w:rPr>
            </w:pPr>
          </w:p>
        </w:tc>
      </w:tr>
      <w:tr w:rsidR="00A80562" w:rsidRPr="00A80562" w14:paraId="7A4AEDAD" w14:textId="77777777" w:rsidTr="00A80562">
        <w:trPr>
          <w:trHeight w:val="239"/>
        </w:trPr>
        <w:tc>
          <w:tcPr>
            <w:tcW w:w="237" w:type="dxa"/>
            <w:tcBorders>
              <w:top w:val="nil"/>
              <w:left w:val="nil"/>
              <w:bottom w:val="nil"/>
              <w:right w:val="nil"/>
            </w:tcBorders>
            <w:shd w:val="clear" w:color="auto" w:fill="auto"/>
            <w:noWrap/>
            <w:vAlign w:val="bottom"/>
            <w:hideMark/>
          </w:tcPr>
          <w:p w14:paraId="72B36791"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6799261A"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79579A2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51.82*** (49.41, 54.22)</w:t>
            </w:r>
          </w:p>
        </w:tc>
        <w:tc>
          <w:tcPr>
            <w:tcW w:w="2059" w:type="dxa"/>
            <w:tcBorders>
              <w:top w:val="nil"/>
              <w:left w:val="nil"/>
              <w:bottom w:val="nil"/>
              <w:right w:val="nil"/>
            </w:tcBorders>
            <w:shd w:val="clear" w:color="000000" w:fill="F2F2F2"/>
            <w:noWrap/>
            <w:vAlign w:val="bottom"/>
            <w:hideMark/>
          </w:tcPr>
          <w:p w14:paraId="30C264F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(-0.02, 0.01)</w:t>
            </w:r>
          </w:p>
        </w:tc>
        <w:tc>
          <w:tcPr>
            <w:tcW w:w="2059" w:type="dxa"/>
            <w:tcBorders>
              <w:top w:val="nil"/>
              <w:left w:val="nil"/>
              <w:bottom w:val="nil"/>
              <w:right w:val="nil"/>
            </w:tcBorders>
            <w:shd w:val="clear" w:color="000000" w:fill="F2F2F2"/>
            <w:noWrap/>
            <w:vAlign w:val="bottom"/>
            <w:hideMark/>
          </w:tcPr>
          <w:p w14:paraId="2CA7858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6.95*** (3.87, 10.04)</w:t>
            </w:r>
          </w:p>
        </w:tc>
        <w:tc>
          <w:tcPr>
            <w:tcW w:w="2058" w:type="dxa"/>
            <w:tcBorders>
              <w:top w:val="nil"/>
              <w:left w:val="nil"/>
              <w:bottom w:val="nil"/>
              <w:right w:val="nil"/>
            </w:tcBorders>
            <w:shd w:val="clear" w:color="000000" w:fill="F2F2F2"/>
            <w:noWrap/>
            <w:vAlign w:val="bottom"/>
            <w:hideMark/>
          </w:tcPr>
          <w:p w14:paraId="31BAA8A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-0.54*** (-0.78, -0.3)</w:t>
            </w:r>
          </w:p>
        </w:tc>
        <w:tc>
          <w:tcPr>
            <w:tcW w:w="2059" w:type="dxa"/>
            <w:tcBorders>
              <w:top w:val="nil"/>
              <w:left w:val="nil"/>
              <w:bottom w:val="nil"/>
              <w:right w:val="nil"/>
            </w:tcBorders>
            <w:shd w:val="clear" w:color="000000" w:fill="F2F2F2"/>
            <w:noWrap/>
            <w:vAlign w:val="bottom"/>
            <w:hideMark/>
          </w:tcPr>
          <w:p w14:paraId="60E48D8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-1.16 (-4.49, 2.17)</w:t>
            </w:r>
          </w:p>
        </w:tc>
        <w:tc>
          <w:tcPr>
            <w:tcW w:w="2059" w:type="dxa"/>
            <w:tcBorders>
              <w:top w:val="nil"/>
              <w:left w:val="nil"/>
              <w:bottom w:val="nil"/>
              <w:right w:val="nil"/>
            </w:tcBorders>
            <w:shd w:val="clear" w:color="000000" w:fill="F2F2F2"/>
            <w:noWrap/>
            <w:vAlign w:val="bottom"/>
            <w:hideMark/>
          </w:tcPr>
          <w:p w14:paraId="3B16F1E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59162ED2" w14:textId="77777777" w:rsidTr="00A80562">
        <w:trPr>
          <w:trHeight w:val="239"/>
        </w:trPr>
        <w:tc>
          <w:tcPr>
            <w:tcW w:w="237" w:type="dxa"/>
            <w:tcBorders>
              <w:top w:val="nil"/>
              <w:left w:val="nil"/>
              <w:bottom w:val="nil"/>
              <w:right w:val="nil"/>
            </w:tcBorders>
            <w:shd w:val="clear" w:color="auto" w:fill="auto"/>
            <w:noWrap/>
            <w:vAlign w:val="bottom"/>
            <w:hideMark/>
          </w:tcPr>
          <w:p w14:paraId="278CFFFC"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67451D05"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617724A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1.027*** (0.979, 1.076)</w:t>
            </w:r>
          </w:p>
        </w:tc>
        <w:tc>
          <w:tcPr>
            <w:tcW w:w="2059" w:type="dxa"/>
            <w:tcBorders>
              <w:top w:val="nil"/>
              <w:left w:val="nil"/>
              <w:bottom w:val="nil"/>
              <w:right w:val="nil"/>
            </w:tcBorders>
            <w:shd w:val="clear" w:color="auto" w:fill="auto"/>
            <w:noWrap/>
            <w:vAlign w:val="bottom"/>
            <w:hideMark/>
          </w:tcPr>
          <w:p w14:paraId="32C6F53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(-0.001, 0)</w:t>
            </w:r>
          </w:p>
        </w:tc>
        <w:tc>
          <w:tcPr>
            <w:tcW w:w="2059" w:type="dxa"/>
            <w:tcBorders>
              <w:top w:val="nil"/>
              <w:left w:val="nil"/>
              <w:bottom w:val="nil"/>
              <w:right w:val="nil"/>
            </w:tcBorders>
            <w:shd w:val="clear" w:color="auto" w:fill="auto"/>
            <w:noWrap/>
            <w:vAlign w:val="bottom"/>
            <w:hideMark/>
          </w:tcPr>
          <w:p w14:paraId="15B9F5D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0.06* (0.01, 0.109)</w:t>
            </w:r>
          </w:p>
        </w:tc>
        <w:tc>
          <w:tcPr>
            <w:tcW w:w="2058" w:type="dxa"/>
            <w:tcBorders>
              <w:top w:val="nil"/>
              <w:left w:val="nil"/>
              <w:bottom w:val="nil"/>
              <w:right w:val="nil"/>
            </w:tcBorders>
            <w:shd w:val="clear" w:color="auto" w:fill="auto"/>
            <w:noWrap/>
            <w:vAlign w:val="bottom"/>
            <w:hideMark/>
          </w:tcPr>
          <w:p w14:paraId="1A189E5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0.008*** (0.005, 0.01)</w:t>
            </w:r>
          </w:p>
        </w:tc>
        <w:tc>
          <w:tcPr>
            <w:tcW w:w="2059" w:type="dxa"/>
            <w:tcBorders>
              <w:top w:val="nil"/>
              <w:left w:val="nil"/>
              <w:bottom w:val="nil"/>
              <w:right w:val="nil"/>
            </w:tcBorders>
            <w:shd w:val="clear" w:color="auto" w:fill="auto"/>
            <w:noWrap/>
            <w:vAlign w:val="bottom"/>
            <w:hideMark/>
          </w:tcPr>
          <w:p w14:paraId="3D7FE8D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0.172*** (0.12, 0.224)</w:t>
            </w:r>
          </w:p>
        </w:tc>
        <w:tc>
          <w:tcPr>
            <w:tcW w:w="2059" w:type="dxa"/>
            <w:tcBorders>
              <w:top w:val="nil"/>
              <w:left w:val="nil"/>
              <w:bottom w:val="nil"/>
              <w:right w:val="nil"/>
            </w:tcBorders>
            <w:shd w:val="clear" w:color="auto" w:fill="auto"/>
            <w:noWrap/>
            <w:vAlign w:val="bottom"/>
            <w:hideMark/>
          </w:tcPr>
          <w:p w14:paraId="6F13790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(1, 0, 0)</w:t>
            </w:r>
          </w:p>
        </w:tc>
      </w:tr>
      <w:tr w:rsidR="00A80562" w:rsidRPr="00A80562" w14:paraId="35E024A9"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430F1A1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Problems associated with hallucinations and delusions</w:t>
            </w:r>
          </w:p>
        </w:tc>
        <w:tc>
          <w:tcPr>
            <w:tcW w:w="2058" w:type="dxa"/>
            <w:tcBorders>
              <w:top w:val="nil"/>
              <w:left w:val="single" w:sz="4" w:space="0" w:color="auto"/>
              <w:bottom w:val="nil"/>
              <w:right w:val="nil"/>
            </w:tcBorders>
            <w:shd w:val="clear" w:color="auto" w:fill="auto"/>
            <w:noWrap/>
            <w:vAlign w:val="bottom"/>
            <w:hideMark/>
          </w:tcPr>
          <w:p w14:paraId="35698C9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2D44918B"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3A905CE9"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4F492133"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438B711A"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577EC889" w14:textId="77777777" w:rsidR="00A80562" w:rsidRPr="00A80562" w:rsidRDefault="00A80562" w:rsidP="00A80562">
            <w:pPr>
              <w:spacing w:after="0" w:line="240" w:lineRule="auto"/>
              <w:jc w:val="left"/>
              <w:rPr>
                <w:rFonts w:eastAsia="Times New Roman"/>
                <w:lang w:eastAsia="en-GB"/>
              </w:rPr>
            </w:pPr>
          </w:p>
        </w:tc>
      </w:tr>
      <w:tr w:rsidR="00A80562" w:rsidRPr="00A80562" w14:paraId="64087DC7" w14:textId="77777777" w:rsidTr="00A80562">
        <w:trPr>
          <w:trHeight w:val="239"/>
        </w:trPr>
        <w:tc>
          <w:tcPr>
            <w:tcW w:w="237" w:type="dxa"/>
            <w:tcBorders>
              <w:top w:val="nil"/>
              <w:left w:val="nil"/>
              <w:bottom w:val="nil"/>
              <w:right w:val="nil"/>
            </w:tcBorders>
            <w:shd w:val="clear" w:color="auto" w:fill="auto"/>
            <w:noWrap/>
            <w:vAlign w:val="bottom"/>
            <w:hideMark/>
          </w:tcPr>
          <w:p w14:paraId="72EB28A7"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428396E3"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4D4064F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67.68*** (66.47, 68.9)</w:t>
            </w:r>
          </w:p>
        </w:tc>
        <w:tc>
          <w:tcPr>
            <w:tcW w:w="2059" w:type="dxa"/>
            <w:tcBorders>
              <w:top w:val="nil"/>
              <w:left w:val="nil"/>
              <w:bottom w:val="nil"/>
              <w:right w:val="nil"/>
            </w:tcBorders>
            <w:shd w:val="clear" w:color="000000" w:fill="F2F2F2"/>
            <w:noWrap/>
            <w:vAlign w:val="bottom"/>
            <w:hideMark/>
          </w:tcPr>
          <w:p w14:paraId="3A6F5F0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-0.03*** (-0.04, -0.03)</w:t>
            </w:r>
          </w:p>
        </w:tc>
        <w:tc>
          <w:tcPr>
            <w:tcW w:w="2059" w:type="dxa"/>
            <w:tcBorders>
              <w:top w:val="nil"/>
              <w:left w:val="nil"/>
              <w:bottom w:val="nil"/>
              <w:right w:val="nil"/>
            </w:tcBorders>
            <w:shd w:val="clear" w:color="000000" w:fill="F2F2F2"/>
            <w:noWrap/>
            <w:vAlign w:val="bottom"/>
            <w:hideMark/>
          </w:tcPr>
          <w:p w14:paraId="5D9C976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3.4*** (1.99, 4.81)</w:t>
            </w:r>
          </w:p>
        </w:tc>
        <w:tc>
          <w:tcPr>
            <w:tcW w:w="2058" w:type="dxa"/>
            <w:tcBorders>
              <w:top w:val="nil"/>
              <w:left w:val="nil"/>
              <w:bottom w:val="nil"/>
              <w:right w:val="nil"/>
            </w:tcBorders>
            <w:shd w:val="clear" w:color="000000" w:fill="F2F2F2"/>
            <w:noWrap/>
            <w:vAlign w:val="bottom"/>
            <w:hideMark/>
          </w:tcPr>
          <w:p w14:paraId="5B6A50A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-0.18** (-0.31, -0.04)</w:t>
            </w:r>
          </w:p>
        </w:tc>
        <w:tc>
          <w:tcPr>
            <w:tcW w:w="2059" w:type="dxa"/>
            <w:tcBorders>
              <w:top w:val="nil"/>
              <w:left w:val="nil"/>
              <w:bottom w:val="nil"/>
              <w:right w:val="nil"/>
            </w:tcBorders>
            <w:shd w:val="clear" w:color="000000" w:fill="F2F2F2"/>
            <w:noWrap/>
            <w:vAlign w:val="bottom"/>
            <w:hideMark/>
          </w:tcPr>
          <w:p w14:paraId="18A4A32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0.77 (-0.6, 2.13)</w:t>
            </w:r>
          </w:p>
        </w:tc>
        <w:tc>
          <w:tcPr>
            <w:tcW w:w="2059" w:type="dxa"/>
            <w:tcBorders>
              <w:top w:val="nil"/>
              <w:left w:val="nil"/>
              <w:bottom w:val="nil"/>
              <w:right w:val="nil"/>
            </w:tcBorders>
            <w:shd w:val="clear" w:color="000000" w:fill="F2F2F2"/>
            <w:noWrap/>
            <w:vAlign w:val="bottom"/>
            <w:hideMark/>
          </w:tcPr>
          <w:p w14:paraId="7F15025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(4, 0, 2)</w:t>
            </w:r>
          </w:p>
        </w:tc>
      </w:tr>
      <w:tr w:rsidR="00A80562" w:rsidRPr="00A80562" w14:paraId="42FE82B8" w14:textId="77777777" w:rsidTr="00A80562">
        <w:trPr>
          <w:trHeight w:val="239"/>
        </w:trPr>
        <w:tc>
          <w:tcPr>
            <w:tcW w:w="237" w:type="dxa"/>
            <w:tcBorders>
              <w:top w:val="nil"/>
              <w:left w:val="nil"/>
              <w:bottom w:val="nil"/>
              <w:right w:val="nil"/>
            </w:tcBorders>
            <w:shd w:val="clear" w:color="auto" w:fill="auto"/>
            <w:noWrap/>
            <w:vAlign w:val="bottom"/>
            <w:hideMark/>
          </w:tcPr>
          <w:p w14:paraId="34CE2CF6"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649FA1E5"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5B12C7C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1.591*** (1.535, 1.647)</w:t>
            </w:r>
          </w:p>
        </w:tc>
        <w:tc>
          <w:tcPr>
            <w:tcW w:w="2059" w:type="dxa"/>
            <w:tcBorders>
              <w:top w:val="nil"/>
              <w:left w:val="nil"/>
              <w:bottom w:val="nil"/>
              <w:right w:val="nil"/>
            </w:tcBorders>
            <w:shd w:val="clear" w:color="auto" w:fill="auto"/>
            <w:noWrap/>
            <w:vAlign w:val="bottom"/>
            <w:hideMark/>
          </w:tcPr>
          <w:p w14:paraId="7A87D5B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-0.001*** (-0.002, -0.001)</w:t>
            </w:r>
          </w:p>
        </w:tc>
        <w:tc>
          <w:tcPr>
            <w:tcW w:w="2059" w:type="dxa"/>
            <w:tcBorders>
              <w:top w:val="nil"/>
              <w:left w:val="nil"/>
              <w:bottom w:val="nil"/>
              <w:right w:val="nil"/>
            </w:tcBorders>
            <w:shd w:val="clear" w:color="auto" w:fill="auto"/>
            <w:noWrap/>
            <w:vAlign w:val="bottom"/>
            <w:hideMark/>
          </w:tcPr>
          <w:p w14:paraId="481FC4C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0.052 (-0.019, 0.124)</w:t>
            </w:r>
          </w:p>
        </w:tc>
        <w:tc>
          <w:tcPr>
            <w:tcW w:w="2058" w:type="dxa"/>
            <w:tcBorders>
              <w:top w:val="nil"/>
              <w:left w:val="nil"/>
              <w:bottom w:val="nil"/>
              <w:right w:val="nil"/>
            </w:tcBorders>
            <w:shd w:val="clear" w:color="auto" w:fill="auto"/>
            <w:noWrap/>
            <w:vAlign w:val="bottom"/>
            <w:hideMark/>
          </w:tcPr>
          <w:p w14:paraId="05CD99C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-0.003 (-0.009, 0.002)</w:t>
            </w:r>
          </w:p>
        </w:tc>
        <w:tc>
          <w:tcPr>
            <w:tcW w:w="2059" w:type="dxa"/>
            <w:tcBorders>
              <w:top w:val="nil"/>
              <w:left w:val="nil"/>
              <w:bottom w:val="nil"/>
              <w:right w:val="nil"/>
            </w:tcBorders>
            <w:shd w:val="clear" w:color="auto" w:fill="auto"/>
            <w:noWrap/>
            <w:vAlign w:val="bottom"/>
            <w:hideMark/>
          </w:tcPr>
          <w:p w14:paraId="3B92498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0.001 (-0.076, 0.078)</w:t>
            </w:r>
          </w:p>
        </w:tc>
        <w:tc>
          <w:tcPr>
            <w:tcW w:w="2059" w:type="dxa"/>
            <w:tcBorders>
              <w:top w:val="nil"/>
              <w:left w:val="nil"/>
              <w:bottom w:val="nil"/>
              <w:right w:val="nil"/>
            </w:tcBorders>
            <w:shd w:val="clear" w:color="auto" w:fill="auto"/>
            <w:noWrap/>
            <w:vAlign w:val="bottom"/>
            <w:hideMark/>
          </w:tcPr>
          <w:p w14:paraId="761C9EA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291CBFE0"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38E9ACF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Problems with depressed mood</w:t>
            </w:r>
          </w:p>
        </w:tc>
        <w:tc>
          <w:tcPr>
            <w:tcW w:w="2058" w:type="dxa"/>
            <w:tcBorders>
              <w:top w:val="nil"/>
              <w:left w:val="single" w:sz="4" w:space="0" w:color="auto"/>
              <w:bottom w:val="nil"/>
              <w:right w:val="nil"/>
            </w:tcBorders>
            <w:shd w:val="clear" w:color="auto" w:fill="auto"/>
            <w:noWrap/>
            <w:vAlign w:val="bottom"/>
            <w:hideMark/>
          </w:tcPr>
          <w:p w14:paraId="779DCE6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7C035E17"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283D8621"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5B4F5782"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0DDD06EC"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735F4667" w14:textId="77777777" w:rsidR="00A80562" w:rsidRPr="00A80562" w:rsidRDefault="00A80562" w:rsidP="00A80562">
            <w:pPr>
              <w:spacing w:after="0" w:line="240" w:lineRule="auto"/>
              <w:jc w:val="left"/>
              <w:rPr>
                <w:rFonts w:eastAsia="Times New Roman"/>
                <w:lang w:eastAsia="en-GB"/>
              </w:rPr>
            </w:pPr>
          </w:p>
        </w:tc>
      </w:tr>
      <w:tr w:rsidR="00A80562" w:rsidRPr="00A80562" w14:paraId="210BF673" w14:textId="77777777" w:rsidTr="00A80562">
        <w:trPr>
          <w:trHeight w:val="239"/>
        </w:trPr>
        <w:tc>
          <w:tcPr>
            <w:tcW w:w="237" w:type="dxa"/>
            <w:tcBorders>
              <w:top w:val="nil"/>
              <w:left w:val="nil"/>
              <w:bottom w:val="nil"/>
              <w:right w:val="nil"/>
            </w:tcBorders>
            <w:shd w:val="clear" w:color="auto" w:fill="auto"/>
            <w:noWrap/>
            <w:vAlign w:val="bottom"/>
            <w:hideMark/>
          </w:tcPr>
          <w:p w14:paraId="4EF9C1ED"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5E917ADC"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0E233AF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72.53*** (70.72, 74.34)</w:t>
            </w:r>
          </w:p>
        </w:tc>
        <w:tc>
          <w:tcPr>
            <w:tcW w:w="2059" w:type="dxa"/>
            <w:tcBorders>
              <w:top w:val="nil"/>
              <w:left w:val="nil"/>
              <w:bottom w:val="nil"/>
              <w:right w:val="nil"/>
            </w:tcBorders>
            <w:shd w:val="clear" w:color="000000" w:fill="F2F2F2"/>
            <w:noWrap/>
            <w:vAlign w:val="bottom"/>
            <w:hideMark/>
          </w:tcPr>
          <w:p w14:paraId="789AD96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-0.02** (-0.04, -0.01)</w:t>
            </w:r>
          </w:p>
        </w:tc>
        <w:tc>
          <w:tcPr>
            <w:tcW w:w="2059" w:type="dxa"/>
            <w:tcBorders>
              <w:top w:val="nil"/>
              <w:left w:val="nil"/>
              <w:bottom w:val="nil"/>
              <w:right w:val="nil"/>
            </w:tcBorders>
            <w:shd w:val="clear" w:color="000000" w:fill="F2F2F2"/>
            <w:noWrap/>
            <w:vAlign w:val="bottom"/>
            <w:hideMark/>
          </w:tcPr>
          <w:p w14:paraId="6793D21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5.25*** (2.92, 7.57)</w:t>
            </w:r>
          </w:p>
        </w:tc>
        <w:tc>
          <w:tcPr>
            <w:tcW w:w="2058" w:type="dxa"/>
            <w:tcBorders>
              <w:top w:val="nil"/>
              <w:left w:val="nil"/>
              <w:bottom w:val="nil"/>
              <w:right w:val="nil"/>
            </w:tcBorders>
            <w:shd w:val="clear" w:color="000000" w:fill="F2F2F2"/>
            <w:noWrap/>
            <w:vAlign w:val="bottom"/>
            <w:hideMark/>
          </w:tcPr>
          <w:p w14:paraId="2CEF655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-0.38*** (-0.56, -0.2)</w:t>
            </w:r>
          </w:p>
        </w:tc>
        <w:tc>
          <w:tcPr>
            <w:tcW w:w="2059" w:type="dxa"/>
            <w:tcBorders>
              <w:top w:val="nil"/>
              <w:left w:val="nil"/>
              <w:bottom w:val="nil"/>
              <w:right w:val="nil"/>
            </w:tcBorders>
            <w:shd w:val="clear" w:color="000000" w:fill="F2F2F2"/>
            <w:noWrap/>
            <w:vAlign w:val="bottom"/>
            <w:hideMark/>
          </w:tcPr>
          <w:p w14:paraId="770FA22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-0.45 (-2.96, 2.05)</w:t>
            </w:r>
          </w:p>
        </w:tc>
        <w:tc>
          <w:tcPr>
            <w:tcW w:w="2059" w:type="dxa"/>
            <w:tcBorders>
              <w:top w:val="nil"/>
              <w:left w:val="nil"/>
              <w:bottom w:val="nil"/>
              <w:right w:val="nil"/>
            </w:tcBorders>
            <w:shd w:val="clear" w:color="000000" w:fill="F2F2F2"/>
            <w:noWrap/>
            <w:vAlign w:val="bottom"/>
            <w:hideMark/>
          </w:tcPr>
          <w:p w14:paraId="2DCCB36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0CFB4B5E" w14:textId="77777777" w:rsidTr="00A80562">
        <w:trPr>
          <w:trHeight w:val="239"/>
        </w:trPr>
        <w:tc>
          <w:tcPr>
            <w:tcW w:w="237" w:type="dxa"/>
            <w:tcBorders>
              <w:top w:val="nil"/>
              <w:left w:val="nil"/>
              <w:bottom w:val="nil"/>
              <w:right w:val="nil"/>
            </w:tcBorders>
            <w:shd w:val="clear" w:color="auto" w:fill="auto"/>
            <w:noWrap/>
            <w:vAlign w:val="bottom"/>
            <w:hideMark/>
          </w:tcPr>
          <w:p w14:paraId="62FA66CD"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3B46BC30"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23AE3EA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1.446*** (1.405, 1.487)</w:t>
            </w:r>
          </w:p>
        </w:tc>
        <w:tc>
          <w:tcPr>
            <w:tcW w:w="2059" w:type="dxa"/>
            <w:tcBorders>
              <w:top w:val="nil"/>
              <w:left w:val="nil"/>
              <w:bottom w:val="nil"/>
              <w:right w:val="nil"/>
            </w:tcBorders>
            <w:shd w:val="clear" w:color="auto" w:fill="auto"/>
            <w:noWrap/>
            <w:vAlign w:val="bottom"/>
            <w:hideMark/>
          </w:tcPr>
          <w:p w14:paraId="6EA55B0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-0.001*** (-0.002, -0.001)</w:t>
            </w:r>
          </w:p>
        </w:tc>
        <w:tc>
          <w:tcPr>
            <w:tcW w:w="2059" w:type="dxa"/>
            <w:tcBorders>
              <w:top w:val="nil"/>
              <w:left w:val="nil"/>
              <w:bottom w:val="nil"/>
              <w:right w:val="nil"/>
            </w:tcBorders>
            <w:shd w:val="clear" w:color="auto" w:fill="auto"/>
            <w:noWrap/>
            <w:vAlign w:val="bottom"/>
            <w:hideMark/>
          </w:tcPr>
          <w:p w14:paraId="58A1689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0.145*** (0.093, 0.198)</w:t>
            </w:r>
          </w:p>
        </w:tc>
        <w:tc>
          <w:tcPr>
            <w:tcW w:w="2058" w:type="dxa"/>
            <w:tcBorders>
              <w:top w:val="nil"/>
              <w:left w:val="nil"/>
              <w:bottom w:val="nil"/>
              <w:right w:val="nil"/>
            </w:tcBorders>
            <w:shd w:val="clear" w:color="auto" w:fill="auto"/>
            <w:noWrap/>
            <w:vAlign w:val="bottom"/>
            <w:hideMark/>
          </w:tcPr>
          <w:p w14:paraId="4336554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-0.004* (-0.009, 0)</w:t>
            </w:r>
          </w:p>
        </w:tc>
        <w:tc>
          <w:tcPr>
            <w:tcW w:w="2059" w:type="dxa"/>
            <w:tcBorders>
              <w:top w:val="nil"/>
              <w:left w:val="nil"/>
              <w:bottom w:val="nil"/>
              <w:right w:val="nil"/>
            </w:tcBorders>
            <w:shd w:val="clear" w:color="auto" w:fill="auto"/>
            <w:noWrap/>
            <w:vAlign w:val="bottom"/>
            <w:hideMark/>
          </w:tcPr>
          <w:p w14:paraId="1672584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0.079** (0.023, 0.136)</w:t>
            </w:r>
          </w:p>
        </w:tc>
        <w:tc>
          <w:tcPr>
            <w:tcW w:w="2059" w:type="dxa"/>
            <w:tcBorders>
              <w:top w:val="nil"/>
              <w:left w:val="nil"/>
              <w:bottom w:val="nil"/>
              <w:right w:val="nil"/>
            </w:tcBorders>
            <w:shd w:val="clear" w:color="auto" w:fill="auto"/>
            <w:noWrap/>
            <w:vAlign w:val="bottom"/>
            <w:hideMark/>
          </w:tcPr>
          <w:p w14:paraId="3BB0E98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1B8353D6"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1F87038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Other mental and behavioural problems</w:t>
            </w:r>
          </w:p>
        </w:tc>
        <w:tc>
          <w:tcPr>
            <w:tcW w:w="2058" w:type="dxa"/>
            <w:tcBorders>
              <w:top w:val="nil"/>
              <w:left w:val="single" w:sz="4" w:space="0" w:color="auto"/>
              <w:bottom w:val="nil"/>
              <w:right w:val="nil"/>
            </w:tcBorders>
            <w:shd w:val="clear" w:color="auto" w:fill="auto"/>
            <w:noWrap/>
            <w:vAlign w:val="bottom"/>
            <w:hideMark/>
          </w:tcPr>
          <w:p w14:paraId="199F3C9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0CE451F0"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2E2818F0"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5351843B"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794AAB7D"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40A1D55E" w14:textId="77777777" w:rsidR="00A80562" w:rsidRPr="00A80562" w:rsidRDefault="00A80562" w:rsidP="00A80562">
            <w:pPr>
              <w:spacing w:after="0" w:line="240" w:lineRule="auto"/>
              <w:jc w:val="left"/>
              <w:rPr>
                <w:rFonts w:eastAsia="Times New Roman"/>
                <w:lang w:eastAsia="en-GB"/>
              </w:rPr>
            </w:pPr>
          </w:p>
        </w:tc>
      </w:tr>
      <w:tr w:rsidR="00A80562" w:rsidRPr="00A80562" w14:paraId="75928947" w14:textId="77777777" w:rsidTr="00A80562">
        <w:trPr>
          <w:trHeight w:val="239"/>
        </w:trPr>
        <w:tc>
          <w:tcPr>
            <w:tcW w:w="237" w:type="dxa"/>
            <w:tcBorders>
              <w:top w:val="nil"/>
              <w:left w:val="nil"/>
              <w:bottom w:val="nil"/>
              <w:right w:val="nil"/>
            </w:tcBorders>
            <w:shd w:val="clear" w:color="auto" w:fill="auto"/>
            <w:noWrap/>
            <w:vAlign w:val="bottom"/>
            <w:hideMark/>
          </w:tcPr>
          <w:p w14:paraId="183406AC"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1EF0A45E"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10DE604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77.86*** (75.94, 79.79)</w:t>
            </w:r>
          </w:p>
        </w:tc>
        <w:tc>
          <w:tcPr>
            <w:tcW w:w="2059" w:type="dxa"/>
            <w:tcBorders>
              <w:top w:val="nil"/>
              <w:left w:val="nil"/>
              <w:bottom w:val="nil"/>
              <w:right w:val="nil"/>
            </w:tcBorders>
            <w:shd w:val="clear" w:color="000000" w:fill="F2F2F2"/>
            <w:noWrap/>
            <w:vAlign w:val="bottom"/>
            <w:hideMark/>
          </w:tcPr>
          <w:p w14:paraId="3E1F304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(-0.01, 0.02)</w:t>
            </w:r>
          </w:p>
        </w:tc>
        <w:tc>
          <w:tcPr>
            <w:tcW w:w="2059" w:type="dxa"/>
            <w:tcBorders>
              <w:top w:val="nil"/>
              <w:left w:val="nil"/>
              <w:bottom w:val="nil"/>
              <w:right w:val="nil"/>
            </w:tcBorders>
            <w:shd w:val="clear" w:color="000000" w:fill="F2F2F2"/>
            <w:noWrap/>
            <w:vAlign w:val="bottom"/>
            <w:hideMark/>
          </w:tcPr>
          <w:p w14:paraId="4D8BA9A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-2.13 (-4.61, 0.35)</w:t>
            </w:r>
          </w:p>
        </w:tc>
        <w:tc>
          <w:tcPr>
            <w:tcW w:w="2058" w:type="dxa"/>
            <w:tcBorders>
              <w:top w:val="nil"/>
              <w:left w:val="nil"/>
              <w:bottom w:val="nil"/>
              <w:right w:val="nil"/>
            </w:tcBorders>
            <w:shd w:val="clear" w:color="000000" w:fill="F2F2F2"/>
            <w:noWrap/>
            <w:vAlign w:val="bottom"/>
            <w:hideMark/>
          </w:tcPr>
          <w:p w14:paraId="01F906D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-0.17 (-0.37, 0.02)</w:t>
            </w:r>
          </w:p>
        </w:tc>
        <w:tc>
          <w:tcPr>
            <w:tcW w:w="2059" w:type="dxa"/>
            <w:tcBorders>
              <w:top w:val="nil"/>
              <w:left w:val="nil"/>
              <w:bottom w:val="nil"/>
              <w:right w:val="nil"/>
            </w:tcBorders>
            <w:shd w:val="clear" w:color="000000" w:fill="F2F2F2"/>
            <w:noWrap/>
            <w:vAlign w:val="bottom"/>
            <w:hideMark/>
          </w:tcPr>
          <w:p w14:paraId="4987903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-4.7*** (-7.37, -2.03)</w:t>
            </w:r>
          </w:p>
        </w:tc>
        <w:tc>
          <w:tcPr>
            <w:tcW w:w="2059" w:type="dxa"/>
            <w:tcBorders>
              <w:top w:val="nil"/>
              <w:left w:val="nil"/>
              <w:bottom w:val="nil"/>
              <w:right w:val="nil"/>
            </w:tcBorders>
            <w:shd w:val="clear" w:color="000000" w:fill="F2F2F2"/>
            <w:noWrap/>
            <w:vAlign w:val="bottom"/>
            <w:hideMark/>
          </w:tcPr>
          <w:p w14:paraId="70B547D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43E0F8E5" w14:textId="77777777" w:rsidTr="00A80562">
        <w:trPr>
          <w:trHeight w:val="239"/>
        </w:trPr>
        <w:tc>
          <w:tcPr>
            <w:tcW w:w="237" w:type="dxa"/>
            <w:tcBorders>
              <w:top w:val="nil"/>
              <w:left w:val="nil"/>
              <w:bottom w:val="nil"/>
              <w:right w:val="nil"/>
            </w:tcBorders>
            <w:shd w:val="clear" w:color="auto" w:fill="auto"/>
            <w:noWrap/>
            <w:vAlign w:val="bottom"/>
            <w:hideMark/>
          </w:tcPr>
          <w:p w14:paraId="11A95837"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28A9ED5B"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1A03787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1.772*** (1.724, 1.821)</w:t>
            </w:r>
          </w:p>
        </w:tc>
        <w:tc>
          <w:tcPr>
            <w:tcW w:w="2059" w:type="dxa"/>
            <w:tcBorders>
              <w:top w:val="nil"/>
              <w:left w:val="nil"/>
              <w:bottom w:val="nil"/>
              <w:right w:val="nil"/>
            </w:tcBorders>
            <w:shd w:val="clear" w:color="auto" w:fill="auto"/>
            <w:noWrap/>
            <w:vAlign w:val="bottom"/>
            <w:hideMark/>
          </w:tcPr>
          <w:p w14:paraId="1230BD0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-0.001** (-0.001, 0)</w:t>
            </w:r>
          </w:p>
        </w:tc>
        <w:tc>
          <w:tcPr>
            <w:tcW w:w="2059" w:type="dxa"/>
            <w:tcBorders>
              <w:top w:val="nil"/>
              <w:left w:val="nil"/>
              <w:bottom w:val="nil"/>
              <w:right w:val="nil"/>
            </w:tcBorders>
            <w:shd w:val="clear" w:color="auto" w:fill="auto"/>
            <w:noWrap/>
            <w:vAlign w:val="bottom"/>
            <w:hideMark/>
          </w:tcPr>
          <w:p w14:paraId="72D17D6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-0.068* (-0.13, -0.005)</w:t>
            </w:r>
          </w:p>
        </w:tc>
        <w:tc>
          <w:tcPr>
            <w:tcW w:w="2058" w:type="dxa"/>
            <w:tcBorders>
              <w:top w:val="nil"/>
              <w:left w:val="nil"/>
              <w:bottom w:val="nil"/>
              <w:right w:val="nil"/>
            </w:tcBorders>
            <w:shd w:val="clear" w:color="auto" w:fill="auto"/>
            <w:noWrap/>
            <w:vAlign w:val="bottom"/>
            <w:hideMark/>
          </w:tcPr>
          <w:p w14:paraId="69C5B96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0.004 (-0.001, 0.009)</w:t>
            </w:r>
          </w:p>
        </w:tc>
        <w:tc>
          <w:tcPr>
            <w:tcW w:w="2059" w:type="dxa"/>
            <w:tcBorders>
              <w:top w:val="nil"/>
              <w:left w:val="nil"/>
              <w:bottom w:val="nil"/>
              <w:right w:val="nil"/>
            </w:tcBorders>
            <w:shd w:val="clear" w:color="auto" w:fill="auto"/>
            <w:noWrap/>
            <w:vAlign w:val="bottom"/>
            <w:hideMark/>
          </w:tcPr>
          <w:p w14:paraId="6166998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-0.01 (-0.078, 0.057)</w:t>
            </w:r>
          </w:p>
        </w:tc>
        <w:tc>
          <w:tcPr>
            <w:tcW w:w="2059" w:type="dxa"/>
            <w:tcBorders>
              <w:top w:val="nil"/>
              <w:left w:val="nil"/>
              <w:bottom w:val="nil"/>
              <w:right w:val="nil"/>
            </w:tcBorders>
            <w:shd w:val="clear" w:color="auto" w:fill="auto"/>
            <w:noWrap/>
            <w:vAlign w:val="bottom"/>
            <w:hideMark/>
          </w:tcPr>
          <w:p w14:paraId="381CCC9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7BB84824"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28B94CB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lastRenderedPageBreak/>
              <w:t>Problems with relationships:</w:t>
            </w:r>
          </w:p>
        </w:tc>
        <w:tc>
          <w:tcPr>
            <w:tcW w:w="2058" w:type="dxa"/>
            <w:tcBorders>
              <w:top w:val="nil"/>
              <w:left w:val="single" w:sz="4" w:space="0" w:color="auto"/>
              <w:bottom w:val="nil"/>
              <w:right w:val="nil"/>
            </w:tcBorders>
            <w:shd w:val="clear" w:color="auto" w:fill="auto"/>
            <w:noWrap/>
            <w:vAlign w:val="bottom"/>
            <w:hideMark/>
          </w:tcPr>
          <w:p w14:paraId="67C02AE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523A720D"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273634EA"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6598C6D4"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31109A58"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64FDE7F3" w14:textId="77777777" w:rsidR="00A80562" w:rsidRPr="00A80562" w:rsidRDefault="00A80562" w:rsidP="00A80562">
            <w:pPr>
              <w:spacing w:after="0" w:line="240" w:lineRule="auto"/>
              <w:jc w:val="left"/>
              <w:rPr>
                <w:rFonts w:eastAsia="Times New Roman"/>
                <w:lang w:eastAsia="en-GB"/>
              </w:rPr>
            </w:pPr>
          </w:p>
        </w:tc>
      </w:tr>
      <w:tr w:rsidR="00A80562" w:rsidRPr="00A80562" w14:paraId="4695ED1C" w14:textId="77777777" w:rsidTr="00A80562">
        <w:trPr>
          <w:trHeight w:val="239"/>
        </w:trPr>
        <w:tc>
          <w:tcPr>
            <w:tcW w:w="237" w:type="dxa"/>
            <w:tcBorders>
              <w:top w:val="nil"/>
              <w:left w:val="nil"/>
              <w:bottom w:val="nil"/>
              <w:right w:val="nil"/>
            </w:tcBorders>
            <w:shd w:val="clear" w:color="auto" w:fill="auto"/>
            <w:noWrap/>
            <w:vAlign w:val="bottom"/>
            <w:hideMark/>
          </w:tcPr>
          <w:p w14:paraId="67B47860"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117AD8EA"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30E03AE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67.11*** (65.35, 68.88)</w:t>
            </w:r>
          </w:p>
        </w:tc>
        <w:tc>
          <w:tcPr>
            <w:tcW w:w="2059" w:type="dxa"/>
            <w:tcBorders>
              <w:top w:val="nil"/>
              <w:left w:val="nil"/>
              <w:bottom w:val="nil"/>
              <w:right w:val="nil"/>
            </w:tcBorders>
            <w:shd w:val="clear" w:color="000000" w:fill="F2F2F2"/>
            <w:noWrap/>
            <w:vAlign w:val="bottom"/>
            <w:hideMark/>
          </w:tcPr>
          <w:p w14:paraId="2540D57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-0.02* (-0.03, 0)</w:t>
            </w:r>
          </w:p>
        </w:tc>
        <w:tc>
          <w:tcPr>
            <w:tcW w:w="2059" w:type="dxa"/>
            <w:tcBorders>
              <w:top w:val="nil"/>
              <w:left w:val="nil"/>
              <w:bottom w:val="nil"/>
              <w:right w:val="nil"/>
            </w:tcBorders>
            <w:shd w:val="clear" w:color="000000" w:fill="F2F2F2"/>
            <w:noWrap/>
            <w:vAlign w:val="bottom"/>
            <w:hideMark/>
          </w:tcPr>
          <w:p w14:paraId="4348E68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2.65* (0.38, 4.92)</w:t>
            </w:r>
          </w:p>
        </w:tc>
        <w:tc>
          <w:tcPr>
            <w:tcW w:w="2058" w:type="dxa"/>
            <w:tcBorders>
              <w:top w:val="nil"/>
              <w:left w:val="nil"/>
              <w:bottom w:val="nil"/>
              <w:right w:val="nil"/>
            </w:tcBorders>
            <w:shd w:val="clear" w:color="000000" w:fill="F2F2F2"/>
            <w:noWrap/>
            <w:vAlign w:val="bottom"/>
            <w:hideMark/>
          </w:tcPr>
          <w:p w14:paraId="5EC0B5C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-0.71*** (-0.89, -0.53)</w:t>
            </w:r>
          </w:p>
        </w:tc>
        <w:tc>
          <w:tcPr>
            <w:tcW w:w="2059" w:type="dxa"/>
            <w:tcBorders>
              <w:top w:val="nil"/>
              <w:left w:val="nil"/>
              <w:bottom w:val="nil"/>
              <w:right w:val="nil"/>
            </w:tcBorders>
            <w:shd w:val="clear" w:color="000000" w:fill="F2F2F2"/>
            <w:noWrap/>
            <w:vAlign w:val="bottom"/>
            <w:hideMark/>
          </w:tcPr>
          <w:p w14:paraId="2209E92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-8.01*** (-10.45, -5.56)</w:t>
            </w:r>
          </w:p>
        </w:tc>
        <w:tc>
          <w:tcPr>
            <w:tcW w:w="2059" w:type="dxa"/>
            <w:tcBorders>
              <w:top w:val="nil"/>
              <w:left w:val="nil"/>
              <w:bottom w:val="nil"/>
              <w:right w:val="nil"/>
            </w:tcBorders>
            <w:shd w:val="clear" w:color="000000" w:fill="F2F2F2"/>
            <w:noWrap/>
            <w:vAlign w:val="bottom"/>
            <w:hideMark/>
          </w:tcPr>
          <w:p w14:paraId="714386C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6CE1733E" w14:textId="77777777" w:rsidTr="00A80562">
        <w:trPr>
          <w:trHeight w:val="239"/>
        </w:trPr>
        <w:tc>
          <w:tcPr>
            <w:tcW w:w="237" w:type="dxa"/>
            <w:tcBorders>
              <w:top w:val="nil"/>
              <w:left w:val="nil"/>
              <w:bottom w:val="nil"/>
              <w:right w:val="nil"/>
            </w:tcBorders>
            <w:shd w:val="clear" w:color="auto" w:fill="auto"/>
            <w:noWrap/>
            <w:vAlign w:val="bottom"/>
            <w:hideMark/>
          </w:tcPr>
          <w:p w14:paraId="00B63832"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699694A7"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50D1B73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1.383*** (1.338, 1.429)</w:t>
            </w:r>
          </w:p>
        </w:tc>
        <w:tc>
          <w:tcPr>
            <w:tcW w:w="2059" w:type="dxa"/>
            <w:tcBorders>
              <w:top w:val="nil"/>
              <w:left w:val="nil"/>
              <w:bottom w:val="nil"/>
              <w:right w:val="nil"/>
            </w:tcBorders>
            <w:shd w:val="clear" w:color="auto" w:fill="auto"/>
            <w:noWrap/>
            <w:vAlign w:val="bottom"/>
            <w:hideMark/>
          </w:tcPr>
          <w:p w14:paraId="186F8C0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-0.001*** (-0.002, -0.001)</w:t>
            </w:r>
          </w:p>
        </w:tc>
        <w:tc>
          <w:tcPr>
            <w:tcW w:w="2059" w:type="dxa"/>
            <w:tcBorders>
              <w:top w:val="nil"/>
              <w:left w:val="nil"/>
              <w:bottom w:val="nil"/>
              <w:right w:val="nil"/>
            </w:tcBorders>
            <w:shd w:val="clear" w:color="auto" w:fill="auto"/>
            <w:noWrap/>
            <w:vAlign w:val="bottom"/>
            <w:hideMark/>
          </w:tcPr>
          <w:p w14:paraId="0A5BE5D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0.172*** (0.114, 0.23)</w:t>
            </w:r>
          </w:p>
        </w:tc>
        <w:tc>
          <w:tcPr>
            <w:tcW w:w="2058" w:type="dxa"/>
            <w:tcBorders>
              <w:top w:val="nil"/>
              <w:left w:val="nil"/>
              <w:bottom w:val="nil"/>
              <w:right w:val="nil"/>
            </w:tcBorders>
            <w:shd w:val="clear" w:color="auto" w:fill="auto"/>
            <w:noWrap/>
            <w:vAlign w:val="bottom"/>
            <w:hideMark/>
          </w:tcPr>
          <w:p w14:paraId="028C9E1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-0.021*** (-0.025, -0.016)</w:t>
            </w:r>
          </w:p>
        </w:tc>
        <w:tc>
          <w:tcPr>
            <w:tcW w:w="2059" w:type="dxa"/>
            <w:tcBorders>
              <w:top w:val="nil"/>
              <w:left w:val="nil"/>
              <w:bottom w:val="nil"/>
              <w:right w:val="nil"/>
            </w:tcBorders>
            <w:shd w:val="clear" w:color="auto" w:fill="auto"/>
            <w:noWrap/>
            <w:vAlign w:val="bottom"/>
            <w:hideMark/>
          </w:tcPr>
          <w:p w14:paraId="679A2C1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-0.138*** (-0.201, -0.075)</w:t>
            </w:r>
          </w:p>
        </w:tc>
        <w:tc>
          <w:tcPr>
            <w:tcW w:w="2059" w:type="dxa"/>
            <w:tcBorders>
              <w:top w:val="nil"/>
              <w:left w:val="nil"/>
              <w:bottom w:val="nil"/>
              <w:right w:val="nil"/>
            </w:tcBorders>
            <w:shd w:val="clear" w:color="auto" w:fill="auto"/>
            <w:noWrap/>
            <w:vAlign w:val="bottom"/>
            <w:hideMark/>
          </w:tcPr>
          <w:p w14:paraId="209AC76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28AC4752"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200EF8C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Problems with activities of daily living</w:t>
            </w:r>
          </w:p>
        </w:tc>
        <w:tc>
          <w:tcPr>
            <w:tcW w:w="2058" w:type="dxa"/>
            <w:tcBorders>
              <w:top w:val="nil"/>
              <w:left w:val="single" w:sz="4" w:space="0" w:color="auto"/>
              <w:bottom w:val="nil"/>
              <w:right w:val="nil"/>
            </w:tcBorders>
            <w:shd w:val="clear" w:color="auto" w:fill="auto"/>
            <w:noWrap/>
            <w:vAlign w:val="bottom"/>
            <w:hideMark/>
          </w:tcPr>
          <w:p w14:paraId="796AA97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0BF3CC11"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22E864A5"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4869D7D2"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1F8970E0"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76BC1631" w14:textId="77777777" w:rsidR="00A80562" w:rsidRPr="00A80562" w:rsidRDefault="00A80562" w:rsidP="00A80562">
            <w:pPr>
              <w:spacing w:after="0" w:line="240" w:lineRule="auto"/>
              <w:jc w:val="left"/>
              <w:rPr>
                <w:rFonts w:eastAsia="Times New Roman"/>
                <w:lang w:eastAsia="en-GB"/>
              </w:rPr>
            </w:pPr>
          </w:p>
        </w:tc>
      </w:tr>
      <w:tr w:rsidR="00A80562" w:rsidRPr="00A80562" w14:paraId="66AA144B" w14:textId="77777777" w:rsidTr="00A80562">
        <w:trPr>
          <w:trHeight w:val="239"/>
        </w:trPr>
        <w:tc>
          <w:tcPr>
            <w:tcW w:w="237" w:type="dxa"/>
            <w:tcBorders>
              <w:top w:val="nil"/>
              <w:left w:val="nil"/>
              <w:bottom w:val="nil"/>
              <w:right w:val="nil"/>
            </w:tcBorders>
            <w:shd w:val="clear" w:color="auto" w:fill="auto"/>
            <w:noWrap/>
            <w:vAlign w:val="bottom"/>
            <w:hideMark/>
          </w:tcPr>
          <w:p w14:paraId="7438CF74"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427B9DF6"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1B67B3E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67.22*** (64.99, 69.45)</w:t>
            </w:r>
          </w:p>
        </w:tc>
        <w:tc>
          <w:tcPr>
            <w:tcW w:w="2059" w:type="dxa"/>
            <w:tcBorders>
              <w:top w:val="nil"/>
              <w:left w:val="nil"/>
              <w:bottom w:val="nil"/>
              <w:right w:val="nil"/>
            </w:tcBorders>
            <w:shd w:val="clear" w:color="000000" w:fill="F2F2F2"/>
            <w:noWrap/>
            <w:vAlign w:val="bottom"/>
            <w:hideMark/>
          </w:tcPr>
          <w:p w14:paraId="746E182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-0.05*** (-0.06, -0.03)</w:t>
            </w:r>
          </w:p>
        </w:tc>
        <w:tc>
          <w:tcPr>
            <w:tcW w:w="2059" w:type="dxa"/>
            <w:tcBorders>
              <w:top w:val="nil"/>
              <w:left w:val="nil"/>
              <w:bottom w:val="nil"/>
              <w:right w:val="nil"/>
            </w:tcBorders>
            <w:shd w:val="clear" w:color="000000" w:fill="F2F2F2"/>
            <w:noWrap/>
            <w:vAlign w:val="bottom"/>
            <w:hideMark/>
          </w:tcPr>
          <w:p w14:paraId="3EA0C16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13.09*** (10.22, 15.95)</w:t>
            </w:r>
          </w:p>
        </w:tc>
        <w:tc>
          <w:tcPr>
            <w:tcW w:w="2058" w:type="dxa"/>
            <w:tcBorders>
              <w:top w:val="nil"/>
              <w:left w:val="nil"/>
              <w:bottom w:val="nil"/>
              <w:right w:val="nil"/>
            </w:tcBorders>
            <w:shd w:val="clear" w:color="000000" w:fill="F2F2F2"/>
            <w:noWrap/>
            <w:vAlign w:val="bottom"/>
            <w:hideMark/>
          </w:tcPr>
          <w:p w14:paraId="38290375"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-1.06*** (-1.29, -0.84)</w:t>
            </w:r>
          </w:p>
        </w:tc>
        <w:tc>
          <w:tcPr>
            <w:tcW w:w="2059" w:type="dxa"/>
            <w:tcBorders>
              <w:top w:val="nil"/>
              <w:left w:val="nil"/>
              <w:bottom w:val="nil"/>
              <w:right w:val="nil"/>
            </w:tcBorders>
            <w:shd w:val="clear" w:color="000000" w:fill="F2F2F2"/>
            <w:noWrap/>
            <w:vAlign w:val="bottom"/>
            <w:hideMark/>
          </w:tcPr>
          <w:p w14:paraId="1876745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-2.86 (-5.95, 0.23)</w:t>
            </w:r>
          </w:p>
        </w:tc>
        <w:tc>
          <w:tcPr>
            <w:tcW w:w="2059" w:type="dxa"/>
            <w:tcBorders>
              <w:top w:val="nil"/>
              <w:left w:val="nil"/>
              <w:bottom w:val="nil"/>
              <w:right w:val="nil"/>
            </w:tcBorders>
            <w:shd w:val="clear" w:color="000000" w:fill="F2F2F2"/>
            <w:noWrap/>
            <w:vAlign w:val="bottom"/>
            <w:hideMark/>
          </w:tcPr>
          <w:p w14:paraId="13595F4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0D395CD1" w14:textId="77777777" w:rsidTr="00A80562">
        <w:trPr>
          <w:trHeight w:val="239"/>
        </w:trPr>
        <w:tc>
          <w:tcPr>
            <w:tcW w:w="237" w:type="dxa"/>
            <w:tcBorders>
              <w:top w:val="nil"/>
              <w:left w:val="nil"/>
              <w:bottom w:val="nil"/>
              <w:right w:val="nil"/>
            </w:tcBorders>
            <w:shd w:val="clear" w:color="auto" w:fill="auto"/>
            <w:noWrap/>
            <w:vAlign w:val="bottom"/>
            <w:hideMark/>
          </w:tcPr>
          <w:p w14:paraId="25D95CBC"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1EC769D2"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633368BD"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1.318*** (1.26, 1.375)</w:t>
            </w:r>
          </w:p>
        </w:tc>
        <w:tc>
          <w:tcPr>
            <w:tcW w:w="2059" w:type="dxa"/>
            <w:tcBorders>
              <w:top w:val="nil"/>
              <w:left w:val="nil"/>
              <w:bottom w:val="nil"/>
              <w:right w:val="nil"/>
            </w:tcBorders>
            <w:shd w:val="clear" w:color="auto" w:fill="auto"/>
            <w:noWrap/>
            <w:vAlign w:val="bottom"/>
            <w:hideMark/>
          </w:tcPr>
          <w:p w14:paraId="4646177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-0.001*** (-0.002, -0.001)</w:t>
            </w:r>
          </w:p>
        </w:tc>
        <w:tc>
          <w:tcPr>
            <w:tcW w:w="2059" w:type="dxa"/>
            <w:tcBorders>
              <w:top w:val="nil"/>
              <w:left w:val="nil"/>
              <w:bottom w:val="nil"/>
              <w:right w:val="nil"/>
            </w:tcBorders>
            <w:shd w:val="clear" w:color="auto" w:fill="auto"/>
            <w:noWrap/>
            <w:vAlign w:val="bottom"/>
            <w:hideMark/>
          </w:tcPr>
          <w:p w14:paraId="0A0007C8"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0.145*** (0.071, 0.219)</w:t>
            </w:r>
          </w:p>
        </w:tc>
        <w:tc>
          <w:tcPr>
            <w:tcW w:w="2058" w:type="dxa"/>
            <w:tcBorders>
              <w:top w:val="nil"/>
              <w:left w:val="nil"/>
              <w:bottom w:val="nil"/>
              <w:right w:val="nil"/>
            </w:tcBorders>
            <w:shd w:val="clear" w:color="auto" w:fill="auto"/>
            <w:noWrap/>
            <w:vAlign w:val="bottom"/>
            <w:hideMark/>
          </w:tcPr>
          <w:p w14:paraId="3E37305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-0.011*** (-0.017, -0.005)</w:t>
            </w:r>
          </w:p>
        </w:tc>
        <w:tc>
          <w:tcPr>
            <w:tcW w:w="2059" w:type="dxa"/>
            <w:tcBorders>
              <w:top w:val="nil"/>
              <w:left w:val="nil"/>
              <w:bottom w:val="nil"/>
              <w:right w:val="nil"/>
            </w:tcBorders>
            <w:shd w:val="clear" w:color="auto" w:fill="auto"/>
            <w:noWrap/>
            <w:vAlign w:val="bottom"/>
            <w:hideMark/>
          </w:tcPr>
          <w:p w14:paraId="664550C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-0.02 (-0.099, 0.06)</w:t>
            </w:r>
          </w:p>
        </w:tc>
        <w:tc>
          <w:tcPr>
            <w:tcW w:w="2059" w:type="dxa"/>
            <w:tcBorders>
              <w:top w:val="nil"/>
              <w:left w:val="nil"/>
              <w:bottom w:val="nil"/>
              <w:right w:val="nil"/>
            </w:tcBorders>
            <w:shd w:val="clear" w:color="auto" w:fill="auto"/>
            <w:noWrap/>
            <w:vAlign w:val="bottom"/>
            <w:hideMark/>
          </w:tcPr>
          <w:p w14:paraId="0C394C8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4A62CC4D"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6CAA70E0"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Problems with living conditions</w:t>
            </w:r>
          </w:p>
        </w:tc>
        <w:tc>
          <w:tcPr>
            <w:tcW w:w="2058" w:type="dxa"/>
            <w:tcBorders>
              <w:top w:val="nil"/>
              <w:left w:val="single" w:sz="4" w:space="0" w:color="auto"/>
              <w:bottom w:val="nil"/>
              <w:right w:val="nil"/>
            </w:tcBorders>
            <w:shd w:val="clear" w:color="auto" w:fill="auto"/>
            <w:noWrap/>
            <w:vAlign w:val="bottom"/>
            <w:hideMark/>
          </w:tcPr>
          <w:p w14:paraId="61B92EF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184CBC97"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52EB9910"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335BDB19"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65F11137"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6C2E6197" w14:textId="77777777" w:rsidR="00A80562" w:rsidRPr="00A80562" w:rsidRDefault="00A80562" w:rsidP="00A80562">
            <w:pPr>
              <w:spacing w:after="0" w:line="240" w:lineRule="auto"/>
              <w:jc w:val="left"/>
              <w:rPr>
                <w:rFonts w:eastAsia="Times New Roman"/>
                <w:lang w:eastAsia="en-GB"/>
              </w:rPr>
            </w:pPr>
          </w:p>
        </w:tc>
      </w:tr>
      <w:tr w:rsidR="00A80562" w:rsidRPr="00A80562" w14:paraId="1F6028ED" w14:textId="77777777" w:rsidTr="00A80562">
        <w:trPr>
          <w:trHeight w:val="239"/>
        </w:trPr>
        <w:tc>
          <w:tcPr>
            <w:tcW w:w="237" w:type="dxa"/>
            <w:tcBorders>
              <w:top w:val="nil"/>
              <w:left w:val="nil"/>
              <w:bottom w:val="nil"/>
              <w:right w:val="nil"/>
            </w:tcBorders>
            <w:shd w:val="clear" w:color="auto" w:fill="auto"/>
            <w:noWrap/>
            <w:vAlign w:val="bottom"/>
            <w:hideMark/>
          </w:tcPr>
          <w:p w14:paraId="4B4475EC"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1C6CB14F"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10DADD9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37.21*** (35.33, 39.09)</w:t>
            </w:r>
          </w:p>
        </w:tc>
        <w:tc>
          <w:tcPr>
            <w:tcW w:w="2059" w:type="dxa"/>
            <w:tcBorders>
              <w:top w:val="nil"/>
              <w:left w:val="nil"/>
              <w:bottom w:val="nil"/>
              <w:right w:val="nil"/>
            </w:tcBorders>
            <w:shd w:val="clear" w:color="000000" w:fill="F2F2F2"/>
            <w:noWrap/>
            <w:vAlign w:val="bottom"/>
            <w:hideMark/>
          </w:tcPr>
          <w:p w14:paraId="3774DFE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-0.01 (-0.03, 0)</w:t>
            </w:r>
          </w:p>
        </w:tc>
        <w:tc>
          <w:tcPr>
            <w:tcW w:w="2059" w:type="dxa"/>
            <w:tcBorders>
              <w:top w:val="nil"/>
              <w:left w:val="nil"/>
              <w:bottom w:val="nil"/>
              <w:right w:val="nil"/>
            </w:tcBorders>
            <w:shd w:val="clear" w:color="000000" w:fill="F2F2F2"/>
            <w:noWrap/>
            <w:vAlign w:val="bottom"/>
            <w:hideMark/>
          </w:tcPr>
          <w:p w14:paraId="19BE4AC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5.42*** (3.01, 7.84)</w:t>
            </w:r>
          </w:p>
        </w:tc>
        <w:tc>
          <w:tcPr>
            <w:tcW w:w="2058" w:type="dxa"/>
            <w:tcBorders>
              <w:top w:val="nil"/>
              <w:left w:val="nil"/>
              <w:bottom w:val="nil"/>
              <w:right w:val="nil"/>
            </w:tcBorders>
            <w:shd w:val="clear" w:color="000000" w:fill="F2F2F2"/>
            <w:noWrap/>
            <w:vAlign w:val="bottom"/>
            <w:hideMark/>
          </w:tcPr>
          <w:p w14:paraId="344888E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-0.49*** (-0.68, -0.3)</w:t>
            </w:r>
          </w:p>
        </w:tc>
        <w:tc>
          <w:tcPr>
            <w:tcW w:w="2059" w:type="dxa"/>
            <w:tcBorders>
              <w:top w:val="nil"/>
              <w:left w:val="nil"/>
              <w:bottom w:val="nil"/>
              <w:right w:val="nil"/>
            </w:tcBorders>
            <w:shd w:val="clear" w:color="000000" w:fill="F2F2F2"/>
            <w:noWrap/>
            <w:vAlign w:val="bottom"/>
            <w:hideMark/>
          </w:tcPr>
          <w:p w14:paraId="5DB96F2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-1.96 (-4.56, 0.65)</w:t>
            </w:r>
          </w:p>
        </w:tc>
        <w:tc>
          <w:tcPr>
            <w:tcW w:w="2059" w:type="dxa"/>
            <w:tcBorders>
              <w:top w:val="nil"/>
              <w:left w:val="nil"/>
              <w:bottom w:val="nil"/>
              <w:right w:val="nil"/>
            </w:tcBorders>
            <w:shd w:val="clear" w:color="000000" w:fill="F2F2F2"/>
            <w:noWrap/>
            <w:vAlign w:val="bottom"/>
            <w:hideMark/>
          </w:tcPr>
          <w:p w14:paraId="2DEAAF9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6746E9B7" w14:textId="77777777" w:rsidTr="00A80562">
        <w:trPr>
          <w:trHeight w:val="239"/>
        </w:trPr>
        <w:tc>
          <w:tcPr>
            <w:tcW w:w="237" w:type="dxa"/>
            <w:tcBorders>
              <w:top w:val="nil"/>
              <w:left w:val="nil"/>
              <w:bottom w:val="nil"/>
              <w:right w:val="nil"/>
            </w:tcBorders>
            <w:shd w:val="clear" w:color="auto" w:fill="auto"/>
            <w:noWrap/>
            <w:vAlign w:val="bottom"/>
            <w:hideMark/>
          </w:tcPr>
          <w:p w14:paraId="470ECE7C"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1E144257"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0A41CE8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0.685*** (0.649, 0.722)</w:t>
            </w:r>
          </w:p>
        </w:tc>
        <w:tc>
          <w:tcPr>
            <w:tcW w:w="2059" w:type="dxa"/>
            <w:tcBorders>
              <w:top w:val="nil"/>
              <w:left w:val="nil"/>
              <w:bottom w:val="nil"/>
              <w:right w:val="nil"/>
            </w:tcBorders>
            <w:shd w:val="clear" w:color="auto" w:fill="auto"/>
            <w:noWrap/>
            <w:vAlign w:val="bottom"/>
            <w:hideMark/>
          </w:tcPr>
          <w:p w14:paraId="199D29D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(-0.001, 0)</w:t>
            </w:r>
          </w:p>
        </w:tc>
        <w:tc>
          <w:tcPr>
            <w:tcW w:w="2059" w:type="dxa"/>
            <w:tcBorders>
              <w:top w:val="nil"/>
              <w:left w:val="nil"/>
              <w:bottom w:val="nil"/>
              <w:right w:val="nil"/>
            </w:tcBorders>
            <w:shd w:val="clear" w:color="auto" w:fill="auto"/>
            <w:noWrap/>
            <w:vAlign w:val="bottom"/>
            <w:hideMark/>
          </w:tcPr>
          <w:p w14:paraId="3D5A452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0.12*** (0.073, 0.167)</w:t>
            </w:r>
          </w:p>
        </w:tc>
        <w:tc>
          <w:tcPr>
            <w:tcW w:w="2058" w:type="dxa"/>
            <w:tcBorders>
              <w:top w:val="nil"/>
              <w:left w:val="nil"/>
              <w:bottom w:val="nil"/>
              <w:right w:val="nil"/>
            </w:tcBorders>
            <w:shd w:val="clear" w:color="auto" w:fill="auto"/>
            <w:noWrap/>
            <w:vAlign w:val="bottom"/>
            <w:hideMark/>
          </w:tcPr>
          <w:p w14:paraId="4B1B467A"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-0.012*** (-0.015, -0.008)</w:t>
            </w:r>
          </w:p>
        </w:tc>
        <w:tc>
          <w:tcPr>
            <w:tcW w:w="2059" w:type="dxa"/>
            <w:tcBorders>
              <w:top w:val="nil"/>
              <w:left w:val="nil"/>
              <w:bottom w:val="nil"/>
              <w:right w:val="nil"/>
            </w:tcBorders>
            <w:shd w:val="clear" w:color="auto" w:fill="auto"/>
            <w:noWrap/>
            <w:vAlign w:val="bottom"/>
            <w:hideMark/>
          </w:tcPr>
          <w:p w14:paraId="706B8C56"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-0.054* (-0.105, -0.003)</w:t>
            </w:r>
          </w:p>
        </w:tc>
        <w:tc>
          <w:tcPr>
            <w:tcW w:w="2059" w:type="dxa"/>
            <w:tcBorders>
              <w:top w:val="nil"/>
              <w:left w:val="nil"/>
              <w:bottom w:val="nil"/>
              <w:right w:val="nil"/>
            </w:tcBorders>
            <w:shd w:val="clear" w:color="auto" w:fill="auto"/>
            <w:noWrap/>
            <w:vAlign w:val="bottom"/>
            <w:hideMark/>
          </w:tcPr>
          <w:p w14:paraId="68F3AD2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43128123" w14:textId="77777777" w:rsidTr="00A80562">
        <w:trPr>
          <w:trHeight w:val="239"/>
        </w:trPr>
        <w:tc>
          <w:tcPr>
            <w:tcW w:w="3133" w:type="dxa"/>
            <w:gridSpan w:val="2"/>
            <w:tcBorders>
              <w:top w:val="nil"/>
              <w:left w:val="nil"/>
              <w:bottom w:val="nil"/>
              <w:right w:val="nil"/>
            </w:tcBorders>
            <w:shd w:val="clear" w:color="auto" w:fill="auto"/>
            <w:noWrap/>
            <w:vAlign w:val="bottom"/>
            <w:hideMark/>
          </w:tcPr>
          <w:p w14:paraId="2680F9EF"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Problems with occupation and activities</w:t>
            </w:r>
          </w:p>
        </w:tc>
        <w:tc>
          <w:tcPr>
            <w:tcW w:w="2058" w:type="dxa"/>
            <w:tcBorders>
              <w:top w:val="nil"/>
              <w:left w:val="single" w:sz="4" w:space="0" w:color="auto"/>
              <w:bottom w:val="nil"/>
              <w:right w:val="nil"/>
            </w:tcBorders>
            <w:shd w:val="clear" w:color="auto" w:fill="auto"/>
            <w:noWrap/>
            <w:vAlign w:val="bottom"/>
            <w:hideMark/>
          </w:tcPr>
          <w:p w14:paraId="3D01013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 </w:t>
            </w:r>
          </w:p>
        </w:tc>
        <w:tc>
          <w:tcPr>
            <w:tcW w:w="2059" w:type="dxa"/>
            <w:tcBorders>
              <w:top w:val="nil"/>
              <w:left w:val="nil"/>
              <w:bottom w:val="nil"/>
              <w:right w:val="nil"/>
            </w:tcBorders>
            <w:shd w:val="clear" w:color="auto" w:fill="auto"/>
            <w:noWrap/>
            <w:vAlign w:val="bottom"/>
            <w:hideMark/>
          </w:tcPr>
          <w:p w14:paraId="6A9982EF" w14:textId="77777777" w:rsidR="00A80562" w:rsidRPr="00A80562" w:rsidRDefault="00A80562" w:rsidP="00A80562">
            <w:pPr>
              <w:spacing w:after="0" w:line="240" w:lineRule="auto"/>
              <w:jc w:val="left"/>
              <w:rPr>
                <w:rFonts w:eastAsia="Times New Roman"/>
                <w:sz w:val="16"/>
                <w:szCs w:val="16"/>
                <w:lang w:eastAsia="en-GB"/>
              </w:rPr>
            </w:pPr>
          </w:p>
        </w:tc>
        <w:tc>
          <w:tcPr>
            <w:tcW w:w="2059" w:type="dxa"/>
            <w:tcBorders>
              <w:top w:val="nil"/>
              <w:left w:val="nil"/>
              <w:bottom w:val="nil"/>
              <w:right w:val="nil"/>
            </w:tcBorders>
            <w:shd w:val="clear" w:color="auto" w:fill="auto"/>
            <w:noWrap/>
            <w:vAlign w:val="bottom"/>
            <w:hideMark/>
          </w:tcPr>
          <w:p w14:paraId="1E40FBBE" w14:textId="77777777" w:rsidR="00A80562" w:rsidRPr="00A80562" w:rsidRDefault="00A80562" w:rsidP="00A80562">
            <w:pPr>
              <w:spacing w:after="0" w:line="240" w:lineRule="auto"/>
              <w:jc w:val="left"/>
              <w:rPr>
                <w:rFonts w:eastAsia="Times New Roman"/>
                <w:lang w:eastAsia="en-GB"/>
              </w:rPr>
            </w:pPr>
          </w:p>
        </w:tc>
        <w:tc>
          <w:tcPr>
            <w:tcW w:w="2058" w:type="dxa"/>
            <w:tcBorders>
              <w:top w:val="nil"/>
              <w:left w:val="nil"/>
              <w:bottom w:val="nil"/>
              <w:right w:val="nil"/>
            </w:tcBorders>
            <w:shd w:val="clear" w:color="auto" w:fill="auto"/>
            <w:noWrap/>
            <w:vAlign w:val="bottom"/>
            <w:hideMark/>
          </w:tcPr>
          <w:p w14:paraId="3E067799"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1926FEAD" w14:textId="77777777" w:rsidR="00A80562" w:rsidRPr="00A80562" w:rsidRDefault="00A80562" w:rsidP="00A80562">
            <w:pPr>
              <w:spacing w:after="0" w:line="240" w:lineRule="auto"/>
              <w:jc w:val="left"/>
              <w:rPr>
                <w:rFonts w:eastAsia="Times New Roman"/>
                <w:lang w:eastAsia="en-GB"/>
              </w:rPr>
            </w:pPr>
          </w:p>
        </w:tc>
        <w:tc>
          <w:tcPr>
            <w:tcW w:w="2059" w:type="dxa"/>
            <w:tcBorders>
              <w:top w:val="nil"/>
              <w:left w:val="nil"/>
              <w:bottom w:val="nil"/>
              <w:right w:val="nil"/>
            </w:tcBorders>
            <w:shd w:val="clear" w:color="auto" w:fill="auto"/>
            <w:noWrap/>
            <w:vAlign w:val="bottom"/>
            <w:hideMark/>
          </w:tcPr>
          <w:p w14:paraId="08050160" w14:textId="77777777" w:rsidR="00A80562" w:rsidRPr="00A80562" w:rsidRDefault="00A80562" w:rsidP="00A80562">
            <w:pPr>
              <w:spacing w:after="0" w:line="240" w:lineRule="auto"/>
              <w:jc w:val="left"/>
              <w:rPr>
                <w:rFonts w:eastAsia="Times New Roman"/>
                <w:lang w:eastAsia="en-GB"/>
              </w:rPr>
            </w:pPr>
          </w:p>
        </w:tc>
      </w:tr>
      <w:tr w:rsidR="00A80562" w:rsidRPr="00A80562" w14:paraId="2AF70F19" w14:textId="77777777" w:rsidTr="00A80562">
        <w:trPr>
          <w:trHeight w:val="239"/>
        </w:trPr>
        <w:tc>
          <w:tcPr>
            <w:tcW w:w="237" w:type="dxa"/>
            <w:tcBorders>
              <w:top w:val="nil"/>
              <w:left w:val="nil"/>
              <w:bottom w:val="nil"/>
              <w:right w:val="nil"/>
            </w:tcBorders>
            <w:shd w:val="clear" w:color="auto" w:fill="auto"/>
            <w:noWrap/>
            <w:vAlign w:val="bottom"/>
            <w:hideMark/>
          </w:tcPr>
          <w:p w14:paraId="37F0FD92" w14:textId="77777777" w:rsidR="00A80562" w:rsidRPr="00A80562" w:rsidRDefault="00A80562" w:rsidP="00A80562">
            <w:pPr>
              <w:spacing w:after="0" w:line="240" w:lineRule="auto"/>
              <w:jc w:val="left"/>
              <w:rPr>
                <w:rFonts w:eastAsia="Times New Roman"/>
                <w:lang w:eastAsia="en-GB"/>
              </w:rPr>
            </w:pPr>
          </w:p>
        </w:tc>
        <w:tc>
          <w:tcPr>
            <w:tcW w:w="2896" w:type="dxa"/>
            <w:tcBorders>
              <w:top w:val="nil"/>
              <w:left w:val="nil"/>
              <w:bottom w:val="nil"/>
              <w:right w:val="nil"/>
            </w:tcBorders>
            <w:shd w:val="clear" w:color="000000" w:fill="F2F2F2"/>
            <w:noWrap/>
            <w:vAlign w:val="bottom"/>
            <w:hideMark/>
          </w:tcPr>
          <w:p w14:paraId="333CAC6C"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Any problems</w:t>
            </w:r>
          </w:p>
        </w:tc>
        <w:tc>
          <w:tcPr>
            <w:tcW w:w="2058" w:type="dxa"/>
            <w:tcBorders>
              <w:top w:val="nil"/>
              <w:left w:val="single" w:sz="4" w:space="0" w:color="auto"/>
              <w:bottom w:val="nil"/>
              <w:right w:val="nil"/>
            </w:tcBorders>
            <w:shd w:val="clear" w:color="000000" w:fill="F2F2F2"/>
            <w:noWrap/>
            <w:vAlign w:val="bottom"/>
            <w:hideMark/>
          </w:tcPr>
          <w:p w14:paraId="39AF71A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63.11*** (61.11, 65.12)</w:t>
            </w:r>
          </w:p>
        </w:tc>
        <w:tc>
          <w:tcPr>
            <w:tcW w:w="2059" w:type="dxa"/>
            <w:tcBorders>
              <w:top w:val="nil"/>
              <w:left w:val="nil"/>
              <w:bottom w:val="nil"/>
              <w:right w:val="nil"/>
            </w:tcBorders>
            <w:shd w:val="clear" w:color="000000" w:fill="F2F2F2"/>
            <w:noWrap/>
            <w:vAlign w:val="bottom"/>
            <w:hideMark/>
          </w:tcPr>
          <w:p w14:paraId="1AA87D12"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-0.02** (-0.04, -0.01)</w:t>
            </w:r>
          </w:p>
        </w:tc>
        <w:tc>
          <w:tcPr>
            <w:tcW w:w="2059" w:type="dxa"/>
            <w:tcBorders>
              <w:top w:val="nil"/>
              <w:left w:val="nil"/>
              <w:bottom w:val="nil"/>
              <w:right w:val="nil"/>
            </w:tcBorders>
            <w:shd w:val="clear" w:color="000000" w:fill="F2F2F2"/>
            <w:noWrap/>
            <w:vAlign w:val="bottom"/>
            <w:hideMark/>
          </w:tcPr>
          <w:p w14:paraId="4CD2EE1C"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13.22*** (10.65, 15.8)</w:t>
            </w:r>
          </w:p>
        </w:tc>
        <w:tc>
          <w:tcPr>
            <w:tcW w:w="2058" w:type="dxa"/>
            <w:tcBorders>
              <w:top w:val="nil"/>
              <w:left w:val="nil"/>
              <w:bottom w:val="nil"/>
              <w:right w:val="nil"/>
            </w:tcBorders>
            <w:shd w:val="clear" w:color="000000" w:fill="F2F2F2"/>
            <w:noWrap/>
            <w:vAlign w:val="bottom"/>
            <w:hideMark/>
          </w:tcPr>
          <w:p w14:paraId="5305887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-0.54*** (-0.75, -0.34)</w:t>
            </w:r>
          </w:p>
        </w:tc>
        <w:tc>
          <w:tcPr>
            <w:tcW w:w="2059" w:type="dxa"/>
            <w:tcBorders>
              <w:top w:val="nil"/>
              <w:left w:val="nil"/>
              <w:bottom w:val="nil"/>
              <w:right w:val="nil"/>
            </w:tcBorders>
            <w:shd w:val="clear" w:color="000000" w:fill="F2F2F2"/>
            <w:noWrap/>
            <w:vAlign w:val="bottom"/>
            <w:hideMark/>
          </w:tcPr>
          <w:p w14:paraId="1650B3A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5.07*** (2.29, 7.85)</w:t>
            </w:r>
          </w:p>
        </w:tc>
        <w:tc>
          <w:tcPr>
            <w:tcW w:w="2059" w:type="dxa"/>
            <w:tcBorders>
              <w:top w:val="nil"/>
              <w:left w:val="nil"/>
              <w:bottom w:val="nil"/>
              <w:right w:val="nil"/>
            </w:tcBorders>
            <w:shd w:val="clear" w:color="000000" w:fill="F2F2F2"/>
            <w:noWrap/>
            <w:vAlign w:val="bottom"/>
            <w:hideMark/>
          </w:tcPr>
          <w:p w14:paraId="31086AD4"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r w:rsidR="00A80562" w:rsidRPr="00A80562" w14:paraId="02781AF1" w14:textId="77777777" w:rsidTr="00A80562">
        <w:trPr>
          <w:trHeight w:val="239"/>
        </w:trPr>
        <w:tc>
          <w:tcPr>
            <w:tcW w:w="237" w:type="dxa"/>
            <w:tcBorders>
              <w:top w:val="nil"/>
              <w:left w:val="nil"/>
              <w:bottom w:val="nil"/>
              <w:right w:val="nil"/>
            </w:tcBorders>
            <w:shd w:val="clear" w:color="auto" w:fill="auto"/>
            <w:noWrap/>
            <w:vAlign w:val="bottom"/>
            <w:hideMark/>
          </w:tcPr>
          <w:p w14:paraId="630B01E1" w14:textId="77777777" w:rsidR="00A80562" w:rsidRPr="00A80562" w:rsidRDefault="00A80562" w:rsidP="00A80562">
            <w:pPr>
              <w:spacing w:after="0" w:line="240" w:lineRule="auto"/>
              <w:jc w:val="left"/>
              <w:rPr>
                <w:rFonts w:eastAsia="Times New Roman"/>
                <w:sz w:val="16"/>
                <w:szCs w:val="16"/>
                <w:lang w:eastAsia="en-GB"/>
              </w:rPr>
            </w:pPr>
          </w:p>
        </w:tc>
        <w:tc>
          <w:tcPr>
            <w:tcW w:w="2896" w:type="dxa"/>
            <w:tcBorders>
              <w:top w:val="nil"/>
              <w:left w:val="nil"/>
              <w:bottom w:val="nil"/>
              <w:right w:val="nil"/>
            </w:tcBorders>
            <w:shd w:val="clear" w:color="auto" w:fill="auto"/>
            <w:noWrap/>
            <w:vAlign w:val="bottom"/>
            <w:hideMark/>
          </w:tcPr>
          <w:p w14:paraId="3853FFBD" w14:textId="77777777" w:rsidR="00A80562" w:rsidRPr="00A80562" w:rsidRDefault="00A80562" w:rsidP="00A80562">
            <w:pPr>
              <w:spacing w:after="0" w:line="240" w:lineRule="auto"/>
              <w:jc w:val="left"/>
              <w:rPr>
                <w:rFonts w:eastAsia="Times New Roman"/>
                <w:iCs/>
                <w:sz w:val="16"/>
                <w:szCs w:val="16"/>
                <w:lang w:eastAsia="en-GB"/>
              </w:rPr>
            </w:pPr>
            <w:r w:rsidRPr="00A80562">
              <w:rPr>
                <w:rFonts w:eastAsia="Times New Roman"/>
                <w:iCs/>
                <w:sz w:val="16"/>
                <w:szCs w:val="16"/>
                <w:lang w:eastAsia="en-GB"/>
              </w:rPr>
              <w:t>Mean score</w:t>
            </w:r>
          </w:p>
        </w:tc>
        <w:tc>
          <w:tcPr>
            <w:tcW w:w="2058" w:type="dxa"/>
            <w:tcBorders>
              <w:top w:val="nil"/>
              <w:left w:val="single" w:sz="4" w:space="0" w:color="auto"/>
              <w:bottom w:val="nil"/>
              <w:right w:val="nil"/>
            </w:tcBorders>
            <w:shd w:val="clear" w:color="auto" w:fill="auto"/>
            <w:noWrap/>
            <w:vAlign w:val="bottom"/>
            <w:hideMark/>
          </w:tcPr>
          <w:p w14:paraId="0986B7D3"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1.291*** (1.242, 1.34)</w:t>
            </w:r>
          </w:p>
        </w:tc>
        <w:tc>
          <w:tcPr>
            <w:tcW w:w="2059" w:type="dxa"/>
            <w:tcBorders>
              <w:top w:val="nil"/>
              <w:left w:val="nil"/>
              <w:bottom w:val="nil"/>
              <w:right w:val="nil"/>
            </w:tcBorders>
            <w:shd w:val="clear" w:color="auto" w:fill="auto"/>
            <w:noWrap/>
            <w:vAlign w:val="bottom"/>
            <w:hideMark/>
          </w:tcPr>
          <w:p w14:paraId="1046DC0B"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-0.001*** (-0.001, -0.001)</w:t>
            </w:r>
          </w:p>
        </w:tc>
        <w:tc>
          <w:tcPr>
            <w:tcW w:w="2059" w:type="dxa"/>
            <w:tcBorders>
              <w:top w:val="nil"/>
              <w:left w:val="nil"/>
              <w:bottom w:val="nil"/>
              <w:right w:val="nil"/>
            </w:tcBorders>
            <w:shd w:val="clear" w:color="auto" w:fill="auto"/>
            <w:noWrap/>
            <w:vAlign w:val="bottom"/>
            <w:hideMark/>
          </w:tcPr>
          <w:p w14:paraId="097442EE"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0.219*** (0.156, 0.282)</w:t>
            </w:r>
          </w:p>
        </w:tc>
        <w:tc>
          <w:tcPr>
            <w:tcW w:w="2058" w:type="dxa"/>
            <w:tcBorders>
              <w:top w:val="nil"/>
              <w:left w:val="nil"/>
              <w:bottom w:val="nil"/>
              <w:right w:val="nil"/>
            </w:tcBorders>
            <w:shd w:val="clear" w:color="auto" w:fill="auto"/>
            <w:noWrap/>
            <w:vAlign w:val="bottom"/>
            <w:hideMark/>
          </w:tcPr>
          <w:p w14:paraId="4C384907"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-0.007** (-0.012, -0.002)</w:t>
            </w:r>
          </w:p>
        </w:tc>
        <w:tc>
          <w:tcPr>
            <w:tcW w:w="2059" w:type="dxa"/>
            <w:tcBorders>
              <w:top w:val="nil"/>
              <w:left w:val="nil"/>
              <w:bottom w:val="nil"/>
              <w:right w:val="nil"/>
            </w:tcBorders>
            <w:shd w:val="clear" w:color="auto" w:fill="auto"/>
            <w:noWrap/>
            <w:vAlign w:val="bottom"/>
            <w:hideMark/>
          </w:tcPr>
          <w:p w14:paraId="26565D99"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0.119*** (0.051, 0.186)</w:t>
            </w:r>
          </w:p>
        </w:tc>
        <w:tc>
          <w:tcPr>
            <w:tcW w:w="2059" w:type="dxa"/>
            <w:tcBorders>
              <w:top w:val="nil"/>
              <w:left w:val="nil"/>
              <w:bottom w:val="nil"/>
              <w:right w:val="nil"/>
            </w:tcBorders>
            <w:shd w:val="clear" w:color="auto" w:fill="auto"/>
            <w:noWrap/>
            <w:vAlign w:val="bottom"/>
            <w:hideMark/>
          </w:tcPr>
          <w:p w14:paraId="5A517811" w14:textId="77777777" w:rsidR="00A80562" w:rsidRPr="00A80562" w:rsidRDefault="00A80562" w:rsidP="00A80562">
            <w:pPr>
              <w:spacing w:after="0" w:line="240" w:lineRule="auto"/>
              <w:jc w:val="left"/>
              <w:rPr>
                <w:rFonts w:eastAsia="Times New Roman"/>
                <w:sz w:val="16"/>
                <w:szCs w:val="16"/>
                <w:lang w:eastAsia="en-GB"/>
              </w:rPr>
            </w:pPr>
            <w:r w:rsidRPr="00A80562">
              <w:rPr>
                <w:rFonts w:eastAsia="Times New Roman"/>
                <w:sz w:val="16"/>
                <w:szCs w:val="16"/>
                <w:lang w:eastAsia="en-GB"/>
              </w:rPr>
              <w:t>(0, 0, 0)</w:t>
            </w:r>
          </w:p>
        </w:tc>
      </w:tr>
    </w:tbl>
    <w:p w14:paraId="1B99322D" w14:textId="77777777" w:rsidR="00A80562" w:rsidRDefault="00A80562" w:rsidP="00682538"/>
    <w:p w14:paraId="092085A8" w14:textId="004614D0" w:rsidR="00032C85" w:rsidRPr="00012A73" w:rsidRDefault="00032C85" w:rsidP="00682538">
      <w:pPr>
        <w:rPr>
          <w:i/>
        </w:rPr>
      </w:pPr>
      <w:r w:rsidRPr="00012A73">
        <w:t>All models estimated with Maximum Likelihood, except where all ARIMA terms are equal to 0 in which case models are estimated with OLS. All models cover the full weeks from March 1</w:t>
      </w:r>
      <w:r w:rsidRPr="00012A73">
        <w:rPr>
          <w:vertAlign w:val="superscript"/>
        </w:rPr>
        <w:t>st</w:t>
      </w:r>
      <w:r w:rsidRPr="00012A73">
        <w:t>, 2016 to July 4</w:t>
      </w:r>
      <w:r w:rsidRPr="00012A73">
        <w:rPr>
          <w:vertAlign w:val="superscript"/>
        </w:rPr>
        <w:t>th</w:t>
      </w:r>
      <w:r w:rsidRPr="00012A73">
        <w:t>, 2020 except for first admissions/referrals, which start from March 1</w:t>
      </w:r>
      <w:r w:rsidRPr="00012A73">
        <w:rPr>
          <w:vertAlign w:val="superscript"/>
        </w:rPr>
        <w:t>st</w:t>
      </w:r>
      <w:r w:rsidRPr="00012A73">
        <w:t>, 2018.</w:t>
      </w:r>
      <w:r w:rsidRPr="00012A73">
        <w:br/>
        <w:t>Significance levels: *</w:t>
      </w:r>
      <w:r w:rsidRPr="00012A73">
        <w:rPr>
          <w:i/>
        </w:rPr>
        <w:t xml:space="preserve">p&lt;0.1, **p&lt;0.05, </w:t>
      </w:r>
      <w:r w:rsidRPr="00012A73">
        <w:t xml:space="preserve"> ***</w:t>
      </w:r>
      <w:r w:rsidRPr="00012A73">
        <w:rPr>
          <w:i/>
        </w:rPr>
        <w:t>p&lt;0.01</w:t>
      </w:r>
    </w:p>
    <w:p w14:paraId="34C19DAF" w14:textId="5EB4AD24" w:rsidR="0004760B" w:rsidRDefault="0004760B" w:rsidP="00682538">
      <w:pPr>
        <w:rPr>
          <w:rFonts w:asciiTheme="majorHAnsi" w:eastAsiaTheme="majorEastAsia" w:hAnsiTheme="majorHAnsi" w:cstheme="majorBidi"/>
          <w:color w:val="2E74B5" w:themeColor="accent1" w:themeShade="BF"/>
          <w:sz w:val="26"/>
          <w:szCs w:val="26"/>
        </w:rPr>
      </w:pPr>
      <w:r>
        <w:br w:type="page"/>
      </w:r>
    </w:p>
    <w:p w14:paraId="1FBCB4D4" w14:textId="77777777" w:rsidR="00C813F0" w:rsidRDefault="00C813F0" w:rsidP="00682538">
      <w:pPr>
        <w:pStyle w:val="Heading2"/>
        <w:sectPr w:rsidR="00C813F0" w:rsidSect="004A79A8">
          <w:endnotePr>
            <w:numFmt w:val="decimal"/>
          </w:endnotePr>
          <w:pgSz w:w="16838" w:h="11906" w:orient="landscape"/>
          <w:pgMar w:top="720" w:right="720" w:bottom="720" w:left="720" w:header="708" w:footer="708" w:gutter="0"/>
          <w:cols w:space="708"/>
          <w:docGrid w:linePitch="360"/>
        </w:sectPr>
      </w:pPr>
    </w:p>
    <w:p w14:paraId="1B4DDCFC" w14:textId="453C4867" w:rsidR="006A59DE" w:rsidRDefault="00CC6F3D" w:rsidP="00682538">
      <w:pPr>
        <w:pStyle w:val="Heading2"/>
      </w:pPr>
      <w:r>
        <w:lastRenderedPageBreak/>
        <w:t>Appendix 2</w:t>
      </w:r>
      <w:r w:rsidR="006A59DE">
        <w:t xml:space="preserve"> –</w:t>
      </w:r>
      <w:r>
        <w:t xml:space="preserve"> Supplementary materials</w:t>
      </w:r>
    </w:p>
    <w:p w14:paraId="5EED3E1B" w14:textId="70BAFCBF" w:rsidR="00944CE6" w:rsidRDefault="00944CE6" w:rsidP="006C05EE">
      <w:pPr>
        <w:pStyle w:val="Heading3"/>
      </w:pPr>
      <w:r>
        <w:t xml:space="preserve">Appendix </w:t>
      </w:r>
      <w:r w:rsidR="00E7396F">
        <w:t>2</w:t>
      </w:r>
      <w:r>
        <w:t xml:space="preserve">.1 – </w:t>
      </w:r>
      <w:r w:rsidR="003D3167">
        <w:t>Representativeness of sample</w:t>
      </w:r>
    </w:p>
    <w:p w14:paraId="71F2191A" w14:textId="46ECD320" w:rsidR="00A1201C" w:rsidRPr="00A1201C" w:rsidRDefault="00A1201C" w:rsidP="00682538">
      <w:r>
        <w:t>Quality and Outcomes Framework, 2020-21</w:t>
      </w:r>
    </w:p>
    <w:tbl>
      <w:tblPr>
        <w:tblW w:w="8877" w:type="dxa"/>
        <w:tblLook w:val="04A0" w:firstRow="1" w:lastRow="0" w:firstColumn="1" w:lastColumn="0" w:noHBand="0" w:noVBand="1"/>
      </w:tblPr>
      <w:tblGrid>
        <w:gridCol w:w="1579"/>
        <w:gridCol w:w="1216"/>
        <w:gridCol w:w="1345"/>
        <w:gridCol w:w="1216"/>
        <w:gridCol w:w="1216"/>
        <w:gridCol w:w="1216"/>
        <w:gridCol w:w="1217"/>
      </w:tblGrid>
      <w:tr w:rsidR="005319D8" w:rsidRPr="005319D8" w14:paraId="47F940D4" w14:textId="77777777" w:rsidTr="00682538">
        <w:trPr>
          <w:trHeight w:val="213"/>
        </w:trPr>
        <w:tc>
          <w:tcPr>
            <w:tcW w:w="157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B3BB37" w14:textId="77777777" w:rsidR="005319D8" w:rsidRPr="00A80562" w:rsidRDefault="005319D8" w:rsidP="00682538">
            <w:pPr>
              <w:rPr>
                <w:sz w:val="16"/>
                <w:lang w:eastAsia="en-GB"/>
              </w:rPr>
            </w:pPr>
            <w:r w:rsidRPr="00A80562">
              <w:rPr>
                <w:sz w:val="16"/>
                <w:lang w:eastAsia="en-GB"/>
              </w:rPr>
              <w:t>Prevalence</w:t>
            </w:r>
          </w:p>
        </w:tc>
        <w:tc>
          <w:tcPr>
            <w:tcW w:w="364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92217E7" w14:textId="77777777" w:rsidR="005319D8" w:rsidRPr="00A80562" w:rsidRDefault="005319D8" w:rsidP="00682538">
            <w:pPr>
              <w:rPr>
                <w:sz w:val="16"/>
                <w:lang w:eastAsia="en-GB"/>
              </w:rPr>
            </w:pPr>
            <w:r w:rsidRPr="00A80562">
              <w:rPr>
                <w:sz w:val="16"/>
                <w:lang w:eastAsia="en-GB"/>
              </w:rPr>
              <w:t>OHFT CCGs</w:t>
            </w:r>
          </w:p>
        </w:tc>
        <w:tc>
          <w:tcPr>
            <w:tcW w:w="364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BFBDA7A" w14:textId="77777777" w:rsidR="005319D8" w:rsidRPr="00A80562" w:rsidRDefault="005319D8" w:rsidP="00682538">
            <w:pPr>
              <w:rPr>
                <w:sz w:val="16"/>
                <w:lang w:eastAsia="en-GB"/>
              </w:rPr>
            </w:pPr>
            <w:r w:rsidRPr="00A80562">
              <w:rPr>
                <w:sz w:val="16"/>
                <w:lang w:eastAsia="en-GB"/>
              </w:rPr>
              <w:t>England CCGs</w:t>
            </w:r>
          </w:p>
        </w:tc>
      </w:tr>
      <w:tr w:rsidR="005319D8" w:rsidRPr="005319D8" w14:paraId="2E0F6C77" w14:textId="77777777" w:rsidTr="005319D8">
        <w:trPr>
          <w:trHeight w:val="695"/>
        </w:trPr>
        <w:tc>
          <w:tcPr>
            <w:tcW w:w="1579" w:type="dxa"/>
            <w:vMerge/>
            <w:tcBorders>
              <w:top w:val="single" w:sz="4" w:space="0" w:color="auto"/>
              <w:left w:val="single" w:sz="4" w:space="0" w:color="auto"/>
              <w:bottom w:val="single" w:sz="4" w:space="0" w:color="000000"/>
              <w:right w:val="single" w:sz="4" w:space="0" w:color="auto"/>
            </w:tcBorders>
            <w:vAlign w:val="center"/>
            <w:hideMark/>
          </w:tcPr>
          <w:p w14:paraId="4038DBEF" w14:textId="77777777" w:rsidR="005319D8" w:rsidRPr="00A80562" w:rsidRDefault="005319D8" w:rsidP="00682538">
            <w:pPr>
              <w:rPr>
                <w:sz w:val="16"/>
                <w:lang w:eastAsia="en-GB"/>
              </w:rPr>
            </w:pPr>
          </w:p>
        </w:tc>
        <w:tc>
          <w:tcPr>
            <w:tcW w:w="1216" w:type="dxa"/>
            <w:tcBorders>
              <w:top w:val="nil"/>
              <w:left w:val="nil"/>
              <w:bottom w:val="single" w:sz="4" w:space="0" w:color="auto"/>
              <w:right w:val="single" w:sz="4" w:space="0" w:color="auto"/>
            </w:tcBorders>
            <w:shd w:val="clear" w:color="000000" w:fill="FFFFFF"/>
            <w:vAlign w:val="bottom"/>
            <w:hideMark/>
          </w:tcPr>
          <w:p w14:paraId="605A2E46" w14:textId="77777777" w:rsidR="005319D8" w:rsidRPr="00A80562" w:rsidRDefault="005319D8" w:rsidP="00682538">
            <w:pPr>
              <w:rPr>
                <w:sz w:val="16"/>
                <w:lang w:eastAsia="en-GB"/>
              </w:rPr>
            </w:pPr>
            <w:r w:rsidRPr="00A80562">
              <w:rPr>
                <w:sz w:val="16"/>
                <w:lang w:eastAsia="en-GB"/>
              </w:rPr>
              <w:t>Bath and North East Somerset, Swindon and Wiltshire</w:t>
            </w:r>
          </w:p>
        </w:tc>
        <w:tc>
          <w:tcPr>
            <w:tcW w:w="1216" w:type="dxa"/>
            <w:tcBorders>
              <w:top w:val="nil"/>
              <w:left w:val="nil"/>
              <w:bottom w:val="single" w:sz="4" w:space="0" w:color="auto"/>
              <w:right w:val="single" w:sz="4" w:space="0" w:color="auto"/>
            </w:tcBorders>
            <w:shd w:val="clear" w:color="auto" w:fill="auto"/>
            <w:vAlign w:val="bottom"/>
            <w:hideMark/>
          </w:tcPr>
          <w:p w14:paraId="7EAE1415" w14:textId="77777777" w:rsidR="005319D8" w:rsidRPr="00A80562" w:rsidRDefault="005319D8" w:rsidP="00682538">
            <w:pPr>
              <w:rPr>
                <w:sz w:val="16"/>
                <w:lang w:eastAsia="en-GB"/>
              </w:rPr>
            </w:pPr>
            <w:r w:rsidRPr="00A80562">
              <w:rPr>
                <w:sz w:val="16"/>
                <w:lang w:eastAsia="en-GB"/>
              </w:rPr>
              <w:t>Buckinghamshire</w:t>
            </w:r>
          </w:p>
        </w:tc>
        <w:tc>
          <w:tcPr>
            <w:tcW w:w="1216" w:type="dxa"/>
            <w:tcBorders>
              <w:top w:val="nil"/>
              <w:left w:val="nil"/>
              <w:bottom w:val="single" w:sz="4" w:space="0" w:color="auto"/>
              <w:right w:val="single" w:sz="4" w:space="0" w:color="auto"/>
            </w:tcBorders>
            <w:shd w:val="clear" w:color="000000" w:fill="FFFFFF"/>
            <w:vAlign w:val="bottom"/>
            <w:hideMark/>
          </w:tcPr>
          <w:p w14:paraId="774575F7" w14:textId="77777777" w:rsidR="005319D8" w:rsidRPr="00A80562" w:rsidRDefault="005319D8" w:rsidP="00682538">
            <w:pPr>
              <w:rPr>
                <w:sz w:val="16"/>
                <w:lang w:eastAsia="en-GB"/>
              </w:rPr>
            </w:pPr>
            <w:r w:rsidRPr="00A80562">
              <w:rPr>
                <w:sz w:val="16"/>
                <w:lang w:eastAsia="en-GB"/>
              </w:rPr>
              <w:t>Oxfordshire</w:t>
            </w:r>
          </w:p>
        </w:tc>
        <w:tc>
          <w:tcPr>
            <w:tcW w:w="1216" w:type="dxa"/>
            <w:tcBorders>
              <w:top w:val="nil"/>
              <w:left w:val="nil"/>
              <w:bottom w:val="single" w:sz="4" w:space="0" w:color="auto"/>
              <w:right w:val="single" w:sz="4" w:space="0" w:color="auto"/>
            </w:tcBorders>
            <w:shd w:val="clear" w:color="000000" w:fill="FFFFFF"/>
            <w:vAlign w:val="bottom"/>
            <w:hideMark/>
          </w:tcPr>
          <w:p w14:paraId="3ECB8D2D" w14:textId="77777777" w:rsidR="005319D8" w:rsidRPr="00A80562" w:rsidRDefault="005319D8" w:rsidP="00682538">
            <w:pPr>
              <w:rPr>
                <w:sz w:val="16"/>
                <w:lang w:eastAsia="en-GB"/>
              </w:rPr>
            </w:pPr>
            <w:r w:rsidRPr="00A80562">
              <w:rPr>
                <w:sz w:val="16"/>
                <w:lang w:eastAsia="en-GB"/>
              </w:rPr>
              <w:t>Lower quartile</w:t>
            </w:r>
          </w:p>
        </w:tc>
        <w:tc>
          <w:tcPr>
            <w:tcW w:w="1216" w:type="dxa"/>
            <w:tcBorders>
              <w:top w:val="nil"/>
              <w:left w:val="nil"/>
              <w:bottom w:val="single" w:sz="4" w:space="0" w:color="auto"/>
              <w:right w:val="single" w:sz="4" w:space="0" w:color="auto"/>
            </w:tcBorders>
            <w:shd w:val="clear" w:color="000000" w:fill="FFFFFF"/>
            <w:vAlign w:val="bottom"/>
            <w:hideMark/>
          </w:tcPr>
          <w:p w14:paraId="21F3C859" w14:textId="77777777" w:rsidR="005319D8" w:rsidRPr="00A80562" w:rsidRDefault="005319D8" w:rsidP="00682538">
            <w:pPr>
              <w:rPr>
                <w:sz w:val="16"/>
                <w:lang w:eastAsia="en-GB"/>
              </w:rPr>
            </w:pPr>
            <w:r w:rsidRPr="00A80562">
              <w:rPr>
                <w:sz w:val="16"/>
                <w:lang w:eastAsia="en-GB"/>
              </w:rPr>
              <w:t>Upper quartile</w:t>
            </w:r>
          </w:p>
        </w:tc>
        <w:tc>
          <w:tcPr>
            <w:tcW w:w="1216" w:type="dxa"/>
            <w:tcBorders>
              <w:top w:val="nil"/>
              <w:left w:val="nil"/>
              <w:bottom w:val="single" w:sz="4" w:space="0" w:color="auto"/>
              <w:right w:val="single" w:sz="4" w:space="0" w:color="auto"/>
            </w:tcBorders>
            <w:shd w:val="clear" w:color="auto" w:fill="auto"/>
            <w:vAlign w:val="bottom"/>
            <w:hideMark/>
          </w:tcPr>
          <w:p w14:paraId="2059BF5F" w14:textId="77777777" w:rsidR="005319D8" w:rsidRPr="00A80562" w:rsidRDefault="005319D8" w:rsidP="00682538">
            <w:pPr>
              <w:rPr>
                <w:sz w:val="16"/>
                <w:lang w:eastAsia="en-GB"/>
              </w:rPr>
            </w:pPr>
            <w:r w:rsidRPr="00A80562">
              <w:rPr>
                <w:sz w:val="16"/>
                <w:lang w:eastAsia="en-GB"/>
              </w:rPr>
              <w:t>Total</w:t>
            </w:r>
          </w:p>
        </w:tc>
      </w:tr>
      <w:tr w:rsidR="005319D8" w:rsidRPr="005319D8" w14:paraId="2C09A0CD" w14:textId="77777777" w:rsidTr="00682538">
        <w:trPr>
          <w:trHeight w:val="213"/>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14:paraId="20C0D99D" w14:textId="77777777" w:rsidR="005319D8" w:rsidRPr="00A80562" w:rsidRDefault="005319D8" w:rsidP="00682538">
            <w:pPr>
              <w:rPr>
                <w:sz w:val="16"/>
                <w:lang w:eastAsia="en-GB"/>
              </w:rPr>
            </w:pPr>
            <w:r w:rsidRPr="00A80562">
              <w:rPr>
                <w:sz w:val="16"/>
                <w:lang w:eastAsia="en-GB"/>
              </w:rPr>
              <w:t>Dementia</w:t>
            </w:r>
          </w:p>
        </w:tc>
        <w:tc>
          <w:tcPr>
            <w:tcW w:w="1216" w:type="dxa"/>
            <w:tcBorders>
              <w:top w:val="nil"/>
              <w:left w:val="nil"/>
              <w:bottom w:val="single" w:sz="4" w:space="0" w:color="auto"/>
              <w:right w:val="single" w:sz="4" w:space="0" w:color="auto"/>
            </w:tcBorders>
            <w:shd w:val="clear" w:color="auto" w:fill="auto"/>
            <w:noWrap/>
            <w:vAlign w:val="bottom"/>
            <w:hideMark/>
          </w:tcPr>
          <w:p w14:paraId="21692159" w14:textId="77777777" w:rsidR="005319D8" w:rsidRPr="00A80562" w:rsidRDefault="005319D8" w:rsidP="00682538">
            <w:pPr>
              <w:rPr>
                <w:sz w:val="16"/>
                <w:lang w:eastAsia="en-GB"/>
              </w:rPr>
            </w:pPr>
            <w:r w:rsidRPr="00A80562">
              <w:rPr>
                <w:sz w:val="16"/>
                <w:lang w:eastAsia="en-GB"/>
              </w:rPr>
              <w:t>0.8</w:t>
            </w:r>
          </w:p>
        </w:tc>
        <w:tc>
          <w:tcPr>
            <w:tcW w:w="1216" w:type="dxa"/>
            <w:tcBorders>
              <w:top w:val="nil"/>
              <w:left w:val="nil"/>
              <w:bottom w:val="single" w:sz="4" w:space="0" w:color="auto"/>
              <w:right w:val="single" w:sz="4" w:space="0" w:color="auto"/>
            </w:tcBorders>
            <w:shd w:val="clear" w:color="auto" w:fill="auto"/>
            <w:noWrap/>
            <w:vAlign w:val="bottom"/>
            <w:hideMark/>
          </w:tcPr>
          <w:p w14:paraId="5931077B" w14:textId="77777777" w:rsidR="005319D8" w:rsidRPr="00A80562" w:rsidRDefault="005319D8" w:rsidP="00682538">
            <w:pPr>
              <w:rPr>
                <w:sz w:val="16"/>
                <w:lang w:eastAsia="en-GB"/>
              </w:rPr>
            </w:pPr>
            <w:r w:rsidRPr="00A80562">
              <w:rPr>
                <w:sz w:val="16"/>
                <w:lang w:eastAsia="en-GB"/>
              </w:rPr>
              <w:t>0.7</w:t>
            </w:r>
          </w:p>
        </w:tc>
        <w:tc>
          <w:tcPr>
            <w:tcW w:w="1216" w:type="dxa"/>
            <w:tcBorders>
              <w:top w:val="nil"/>
              <w:left w:val="nil"/>
              <w:bottom w:val="single" w:sz="4" w:space="0" w:color="auto"/>
              <w:right w:val="single" w:sz="4" w:space="0" w:color="auto"/>
            </w:tcBorders>
            <w:shd w:val="clear" w:color="auto" w:fill="auto"/>
            <w:noWrap/>
            <w:vAlign w:val="bottom"/>
            <w:hideMark/>
          </w:tcPr>
          <w:p w14:paraId="48F8E3B5" w14:textId="77777777" w:rsidR="005319D8" w:rsidRPr="00A80562" w:rsidRDefault="005319D8" w:rsidP="00682538">
            <w:pPr>
              <w:rPr>
                <w:sz w:val="16"/>
                <w:lang w:eastAsia="en-GB"/>
              </w:rPr>
            </w:pPr>
            <w:r w:rsidRPr="00A80562">
              <w:rPr>
                <w:sz w:val="16"/>
                <w:lang w:eastAsia="en-GB"/>
              </w:rPr>
              <w:t>0.7</w:t>
            </w:r>
          </w:p>
        </w:tc>
        <w:tc>
          <w:tcPr>
            <w:tcW w:w="1216" w:type="dxa"/>
            <w:tcBorders>
              <w:top w:val="nil"/>
              <w:left w:val="nil"/>
              <w:bottom w:val="single" w:sz="4" w:space="0" w:color="auto"/>
              <w:right w:val="single" w:sz="4" w:space="0" w:color="auto"/>
            </w:tcBorders>
            <w:shd w:val="clear" w:color="auto" w:fill="auto"/>
            <w:noWrap/>
            <w:vAlign w:val="bottom"/>
            <w:hideMark/>
          </w:tcPr>
          <w:p w14:paraId="0F44716C" w14:textId="77777777" w:rsidR="005319D8" w:rsidRPr="00A80562" w:rsidRDefault="005319D8" w:rsidP="00682538">
            <w:pPr>
              <w:rPr>
                <w:sz w:val="16"/>
                <w:lang w:eastAsia="en-GB"/>
              </w:rPr>
            </w:pPr>
            <w:r w:rsidRPr="00A80562">
              <w:rPr>
                <w:sz w:val="16"/>
                <w:lang w:eastAsia="en-GB"/>
              </w:rPr>
              <w:t>0.7</w:t>
            </w:r>
          </w:p>
        </w:tc>
        <w:tc>
          <w:tcPr>
            <w:tcW w:w="1216" w:type="dxa"/>
            <w:tcBorders>
              <w:top w:val="nil"/>
              <w:left w:val="nil"/>
              <w:bottom w:val="single" w:sz="4" w:space="0" w:color="auto"/>
              <w:right w:val="single" w:sz="4" w:space="0" w:color="auto"/>
            </w:tcBorders>
            <w:shd w:val="clear" w:color="auto" w:fill="auto"/>
            <w:noWrap/>
            <w:vAlign w:val="bottom"/>
            <w:hideMark/>
          </w:tcPr>
          <w:p w14:paraId="4FBFE778" w14:textId="77777777" w:rsidR="005319D8" w:rsidRPr="00A80562" w:rsidRDefault="005319D8" w:rsidP="00682538">
            <w:pPr>
              <w:rPr>
                <w:sz w:val="16"/>
                <w:lang w:eastAsia="en-GB"/>
              </w:rPr>
            </w:pPr>
            <w:r w:rsidRPr="00A80562">
              <w:rPr>
                <w:sz w:val="16"/>
                <w:lang w:eastAsia="en-GB"/>
              </w:rPr>
              <w:t>0.9</w:t>
            </w:r>
          </w:p>
        </w:tc>
        <w:tc>
          <w:tcPr>
            <w:tcW w:w="1216" w:type="dxa"/>
            <w:tcBorders>
              <w:top w:val="nil"/>
              <w:left w:val="nil"/>
              <w:bottom w:val="single" w:sz="4" w:space="0" w:color="auto"/>
              <w:right w:val="single" w:sz="4" w:space="0" w:color="auto"/>
            </w:tcBorders>
            <w:shd w:val="clear" w:color="auto" w:fill="auto"/>
            <w:noWrap/>
            <w:vAlign w:val="bottom"/>
            <w:hideMark/>
          </w:tcPr>
          <w:p w14:paraId="101FB905" w14:textId="77777777" w:rsidR="005319D8" w:rsidRPr="00A80562" w:rsidRDefault="005319D8" w:rsidP="00682538">
            <w:pPr>
              <w:rPr>
                <w:sz w:val="16"/>
                <w:lang w:eastAsia="en-GB"/>
              </w:rPr>
            </w:pPr>
            <w:r w:rsidRPr="00A80562">
              <w:rPr>
                <w:sz w:val="16"/>
                <w:lang w:eastAsia="en-GB"/>
              </w:rPr>
              <w:t>0.8</w:t>
            </w:r>
          </w:p>
        </w:tc>
      </w:tr>
      <w:tr w:rsidR="005319D8" w:rsidRPr="005319D8" w14:paraId="58E61FCF" w14:textId="77777777" w:rsidTr="00682538">
        <w:trPr>
          <w:trHeight w:val="213"/>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14:paraId="086AA3DB" w14:textId="77777777" w:rsidR="005319D8" w:rsidRPr="00A80562" w:rsidRDefault="005319D8" w:rsidP="00682538">
            <w:pPr>
              <w:rPr>
                <w:sz w:val="16"/>
                <w:lang w:eastAsia="en-GB"/>
              </w:rPr>
            </w:pPr>
            <w:r w:rsidRPr="00A80562">
              <w:rPr>
                <w:sz w:val="16"/>
                <w:lang w:eastAsia="en-GB"/>
              </w:rPr>
              <w:t>Depression</w:t>
            </w:r>
          </w:p>
        </w:tc>
        <w:tc>
          <w:tcPr>
            <w:tcW w:w="1216" w:type="dxa"/>
            <w:tcBorders>
              <w:top w:val="nil"/>
              <w:left w:val="nil"/>
              <w:bottom w:val="single" w:sz="4" w:space="0" w:color="auto"/>
              <w:right w:val="single" w:sz="4" w:space="0" w:color="auto"/>
            </w:tcBorders>
            <w:shd w:val="clear" w:color="auto" w:fill="auto"/>
            <w:noWrap/>
            <w:vAlign w:val="bottom"/>
            <w:hideMark/>
          </w:tcPr>
          <w:p w14:paraId="7E1CB1B1" w14:textId="77777777" w:rsidR="005319D8" w:rsidRPr="00A80562" w:rsidRDefault="005319D8" w:rsidP="00682538">
            <w:pPr>
              <w:rPr>
                <w:sz w:val="16"/>
                <w:lang w:eastAsia="en-GB"/>
              </w:rPr>
            </w:pPr>
            <w:r w:rsidRPr="00A80562">
              <w:rPr>
                <w:sz w:val="16"/>
                <w:lang w:eastAsia="en-GB"/>
              </w:rPr>
              <w:t>11.1</w:t>
            </w:r>
          </w:p>
        </w:tc>
        <w:tc>
          <w:tcPr>
            <w:tcW w:w="1216" w:type="dxa"/>
            <w:tcBorders>
              <w:top w:val="nil"/>
              <w:left w:val="nil"/>
              <w:bottom w:val="single" w:sz="4" w:space="0" w:color="auto"/>
              <w:right w:val="single" w:sz="4" w:space="0" w:color="auto"/>
            </w:tcBorders>
            <w:shd w:val="clear" w:color="auto" w:fill="auto"/>
            <w:noWrap/>
            <w:vAlign w:val="bottom"/>
            <w:hideMark/>
          </w:tcPr>
          <w:p w14:paraId="2DD9C8CA" w14:textId="77777777" w:rsidR="005319D8" w:rsidRPr="00A80562" w:rsidRDefault="005319D8" w:rsidP="00682538">
            <w:pPr>
              <w:rPr>
                <w:sz w:val="16"/>
                <w:lang w:eastAsia="en-GB"/>
              </w:rPr>
            </w:pPr>
            <w:r w:rsidRPr="00A80562">
              <w:rPr>
                <w:sz w:val="16"/>
                <w:lang w:eastAsia="en-GB"/>
              </w:rPr>
              <w:t>12.1</w:t>
            </w:r>
          </w:p>
        </w:tc>
        <w:tc>
          <w:tcPr>
            <w:tcW w:w="1216" w:type="dxa"/>
            <w:tcBorders>
              <w:top w:val="nil"/>
              <w:left w:val="nil"/>
              <w:bottom w:val="single" w:sz="4" w:space="0" w:color="auto"/>
              <w:right w:val="single" w:sz="4" w:space="0" w:color="auto"/>
            </w:tcBorders>
            <w:shd w:val="clear" w:color="auto" w:fill="auto"/>
            <w:noWrap/>
            <w:vAlign w:val="bottom"/>
            <w:hideMark/>
          </w:tcPr>
          <w:p w14:paraId="16F8C008" w14:textId="77777777" w:rsidR="005319D8" w:rsidRPr="00A80562" w:rsidRDefault="005319D8" w:rsidP="00682538">
            <w:pPr>
              <w:rPr>
                <w:sz w:val="16"/>
                <w:lang w:eastAsia="en-GB"/>
              </w:rPr>
            </w:pPr>
            <w:r w:rsidRPr="00A80562">
              <w:rPr>
                <w:sz w:val="16"/>
                <w:lang w:eastAsia="en-GB"/>
              </w:rPr>
              <w:t>12.6</w:t>
            </w:r>
          </w:p>
        </w:tc>
        <w:tc>
          <w:tcPr>
            <w:tcW w:w="1216" w:type="dxa"/>
            <w:tcBorders>
              <w:top w:val="nil"/>
              <w:left w:val="nil"/>
              <w:bottom w:val="single" w:sz="4" w:space="0" w:color="auto"/>
              <w:right w:val="single" w:sz="4" w:space="0" w:color="auto"/>
            </w:tcBorders>
            <w:shd w:val="clear" w:color="auto" w:fill="auto"/>
            <w:noWrap/>
            <w:vAlign w:val="bottom"/>
            <w:hideMark/>
          </w:tcPr>
          <w:p w14:paraId="5FEBB3CB" w14:textId="77777777" w:rsidR="005319D8" w:rsidRPr="00A80562" w:rsidRDefault="005319D8" w:rsidP="00682538">
            <w:pPr>
              <w:rPr>
                <w:sz w:val="16"/>
                <w:lang w:eastAsia="en-GB"/>
              </w:rPr>
            </w:pPr>
            <w:r w:rsidRPr="00A80562">
              <w:rPr>
                <w:sz w:val="16"/>
                <w:lang w:eastAsia="en-GB"/>
              </w:rPr>
              <w:t>11.7</w:t>
            </w:r>
          </w:p>
        </w:tc>
        <w:tc>
          <w:tcPr>
            <w:tcW w:w="1216" w:type="dxa"/>
            <w:tcBorders>
              <w:top w:val="nil"/>
              <w:left w:val="nil"/>
              <w:bottom w:val="single" w:sz="4" w:space="0" w:color="auto"/>
              <w:right w:val="single" w:sz="4" w:space="0" w:color="auto"/>
            </w:tcBorders>
            <w:shd w:val="clear" w:color="auto" w:fill="auto"/>
            <w:noWrap/>
            <w:vAlign w:val="bottom"/>
            <w:hideMark/>
          </w:tcPr>
          <w:p w14:paraId="705D581F" w14:textId="77777777" w:rsidR="005319D8" w:rsidRPr="00A80562" w:rsidRDefault="005319D8" w:rsidP="00682538">
            <w:pPr>
              <w:rPr>
                <w:sz w:val="16"/>
                <w:lang w:eastAsia="en-GB"/>
              </w:rPr>
            </w:pPr>
            <w:r w:rsidRPr="00A80562">
              <w:rPr>
                <w:sz w:val="16"/>
                <w:lang w:eastAsia="en-GB"/>
              </w:rPr>
              <w:t>14.5</w:t>
            </w:r>
          </w:p>
        </w:tc>
        <w:tc>
          <w:tcPr>
            <w:tcW w:w="1216" w:type="dxa"/>
            <w:tcBorders>
              <w:top w:val="nil"/>
              <w:left w:val="nil"/>
              <w:bottom w:val="single" w:sz="4" w:space="0" w:color="auto"/>
              <w:right w:val="single" w:sz="4" w:space="0" w:color="auto"/>
            </w:tcBorders>
            <w:shd w:val="clear" w:color="auto" w:fill="auto"/>
            <w:noWrap/>
            <w:vAlign w:val="bottom"/>
            <w:hideMark/>
          </w:tcPr>
          <w:p w14:paraId="480A943F" w14:textId="77777777" w:rsidR="005319D8" w:rsidRPr="00A80562" w:rsidRDefault="005319D8" w:rsidP="00682538">
            <w:pPr>
              <w:rPr>
                <w:sz w:val="16"/>
                <w:lang w:eastAsia="en-GB"/>
              </w:rPr>
            </w:pPr>
            <w:r w:rsidRPr="00A80562">
              <w:rPr>
                <w:sz w:val="16"/>
                <w:lang w:eastAsia="en-GB"/>
              </w:rPr>
              <w:t>13.1</w:t>
            </w:r>
          </w:p>
        </w:tc>
      </w:tr>
      <w:tr w:rsidR="005319D8" w:rsidRPr="005319D8" w14:paraId="4A8DA14E" w14:textId="77777777" w:rsidTr="00682538">
        <w:trPr>
          <w:trHeight w:val="213"/>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14:paraId="0F5F29C2" w14:textId="77777777" w:rsidR="005319D8" w:rsidRPr="00A80562" w:rsidRDefault="005319D8" w:rsidP="00682538">
            <w:pPr>
              <w:rPr>
                <w:sz w:val="16"/>
                <w:lang w:eastAsia="en-GB"/>
              </w:rPr>
            </w:pPr>
            <w:r w:rsidRPr="00A80562">
              <w:rPr>
                <w:sz w:val="16"/>
                <w:lang w:eastAsia="en-GB"/>
              </w:rPr>
              <w:t>Epilepsy</w:t>
            </w:r>
          </w:p>
        </w:tc>
        <w:tc>
          <w:tcPr>
            <w:tcW w:w="1216" w:type="dxa"/>
            <w:tcBorders>
              <w:top w:val="nil"/>
              <w:left w:val="nil"/>
              <w:bottom w:val="single" w:sz="4" w:space="0" w:color="auto"/>
              <w:right w:val="single" w:sz="4" w:space="0" w:color="auto"/>
            </w:tcBorders>
            <w:shd w:val="clear" w:color="auto" w:fill="auto"/>
            <w:noWrap/>
            <w:vAlign w:val="bottom"/>
            <w:hideMark/>
          </w:tcPr>
          <w:p w14:paraId="50D1BDFC" w14:textId="77777777" w:rsidR="005319D8" w:rsidRPr="00A80562" w:rsidRDefault="005319D8" w:rsidP="00682538">
            <w:pPr>
              <w:rPr>
                <w:sz w:val="16"/>
                <w:lang w:eastAsia="en-GB"/>
              </w:rPr>
            </w:pPr>
            <w:r w:rsidRPr="00A80562">
              <w:rPr>
                <w:sz w:val="16"/>
                <w:lang w:eastAsia="en-GB"/>
              </w:rPr>
              <w:t>0.8</w:t>
            </w:r>
          </w:p>
        </w:tc>
        <w:tc>
          <w:tcPr>
            <w:tcW w:w="1216" w:type="dxa"/>
            <w:tcBorders>
              <w:top w:val="nil"/>
              <w:left w:val="nil"/>
              <w:bottom w:val="single" w:sz="4" w:space="0" w:color="auto"/>
              <w:right w:val="single" w:sz="4" w:space="0" w:color="auto"/>
            </w:tcBorders>
            <w:shd w:val="clear" w:color="auto" w:fill="auto"/>
            <w:noWrap/>
            <w:vAlign w:val="bottom"/>
            <w:hideMark/>
          </w:tcPr>
          <w:p w14:paraId="19724377" w14:textId="77777777" w:rsidR="005319D8" w:rsidRPr="00A80562" w:rsidRDefault="005319D8" w:rsidP="00682538">
            <w:pPr>
              <w:rPr>
                <w:sz w:val="16"/>
                <w:lang w:eastAsia="en-GB"/>
              </w:rPr>
            </w:pPr>
            <w:r w:rsidRPr="00A80562">
              <w:rPr>
                <w:sz w:val="16"/>
                <w:lang w:eastAsia="en-GB"/>
              </w:rPr>
              <w:t>0.7</w:t>
            </w:r>
          </w:p>
        </w:tc>
        <w:tc>
          <w:tcPr>
            <w:tcW w:w="1216" w:type="dxa"/>
            <w:tcBorders>
              <w:top w:val="nil"/>
              <w:left w:val="nil"/>
              <w:bottom w:val="single" w:sz="4" w:space="0" w:color="auto"/>
              <w:right w:val="single" w:sz="4" w:space="0" w:color="auto"/>
            </w:tcBorders>
            <w:shd w:val="clear" w:color="auto" w:fill="auto"/>
            <w:noWrap/>
            <w:vAlign w:val="bottom"/>
            <w:hideMark/>
          </w:tcPr>
          <w:p w14:paraId="4F92FAAE" w14:textId="77777777" w:rsidR="005319D8" w:rsidRPr="00A80562" w:rsidRDefault="005319D8" w:rsidP="00682538">
            <w:pPr>
              <w:rPr>
                <w:sz w:val="16"/>
                <w:lang w:eastAsia="en-GB"/>
              </w:rPr>
            </w:pPr>
            <w:r w:rsidRPr="00A80562">
              <w:rPr>
                <w:sz w:val="16"/>
                <w:lang w:eastAsia="en-GB"/>
              </w:rPr>
              <w:t>0.7</w:t>
            </w:r>
          </w:p>
        </w:tc>
        <w:tc>
          <w:tcPr>
            <w:tcW w:w="1216" w:type="dxa"/>
            <w:tcBorders>
              <w:top w:val="nil"/>
              <w:left w:val="nil"/>
              <w:bottom w:val="single" w:sz="4" w:space="0" w:color="auto"/>
              <w:right w:val="single" w:sz="4" w:space="0" w:color="auto"/>
            </w:tcBorders>
            <w:shd w:val="clear" w:color="auto" w:fill="auto"/>
            <w:noWrap/>
            <w:vAlign w:val="bottom"/>
            <w:hideMark/>
          </w:tcPr>
          <w:p w14:paraId="54A7C5DE" w14:textId="77777777" w:rsidR="005319D8" w:rsidRPr="00A80562" w:rsidRDefault="005319D8" w:rsidP="00682538">
            <w:pPr>
              <w:rPr>
                <w:sz w:val="16"/>
                <w:lang w:eastAsia="en-GB"/>
              </w:rPr>
            </w:pPr>
            <w:r w:rsidRPr="00A80562">
              <w:rPr>
                <w:sz w:val="16"/>
                <w:lang w:eastAsia="en-GB"/>
              </w:rPr>
              <w:t>0.8</w:t>
            </w:r>
          </w:p>
        </w:tc>
        <w:tc>
          <w:tcPr>
            <w:tcW w:w="1216" w:type="dxa"/>
            <w:tcBorders>
              <w:top w:val="nil"/>
              <w:left w:val="nil"/>
              <w:bottom w:val="single" w:sz="4" w:space="0" w:color="auto"/>
              <w:right w:val="single" w:sz="4" w:space="0" w:color="auto"/>
            </w:tcBorders>
            <w:shd w:val="clear" w:color="auto" w:fill="auto"/>
            <w:noWrap/>
            <w:vAlign w:val="bottom"/>
            <w:hideMark/>
          </w:tcPr>
          <w:p w14:paraId="435EBBA0" w14:textId="77777777" w:rsidR="005319D8" w:rsidRPr="00A80562" w:rsidRDefault="005319D8" w:rsidP="00682538">
            <w:pPr>
              <w:rPr>
                <w:sz w:val="16"/>
                <w:lang w:eastAsia="en-GB"/>
              </w:rPr>
            </w:pPr>
            <w:r w:rsidRPr="00A80562">
              <w:rPr>
                <w:sz w:val="16"/>
                <w:lang w:eastAsia="en-GB"/>
              </w:rPr>
              <w:t>0.9</w:t>
            </w:r>
          </w:p>
        </w:tc>
        <w:tc>
          <w:tcPr>
            <w:tcW w:w="1216" w:type="dxa"/>
            <w:tcBorders>
              <w:top w:val="nil"/>
              <w:left w:val="nil"/>
              <w:bottom w:val="single" w:sz="4" w:space="0" w:color="auto"/>
              <w:right w:val="single" w:sz="4" w:space="0" w:color="auto"/>
            </w:tcBorders>
            <w:shd w:val="clear" w:color="auto" w:fill="auto"/>
            <w:noWrap/>
            <w:vAlign w:val="bottom"/>
            <w:hideMark/>
          </w:tcPr>
          <w:p w14:paraId="2450CB22" w14:textId="77777777" w:rsidR="005319D8" w:rsidRPr="00A80562" w:rsidRDefault="005319D8" w:rsidP="00682538">
            <w:pPr>
              <w:rPr>
                <w:sz w:val="16"/>
                <w:lang w:eastAsia="en-GB"/>
              </w:rPr>
            </w:pPr>
            <w:r w:rsidRPr="00A80562">
              <w:rPr>
                <w:sz w:val="16"/>
                <w:lang w:eastAsia="en-GB"/>
              </w:rPr>
              <w:t>0.9</w:t>
            </w:r>
          </w:p>
        </w:tc>
      </w:tr>
      <w:tr w:rsidR="005319D8" w:rsidRPr="005319D8" w14:paraId="3AC33F1A" w14:textId="77777777" w:rsidTr="00682538">
        <w:trPr>
          <w:trHeight w:val="213"/>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14:paraId="367211E4" w14:textId="77777777" w:rsidR="005319D8" w:rsidRPr="00A80562" w:rsidRDefault="005319D8" w:rsidP="00682538">
            <w:pPr>
              <w:rPr>
                <w:sz w:val="16"/>
                <w:lang w:eastAsia="en-GB"/>
              </w:rPr>
            </w:pPr>
            <w:r w:rsidRPr="00A80562">
              <w:rPr>
                <w:sz w:val="16"/>
                <w:lang w:eastAsia="en-GB"/>
              </w:rPr>
              <w:t>Learning disabilities</w:t>
            </w:r>
          </w:p>
        </w:tc>
        <w:tc>
          <w:tcPr>
            <w:tcW w:w="1216" w:type="dxa"/>
            <w:tcBorders>
              <w:top w:val="nil"/>
              <w:left w:val="nil"/>
              <w:bottom w:val="single" w:sz="4" w:space="0" w:color="auto"/>
              <w:right w:val="single" w:sz="4" w:space="0" w:color="auto"/>
            </w:tcBorders>
            <w:shd w:val="clear" w:color="auto" w:fill="auto"/>
            <w:noWrap/>
            <w:vAlign w:val="bottom"/>
            <w:hideMark/>
          </w:tcPr>
          <w:p w14:paraId="51252886" w14:textId="77777777" w:rsidR="005319D8" w:rsidRPr="00A80562" w:rsidRDefault="005319D8" w:rsidP="00682538">
            <w:pPr>
              <w:rPr>
                <w:sz w:val="16"/>
                <w:lang w:eastAsia="en-GB"/>
              </w:rPr>
            </w:pPr>
            <w:r w:rsidRPr="00A80562">
              <w:rPr>
                <w:sz w:val="16"/>
                <w:lang w:eastAsia="en-GB"/>
              </w:rPr>
              <w:t>0.5</w:t>
            </w:r>
          </w:p>
        </w:tc>
        <w:tc>
          <w:tcPr>
            <w:tcW w:w="1216" w:type="dxa"/>
            <w:tcBorders>
              <w:top w:val="nil"/>
              <w:left w:val="nil"/>
              <w:bottom w:val="single" w:sz="4" w:space="0" w:color="auto"/>
              <w:right w:val="single" w:sz="4" w:space="0" w:color="auto"/>
            </w:tcBorders>
            <w:shd w:val="clear" w:color="auto" w:fill="auto"/>
            <w:noWrap/>
            <w:vAlign w:val="bottom"/>
            <w:hideMark/>
          </w:tcPr>
          <w:p w14:paraId="19908E93" w14:textId="77777777" w:rsidR="005319D8" w:rsidRPr="00A80562" w:rsidRDefault="005319D8" w:rsidP="00682538">
            <w:pPr>
              <w:rPr>
                <w:sz w:val="16"/>
                <w:lang w:eastAsia="en-GB"/>
              </w:rPr>
            </w:pPr>
            <w:r w:rsidRPr="00A80562">
              <w:rPr>
                <w:sz w:val="16"/>
                <w:lang w:eastAsia="en-GB"/>
              </w:rPr>
              <w:t>0.4</w:t>
            </w:r>
          </w:p>
        </w:tc>
        <w:tc>
          <w:tcPr>
            <w:tcW w:w="1216" w:type="dxa"/>
            <w:tcBorders>
              <w:top w:val="nil"/>
              <w:left w:val="nil"/>
              <w:bottom w:val="single" w:sz="4" w:space="0" w:color="auto"/>
              <w:right w:val="single" w:sz="4" w:space="0" w:color="auto"/>
            </w:tcBorders>
            <w:shd w:val="clear" w:color="auto" w:fill="auto"/>
            <w:noWrap/>
            <w:vAlign w:val="bottom"/>
            <w:hideMark/>
          </w:tcPr>
          <w:p w14:paraId="59BA5479" w14:textId="77777777" w:rsidR="005319D8" w:rsidRPr="00A80562" w:rsidRDefault="005319D8" w:rsidP="00682538">
            <w:pPr>
              <w:rPr>
                <w:sz w:val="16"/>
                <w:lang w:eastAsia="en-GB"/>
              </w:rPr>
            </w:pPr>
            <w:r w:rsidRPr="00A80562">
              <w:rPr>
                <w:sz w:val="16"/>
                <w:lang w:eastAsia="en-GB"/>
              </w:rPr>
              <w:t>0.4</w:t>
            </w:r>
          </w:p>
        </w:tc>
        <w:tc>
          <w:tcPr>
            <w:tcW w:w="1216" w:type="dxa"/>
            <w:tcBorders>
              <w:top w:val="nil"/>
              <w:left w:val="nil"/>
              <w:bottom w:val="single" w:sz="4" w:space="0" w:color="auto"/>
              <w:right w:val="single" w:sz="4" w:space="0" w:color="auto"/>
            </w:tcBorders>
            <w:shd w:val="clear" w:color="auto" w:fill="auto"/>
            <w:noWrap/>
            <w:vAlign w:val="bottom"/>
            <w:hideMark/>
          </w:tcPr>
          <w:p w14:paraId="5C479333" w14:textId="77777777" w:rsidR="005319D8" w:rsidRPr="00A80562" w:rsidRDefault="005319D8" w:rsidP="00682538">
            <w:pPr>
              <w:rPr>
                <w:sz w:val="16"/>
                <w:lang w:eastAsia="en-GB"/>
              </w:rPr>
            </w:pPr>
            <w:r w:rsidRPr="00A80562">
              <w:rPr>
                <w:sz w:val="16"/>
                <w:lang w:eastAsia="en-GB"/>
              </w:rPr>
              <w:t>0.5</w:t>
            </w:r>
          </w:p>
        </w:tc>
        <w:tc>
          <w:tcPr>
            <w:tcW w:w="1216" w:type="dxa"/>
            <w:tcBorders>
              <w:top w:val="nil"/>
              <w:left w:val="nil"/>
              <w:bottom w:val="single" w:sz="4" w:space="0" w:color="auto"/>
              <w:right w:val="single" w:sz="4" w:space="0" w:color="auto"/>
            </w:tcBorders>
            <w:shd w:val="clear" w:color="auto" w:fill="auto"/>
            <w:noWrap/>
            <w:vAlign w:val="bottom"/>
            <w:hideMark/>
          </w:tcPr>
          <w:p w14:paraId="40E70549" w14:textId="77777777" w:rsidR="005319D8" w:rsidRPr="00A80562" w:rsidRDefault="005319D8" w:rsidP="00682538">
            <w:pPr>
              <w:rPr>
                <w:sz w:val="16"/>
                <w:lang w:eastAsia="en-GB"/>
              </w:rPr>
            </w:pPr>
            <w:r w:rsidRPr="00A80562">
              <w:rPr>
                <w:sz w:val="16"/>
                <w:lang w:eastAsia="en-GB"/>
              </w:rPr>
              <w:t>0.6</w:t>
            </w:r>
          </w:p>
        </w:tc>
        <w:tc>
          <w:tcPr>
            <w:tcW w:w="1216" w:type="dxa"/>
            <w:tcBorders>
              <w:top w:val="nil"/>
              <w:left w:val="nil"/>
              <w:bottom w:val="single" w:sz="4" w:space="0" w:color="auto"/>
              <w:right w:val="single" w:sz="4" w:space="0" w:color="auto"/>
            </w:tcBorders>
            <w:shd w:val="clear" w:color="auto" w:fill="auto"/>
            <w:noWrap/>
            <w:vAlign w:val="bottom"/>
            <w:hideMark/>
          </w:tcPr>
          <w:p w14:paraId="79C2A1B9" w14:textId="77777777" w:rsidR="005319D8" w:rsidRPr="00A80562" w:rsidRDefault="005319D8" w:rsidP="00682538">
            <w:pPr>
              <w:rPr>
                <w:sz w:val="16"/>
                <w:lang w:eastAsia="en-GB"/>
              </w:rPr>
            </w:pPr>
            <w:r w:rsidRPr="00A80562">
              <w:rPr>
                <w:sz w:val="16"/>
                <w:lang w:eastAsia="en-GB"/>
              </w:rPr>
              <w:t>0.6</w:t>
            </w:r>
          </w:p>
        </w:tc>
      </w:tr>
      <w:tr w:rsidR="005319D8" w:rsidRPr="005319D8" w14:paraId="23A33FEA" w14:textId="77777777" w:rsidTr="00682538">
        <w:trPr>
          <w:trHeight w:val="213"/>
        </w:trPr>
        <w:tc>
          <w:tcPr>
            <w:tcW w:w="1579" w:type="dxa"/>
            <w:tcBorders>
              <w:top w:val="nil"/>
              <w:left w:val="single" w:sz="4" w:space="0" w:color="auto"/>
              <w:bottom w:val="single" w:sz="4" w:space="0" w:color="auto"/>
              <w:right w:val="single" w:sz="4" w:space="0" w:color="auto"/>
            </w:tcBorders>
            <w:shd w:val="clear" w:color="auto" w:fill="auto"/>
            <w:noWrap/>
            <w:vAlign w:val="bottom"/>
            <w:hideMark/>
          </w:tcPr>
          <w:p w14:paraId="6F589CE3" w14:textId="77777777" w:rsidR="005319D8" w:rsidRPr="00A80562" w:rsidRDefault="005319D8" w:rsidP="00682538">
            <w:pPr>
              <w:rPr>
                <w:sz w:val="16"/>
                <w:lang w:eastAsia="en-GB"/>
              </w:rPr>
            </w:pPr>
            <w:r w:rsidRPr="00A80562">
              <w:rPr>
                <w:sz w:val="16"/>
                <w:lang w:eastAsia="en-GB"/>
              </w:rPr>
              <w:t>Mental Health</w:t>
            </w:r>
          </w:p>
        </w:tc>
        <w:tc>
          <w:tcPr>
            <w:tcW w:w="1216" w:type="dxa"/>
            <w:tcBorders>
              <w:top w:val="nil"/>
              <w:left w:val="nil"/>
              <w:bottom w:val="single" w:sz="4" w:space="0" w:color="auto"/>
              <w:right w:val="single" w:sz="4" w:space="0" w:color="auto"/>
            </w:tcBorders>
            <w:shd w:val="clear" w:color="auto" w:fill="auto"/>
            <w:noWrap/>
            <w:vAlign w:val="bottom"/>
            <w:hideMark/>
          </w:tcPr>
          <w:p w14:paraId="3587A581" w14:textId="77777777" w:rsidR="005319D8" w:rsidRPr="00A80562" w:rsidRDefault="005319D8" w:rsidP="00682538">
            <w:pPr>
              <w:rPr>
                <w:sz w:val="16"/>
                <w:lang w:eastAsia="en-GB"/>
              </w:rPr>
            </w:pPr>
            <w:r w:rsidRPr="00A80562">
              <w:rPr>
                <w:sz w:val="16"/>
                <w:lang w:eastAsia="en-GB"/>
              </w:rPr>
              <w:t>0.8</w:t>
            </w:r>
          </w:p>
        </w:tc>
        <w:tc>
          <w:tcPr>
            <w:tcW w:w="1216" w:type="dxa"/>
            <w:tcBorders>
              <w:top w:val="nil"/>
              <w:left w:val="nil"/>
              <w:bottom w:val="single" w:sz="4" w:space="0" w:color="auto"/>
              <w:right w:val="single" w:sz="4" w:space="0" w:color="auto"/>
            </w:tcBorders>
            <w:shd w:val="clear" w:color="auto" w:fill="auto"/>
            <w:noWrap/>
            <w:vAlign w:val="bottom"/>
            <w:hideMark/>
          </w:tcPr>
          <w:p w14:paraId="2FE51537" w14:textId="77777777" w:rsidR="005319D8" w:rsidRPr="00A80562" w:rsidRDefault="005319D8" w:rsidP="00682538">
            <w:pPr>
              <w:rPr>
                <w:sz w:val="16"/>
                <w:lang w:eastAsia="en-GB"/>
              </w:rPr>
            </w:pPr>
            <w:r w:rsidRPr="00A80562">
              <w:rPr>
                <w:sz w:val="16"/>
                <w:lang w:eastAsia="en-GB"/>
              </w:rPr>
              <w:t>0.8</w:t>
            </w:r>
          </w:p>
        </w:tc>
        <w:tc>
          <w:tcPr>
            <w:tcW w:w="1216" w:type="dxa"/>
            <w:tcBorders>
              <w:top w:val="nil"/>
              <w:left w:val="nil"/>
              <w:bottom w:val="single" w:sz="4" w:space="0" w:color="auto"/>
              <w:right w:val="single" w:sz="4" w:space="0" w:color="auto"/>
            </w:tcBorders>
            <w:shd w:val="clear" w:color="auto" w:fill="auto"/>
            <w:noWrap/>
            <w:vAlign w:val="bottom"/>
            <w:hideMark/>
          </w:tcPr>
          <w:p w14:paraId="026BA02C" w14:textId="77777777" w:rsidR="005319D8" w:rsidRPr="00A80562" w:rsidRDefault="005319D8" w:rsidP="00682538">
            <w:pPr>
              <w:rPr>
                <w:sz w:val="16"/>
                <w:lang w:eastAsia="en-GB"/>
              </w:rPr>
            </w:pPr>
            <w:r w:rsidRPr="00A80562">
              <w:rPr>
                <w:sz w:val="16"/>
                <w:lang w:eastAsia="en-GB"/>
              </w:rPr>
              <w:t>0.8</w:t>
            </w:r>
          </w:p>
        </w:tc>
        <w:tc>
          <w:tcPr>
            <w:tcW w:w="1216" w:type="dxa"/>
            <w:tcBorders>
              <w:top w:val="nil"/>
              <w:left w:val="nil"/>
              <w:bottom w:val="single" w:sz="4" w:space="0" w:color="auto"/>
              <w:right w:val="single" w:sz="4" w:space="0" w:color="auto"/>
            </w:tcBorders>
            <w:shd w:val="clear" w:color="auto" w:fill="auto"/>
            <w:noWrap/>
            <w:vAlign w:val="bottom"/>
            <w:hideMark/>
          </w:tcPr>
          <w:p w14:paraId="75EC6C82" w14:textId="77777777" w:rsidR="005319D8" w:rsidRPr="00A80562" w:rsidRDefault="005319D8" w:rsidP="00682538">
            <w:pPr>
              <w:rPr>
                <w:sz w:val="16"/>
                <w:lang w:eastAsia="en-GB"/>
              </w:rPr>
            </w:pPr>
            <w:r w:rsidRPr="00A80562">
              <w:rPr>
                <w:sz w:val="16"/>
                <w:lang w:eastAsia="en-GB"/>
              </w:rPr>
              <w:t>0.8</w:t>
            </w:r>
          </w:p>
        </w:tc>
        <w:tc>
          <w:tcPr>
            <w:tcW w:w="1216" w:type="dxa"/>
            <w:tcBorders>
              <w:top w:val="nil"/>
              <w:left w:val="nil"/>
              <w:bottom w:val="single" w:sz="4" w:space="0" w:color="auto"/>
              <w:right w:val="single" w:sz="4" w:space="0" w:color="auto"/>
            </w:tcBorders>
            <w:shd w:val="clear" w:color="auto" w:fill="auto"/>
            <w:noWrap/>
            <w:vAlign w:val="bottom"/>
            <w:hideMark/>
          </w:tcPr>
          <w:p w14:paraId="0A0B9DBC" w14:textId="77777777" w:rsidR="005319D8" w:rsidRPr="00A80562" w:rsidRDefault="005319D8" w:rsidP="00682538">
            <w:pPr>
              <w:rPr>
                <w:sz w:val="16"/>
                <w:lang w:eastAsia="en-GB"/>
              </w:rPr>
            </w:pPr>
            <w:r w:rsidRPr="00A80562">
              <w:rPr>
                <w:sz w:val="16"/>
                <w:lang w:eastAsia="en-GB"/>
              </w:rPr>
              <w:t>1.0</w:t>
            </w:r>
          </w:p>
        </w:tc>
        <w:tc>
          <w:tcPr>
            <w:tcW w:w="1216" w:type="dxa"/>
            <w:tcBorders>
              <w:top w:val="nil"/>
              <w:left w:val="nil"/>
              <w:bottom w:val="single" w:sz="4" w:space="0" w:color="auto"/>
              <w:right w:val="single" w:sz="4" w:space="0" w:color="auto"/>
            </w:tcBorders>
            <w:shd w:val="clear" w:color="auto" w:fill="auto"/>
            <w:noWrap/>
            <w:vAlign w:val="bottom"/>
            <w:hideMark/>
          </w:tcPr>
          <w:p w14:paraId="7AAEEC11" w14:textId="77777777" w:rsidR="005319D8" w:rsidRPr="00A80562" w:rsidRDefault="005319D8" w:rsidP="00682538">
            <w:pPr>
              <w:rPr>
                <w:sz w:val="16"/>
                <w:lang w:eastAsia="en-GB"/>
              </w:rPr>
            </w:pPr>
            <w:r w:rsidRPr="00A80562">
              <w:rPr>
                <w:sz w:val="16"/>
                <w:lang w:eastAsia="en-GB"/>
              </w:rPr>
              <w:t>0.9</w:t>
            </w:r>
          </w:p>
        </w:tc>
      </w:tr>
    </w:tbl>
    <w:p w14:paraId="206089DC" w14:textId="02A93862" w:rsidR="003D3167" w:rsidRDefault="003D3167" w:rsidP="006C05EE"/>
    <w:p w14:paraId="30E4B349" w14:textId="13C47C1E" w:rsidR="00A1201C" w:rsidRPr="00A1201C" w:rsidRDefault="00A1201C" w:rsidP="00682538">
      <w:r>
        <w:t>Mental Health Bulletin Annual Report, 2019-20</w:t>
      </w:r>
    </w:p>
    <w:tbl>
      <w:tblPr>
        <w:tblW w:w="9002" w:type="dxa"/>
        <w:tblLook w:val="04A0" w:firstRow="1" w:lastRow="0" w:firstColumn="1" w:lastColumn="0" w:noHBand="0" w:noVBand="1"/>
      </w:tblPr>
      <w:tblGrid>
        <w:gridCol w:w="3531"/>
        <w:gridCol w:w="1317"/>
        <w:gridCol w:w="1317"/>
        <w:gridCol w:w="1317"/>
        <w:gridCol w:w="1520"/>
      </w:tblGrid>
      <w:tr w:rsidR="00477ED5" w:rsidRPr="00477ED5" w14:paraId="4102FCEF" w14:textId="77777777" w:rsidTr="00682538">
        <w:trPr>
          <w:trHeight w:val="205"/>
        </w:trPr>
        <w:tc>
          <w:tcPr>
            <w:tcW w:w="353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C3DAC77" w14:textId="77777777" w:rsidR="00477ED5" w:rsidRPr="00A80562" w:rsidRDefault="00477ED5" w:rsidP="00682538">
            <w:pPr>
              <w:rPr>
                <w:sz w:val="16"/>
                <w:szCs w:val="16"/>
                <w:lang w:eastAsia="en-GB"/>
              </w:rPr>
            </w:pPr>
            <w:r w:rsidRPr="00A80562">
              <w:rPr>
                <w:sz w:val="16"/>
                <w:szCs w:val="16"/>
                <w:lang w:eastAsia="en-GB"/>
              </w:rPr>
              <w:t>Service statistic</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450E314A" w14:textId="77777777" w:rsidR="00477ED5" w:rsidRPr="00A80562" w:rsidRDefault="00477ED5" w:rsidP="00682538">
            <w:pPr>
              <w:rPr>
                <w:sz w:val="16"/>
                <w:szCs w:val="16"/>
                <w:lang w:eastAsia="en-GB"/>
              </w:rPr>
            </w:pPr>
            <w:r w:rsidRPr="00A80562">
              <w:rPr>
                <w:sz w:val="16"/>
                <w:szCs w:val="16"/>
                <w:lang w:eastAsia="en-GB"/>
              </w:rPr>
              <w:t> </w:t>
            </w:r>
          </w:p>
        </w:tc>
        <w:tc>
          <w:tcPr>
            <w:tcW w:w="415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85B87A" w14:textId="77777777" w:rsidR="00477ED5" w:rsidRPr="00A80562" w:rsidRDefault="00477ED5" w:rsidP="00682538">
            <w:pPr>
              <w:rPr>
                <w:sz w:val="16"/>
                <w:szCs w:val="16"/>
                <w:lang w:eastAsia="en-GB"/>
              </w:rPr>
            </w:pPr>
            <w:r w:rsidRPr="00A80562">
              <w:rPr>
                <w:sz w:val="16"/>
                <w:szCs w:val="16"/>
                <w:lang w:eastAsia="en-GB"/>
              </w:rPr>
              <w:t>England NHS providers</w:t>
            </w:r>
          </w:p>
        </w:tc>
      </w:tr>
      <w:tr w:rsidR="00477ED5" w:rsidRPr="00477ED5" w14:paraId="4BF1F5DB" w14:textId="77777777" w:rsidTr="00682538">
        <w:trPr>
          <w:trHeight w:val="410"/>
        </w:trPr>
        <w:tc>
          <w:tcPr>
            <w:tcW w:w="3531" w:type="dxa"/>
            <w:vMerge/>
            <w:tcBorders>
              <w:top w:val="single" w:sz="4" w:space="0" w:color="auto"/>
              <w:left w:val="single" w:sz="4" w:space="0" w:color="auto"/>
              <w:bottom w:val="single" w:sz="4" w:space="0" w:color="000000"/>
              <w:right w:val="single" w:sz="4" w:space="0" w:color="auto"/>
            </w:tcBorders>
            <w:vAlign w:val="center"/>
            <w:hideMark/>
          </w:tcPr>
          <w:p w14:paraId="2AAE23C8" w14:textId="77777777" w:rsidR="00477ED5" w:rsidRPr="00A80562" w:rsidRDefault="00477ED5" w:rsidP="00682538">
            <w:pPr>
              <w:rPr>
                <w:sz w:val="16"/>
                <w:szCs w:val="16"/>
                <w:lang w:eastAsia="en-GB"/>
              </w:rPr>
            </w:pPr>
          </w:p>
        </w:tc>
        <w:tc>
          <w:tcPr>
            <w:tcW w:w="1317" w:type="dxa"/>
            <w:tcBorders>
              <w:top w:val="nil"/>
              <w:left w:val="nil"/>
              <w:bottom w:val="single" w:sz="4" w:space="0" w:color="auto"/>
              <w:right w:val="single" w:sz="4" w:space="0" w:color="auto"/>
            </w:tcBorders>
            <w:shd w:val="clear" w:color="auto" w:fill="auto"/>
            <w:vAlign w:val="bottom"/>
            <w:hideMark/>
          </w:tcPr>
          <w:p w14:paraId="759F8A04" w14:textId="77777777" w:rsidR="00477ED5" w:rsidRPr="00A80562" w:rsidRDefault="00477ED5" w:rsidP="00682538">
            <w:pPr>
              <w:rPr>
                <w:sz w:val="16"/>
                <w:szCs w:val="16"/>
                <w:lang w:eastAsia="en-GB"/>
              </w:rPr>
            </w:pPr>
            <w:r w:rsidRPr="00A80562">
              <w:rPr>
                <w:sz w:val="16"/>
                <w:szCs w:val="16"/>
                <w:lang w:eastAsia="en-GB"/>
              </w:rPr>
              <w:t>OHFT</w:t>
            </w:r>
          </w:p>
        </w:tc>
        <w:tc>
          <w:tcPr>
            <w:tcW w:w="1317" w:type="dxa"/>
            <w:tcBorders>
              <w:top w:val="nil"/>
              <w:left w:val="nil"/>
              <w:bottom w:val="single" w:sz="4" w:space="0" w:color="auto"/>
              <w:right w:val="single" w:sz="4" w:space="0" w:color="auto"/>
            </w:tcBorders>
            <w:shd w:val="clear" w:color="auto" w:fill="auto"/>
            <w:vAlign w:val="bottom"/>
            <w:hideMark/>
          </w:tcPr>
          <w:p w14:paraId="047EBDE8" w14:textId="77777777" w:rsidR="00477ED5" w:rsidRPr="00A80562" w:rsidRDefault="00477ED5" w:rsidP="00682538">
            <w:pPr>
              <w:rPr>
                <w:sz w:val="16"/>
                <w:szCs w:val="16"/>
                <w:lang w:eastAsia="en-GB"/>
              </w:rPr>
            </w:pPr>
            <w:r w:rsidRPr="00A80562">
              <w:rPr>
                <w:sz w:val="16"/>
                <w:szCs w:val="16"/>
                <w:lang w:eastAsia="en-GB"/>
              </w:rPr>
              <w:t>Lower quartile</w:t>
            </w:r>
          </w:p>
        </w:tc>
        <w:tc>
          <w:tcPr>
            <w:tcW w:w="1317" w:type="dxa"/>
            <w:tcBorders>
              <w:top w:val="nil"/>
              <w:left w:val="nil"/>
              <w:bottom w:val="single" w:sz="4" w:space="0" w:color="auto"/>
              <w:right w:val="single" w:sz="4" w:space="0" w:color="auto"/>
            </w:tcBorders>
            <w:shd w:val="clear" w:color="auto" w:fill="auto"/>
            <w:vAlign w:val="bottom"/>
            <w:hideMark/>
          </w:tcPr>
          <w:p w14:paraId="0D4829E7" w14:textId="77777777" w:rsidR="00477ED5" w:rsidRPr="00A80562" w:rsidRDefault="00477ED5" w:rsidP="00682538">
            <w:pPr>
              <w:rPr>
                <w:sz w:val="16"/>
                <w:szCs w:val="16"/>
                <w:lang w:eastAsia="en-GB"/>
              </w:rPr>
            </w:pPr>
            <w:r w:rsidRPr="00A80562">
              <w:rPr>
                <w:sz w:val="16"/>
                <w:szCs w:val="16"/>
                <w:lang w:eastAsia="en-GB"/>
              </w:rPr>
              <w:t>Upper quartile</w:t>
            </w:r>
          </w:p>
        </w:tc>
        <w:tc>
          <w:tcPr>
            <w:tcW w:w="1519" w:type="dxa"/>
            <w:tcBorders>
              <w:top w:val="nil"/>
              <w:left w:val="nil"/>
              <w:bottom w:val="single" w:sz="4" w:space="0" w:color="auto"/>
              <w:right w:val="single" w:sz="4" w:space="0" w:color="auto"/>
            </w:tcBorders>
            <w:shd w:val="clear" w:color="auto" w:fill="auto"/>
            <w:vAlign w:val="bottom"/>
            <w:hideMark/>
          </w:tcPr>
          <w:p w14:paraId="247C345F" w14:textId="77777777" w:rsidR="00477ED5" w:rsidRPr="00A80562" w:rsidRDefault="00477ED5" w:rsidP="00682538">
            <w:pPr>
              <w:rPr>
                <w:sz w:val="16"/>
                <w:szCs w:val="16"/>
                <w:lang w:eastAsia="en-GB"/>
              </w:rPr>
            </w:pPr>
            <w:r w:rsidRPr="00A80562">
              <w:rPr>
                <w:sz w:val="16"/>
                <w:szCs w:val="16"/>
                <w:lang w:eastAsia="en-GB"/>
              </w:rPr>
              <w:t>Total</w:t>
            </w:r>
          </w:p>
        </w:tc>
      </w:tr>
      <w:tr w:rsidR="00477ED5" w:rsidRPr="00477ED5" w14:paraId="21C291C5" w14:textId="77777777" w:rsidTr="00682538">
        <w:trPr>
          <w:trHeight w:val="616"/>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1C71A821" w14:textId="77777777" w:rsidR="00477ED5" w:rsidRPr="00A80562" w:rsidRDefault="00477ED5" w:rsidP="00682538">
            <w:pPr>
              <w:rPr>
                <w:sz w:val="16"/>
                <w:szCs w:val="16"/>
                <w:lang w:eastAsia="en-GB"/>
              </w:rPr>
            </w:pPr>
            <w:r w:rsidRPr="00A80562">
              <w:rPr>
                <w:sz w:val="16"/>
                <w:szCs w:val="16"/>
                <w:lang w:eastAsia="en-GB"/>
              </w:rPr>
              <w:t>Number of people in contact with NHS funded providers</w:t>
            </w:r>
          </w:p>
        </w:tc>
        <w:tc>
          <w:tcPr>
            <w:tcW w:w="1317" w:type="dxa"/>
            <w:tcBorders>
              <w:top w:val="nil"/>
              <w:left w:val="nil"/>
              <w:bottom w:val="single" w:sz="4" w:space="0" w:color="auto"/>
              <w:right w:val="single" w:sz="4" w:space="0" w:color="auto"/>
            </w:tcBorders>
            <w:shd w:val="clear" w:color="auto" w:fill="auto"/>
            <w:noWrap/>
            <w:vAlign w:val="bottom"/>
            <w:hideMark/>
          </w:tcPr>
          <w:p w14:paraId="4F4BBE19" w14:textId="77777777" w:rsidR="00477ED5" w:rsidRPr="00A80562" w:rsidRDefault="00477ED5" w:rsidP="00682538">
            <w:pPr>
              <w:rPr>
                <w:sz w:val="16"/>
                <w:szCs w:val="16"/>
                <w:lang w:eastAsia="en-GB"/>
              </w:rPr>
            </w:pPr>
            <w:r w:rsidRPr="00A80562">
              <w:rPr>
                <w:sz w:val="16"/>
                <w:szCs w:val="16"/>
                <w:lang w:eastAsia="en-GB"/>
              </w:rPr>
              <w:t>59,935</w:t>
            </w:r>
          </w:p>
        </w:tc>
        <w:tc>
          <w:tcPr>
            <w:tcW w:w="1317" w:type="dxa"/>
            <w:tcBorders>
              <w:top w:val="nil"/>
              <w:left w:val="nil"/>
              <w:bottom w:val="single" w:sz="4" w:space="0" w:color="auto"/>
              <w:right w:val="single" w:sz="4" w:space="0" w:color="auto"/>
            </w:tcBorders>
            <w:shd w:val="clear" w:color="auto" w:fill="auto"/>
            <w:noWrap/>
            <w:vAlign w:val="bottom"/>
            <w:hideMark/>
          </w:tcPr>
          <w:p w14:paraId="27C8A332" w14:textId="77777777" w:rsidR="00477ED5" w:rsidRPr="00A80562" w:rsidRDefault="00477ED5" w:rsidP="00682538">
            <w:pPr>
              <w:rPr>
                <w:sz w:val="16"/>
                <w:szCs w:val="16"/>
                <w:lang w:eastAsia="en-GB"/>
              </w:rPr>
            </w:pPr>
            <w:r w:rsidRPr="00A80562">
              <w:rPr>
                <w:sz w:val="16"/>
                <w:szCs w:val="16"/>
                <w:lang w:eastAsia="en-GB"/>
              </w:rPr>
              <w:t>3,965</w:t>
            </w:r>
          </w:p>
        </w:tc>
        <w:tc>
          <w:tcPr>
            <w:tcW w:w="1317" w:type="dxa"/>
            <w:tcBorders>
              <w:top w:val="nil"/>
              <w:left w:val="nil"/>
              <w:bottom w:val="single" w:sz="4" w:space="0" w:color="auto"/>
              <w:right w:val="single" w:sz="4" w:space="0" w:color="auto"/>
            </w:tcBorders>
            <w:shd w:val="clear" w:color="auto" w:fill="auto"/>
            <w:noWrap/>
            <w:vAlign w:val="bottom"/>
            <w:hideMark/>
          </w:tcPr>
          <w:p w14:paraId="57296E09" w14:textId="77777777" w:rsidR="00477ED5" w:rsidRPr="00A80562" w:rsidRDefault="00477ED5" w:rsidP="00682538">
            <w:pPr>
              <w:rPr>
                <w:sz w:val="16"/>
                <w:szCs w:val="16"/>
                <w:lang w:eastAsia="en-GB"/>
              </w:rPr>
            </w:pPr>
            <w:r w:rsidRPr="00A80562">
              <w:rPr>
                <w:sz w:val="16"/>
                <w:szCs w:val="16"/>
                <w:lang w:eastAsia="en-GB"/>
              </w:rPr>
              <w:t>51,180</w:t>
            </w:r>
          </w:p>
        </w:tc>
        <w:tc>
          <w:tcPr>
            <w:tcW w:w="1519" w:type="dxa"/>
            <w:tcBorders>
              <w:top w:val="nil"/>
              <w:left w:val="nil"/>
              <w:bottom w:val="single" w:sz="4" w:space="0" w:color="auto"/>
              <w:right w:val="single" w:sz="4" w:space="0" w:color="auto"/>
            </w:tcBorders>
            <w:shd w:val="clear" w:color="auto" w:fill="auto"/>
            <w:noWrap/>
            <w:vAlign w:val="bottom"/>
            <w:hideMark/>
          </w:tcPr>
          <w:p w14:paraId="6B6F23F0" w14:textId="77777777" w:rsidR="00477ED5" w:rsidRPr="00A80562" w:rsidRDefault="00477ED5" w:rsidP="00682538">
            <w:pPr>
              <w:rPr>
                <w:sz w:val="16"/>
                <w:szCs w:val="16"/>
                <w:lang w:eastAsia="en-GB"/>
              </w:rPr>
            </w:pPr>
            <w:r w:rsidRPr="00A80562">
              <w:rPr>
                <w:sz w:val="16"/>
                <w:szCs w:val="16"/>
                <w:lang w:eastAsia="en-GB"/>
              </w:rPr>
              <w:t>2,878,636</w:t>
            </w:r>
          </w:p>
        </w:tc>
      </w:tr>
      <w:tr w:rsidR="00477ED5" w:rsidRPr="00477ED5" w14:paraId="0EEAD7EC" w14:textId="77777777" w:rsidTr="00682538">
        <w:trPr>
          <w:trHeight w:val="4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405EF57A" w14:textId="77777777" w:rsidR="00477ED5" w:rsidRPr="00A80562" w:rsidRDefault="00477ED5" w:rsidP="00682538">
            <w:pPr>
              <w:rPr>
                <w:sz w:val="16"/>
                <w:szCs w:val="16"/>
                <w:lang w:eastAsia="en-GB"/>
              </w:rPr>
            </w:pPr>
            <w:r w:rsidRPr="00A80562">
              <w:rPr>
                <w:sz w:val="16"/>
                <w:szCs w:val="16"/>
                <w:lang w:eastAsia="en-GB"/>
              </w:rPr>
              <w:t>Number of people admitted to hospital</w:t>
            </w:r>
          </w:p>
        </w:tc>
        <w:tc>
          <w:tcPr>
            <w:tcW w:w="1317" w:type="dxa"/>
            <w:tcBorders>
              <w:top w:val="nil"/>
              <w:left w:val="nil"/>
              <w:bottom w:val="single" w:sz="4" w:space="0" w:color="auto"/>
              <w:right w:val="single" w:sz="4" w:space="0" w:color="auto"/>
            </w:tcBorders>
            <w:shd w:val="clear" w:color="auto" w:fill="auto"/>
            <w:noWrap/>
            <w:vAlign w:val="bottom"/>
            <w:hideMark/>
          </w:tcPr>
          <w:p w14:paraId="15FC2B08" w14:textId="77777777" w:rsidR="00477ED5" w:rsidRPr="00A80562" w:rsidRDefault="00477ED5" w:rsidP="00682538">
            <w:pPr>
              <w:rPr>
                <w:sz w:val="16"/>
                <w:szCs w:val="16"/>
                <w:lang w:eastAsia="en-GB"/>
              </w:rPr>
            </w:pPr>
            <w:r w:rsidRPr="00A80562">
              <w:rPr>
                <w:sz w:val="16"/>
                <w:szCs w:val="16"/>
                <w:lang w:eastAsia="en-GB"/>
              </w:rPr>
              <w:t>1,720</w:t>
            </w:r>
          </w:p>
        </w:tc>
        <w:tc>
          <w:tcPr>
            <w:tcW w:w="1317" w:type="dxa"/>
            <w:tcBorders>
              <w:top w:val="nil"/>
              <w:left w:val="nil"/>
              <w:bottom w:val="single" w:sz="4" w:space="0" w:color="auto"/>
              <w:right w:val="single" w:sz="4" w:space="0" w:color="auto"/>
            </w:tcBorders>
            <w:shd w:val="clear" w:color="auto" w:fill="auto"/>
            <w:noWrap/>
            <w:vAlign w:val="bottom"/>
            <w:hideMark/>
          </w:tcPr>
          <w:p w14:paraId="060B7FFE" w14:textId="77777777" w:rsidR="00477ED5" w:rsidRPr="00A80562" w:rsidRDefault="00477ED5" w:rsidP="00682538">
            <w:pPr>
              <w:rPr>
                <w:sz w:val="16"/>
                <w:szCs w:val="16"/>
                <w:lang w:eastAsia="en-GB"/>
              </w:rPr>
            </w:pPr>
            <w:r w:rsidRPr="00A80562">
              <w:rPr>
                <w:sz w:val="16"/>
                <w:szCs w:val="16"/>
                <w:lang w:eastAsia="en-GB"/>
              </w:rPr>
              <w:t>898</w:t>
            </w:r>
          </w:p>
        </w:tc>
        <w:tc>
          <w:tcPr>
            <w:tcW w:w="1317" w:type="dxa"/>
            <w:tcBorders>
              <w:top w:val="nil"/>
              <w:left w:val="nil"/>
              <w:bottom w:val="single" w:sz="4" w:space="0" w:color="auto"/>
              <w:right w:val="single" w:sz="4" w:space="0" w:color="auto"/>
            </w:tcBorders>
            <w:shd w:val="clear" w:color="auto" w:fill="auto"/>
            <w:noWrap/>
            <w:vAlign w:val="bottom"/>
            <w:hideMark/>
          </w:tcPr>
          <w:p w14:paraId="0239DB97" w14:textId="77777777" w:rsidR="00477ED5" w:rsidRPr="00A80562" w:rsidRDefault="00477ED5" w:rsidP="00682538">
            <w:pPr>
              <w:rPr>
                <w:sz w:val="16"/>
                <w:szCs w:val="16"/>
                <w:lang w:eastAsia="en-GB"/>
              </w:rPr>
            </w:pPr>
            <w:r w:rsidRPr="00A80562">
              <w:rPr>
                <w:sz w:val="16"/>
                <w:szCs w:val="16"/>
                <w:lang w:eastAsia="en-GB"/>
              </w:rPr>
              <w:t>2,061</w:t>
            </w:r>
          </w:p>
        </w:tc>
        <w:tc>
          <w:tcPr>
            <w:tcW w:w="1519" w:type="dxa"/>
            <w:tcBorders>
              <w:top w:val="nil"/>
              <w:left w:val="nil"/>
              <w:bottom w:val="single" w:sz="4" w:space="0" w:color="auto"/>
              <w:right w:val="single" w:sz="4" w:space="0" w:color="auto"/>
            </w:tcBorders>
            <w:shd w:val="clear" w:color="auto" w:fill="auto"/>
            <w:noWrap/>
            <w:vAlign w:val="bottom"/>
            <w:hideMark/>
          </w:tcPr>
          <w:p w14:paraId="00A9D8B2" w14:textId="77777777" w:rsidR="00477ED5" w:rsidRPr="00A80562" w:rsidRDefault="00477ED5" w:rsidP="00682538">
            <w:pPr>
              <w:rPr>
                <w:sz w:val="16"/>
                <w:szCs w:val="16"/>
                <w:lang w:eastAsia="en-GB"/>
              </w:rPr>
            </w:pPr>
            <w:r w:rsidRPr="00A80562">
              <w:rPr>
                <w:sz w:val="16"/>
                <w:szCs w:val="16"/>
                <w:lang w:eastAsia="en-GB"/>
              </w:rPr>
              <w:t>104,536</w:t>
            </w:r>
          </w:p>
        </w:tc>
      </w:tr>
      <w:tr w:rsidR="00477ED5" w:rsidRPr="00477ED5" w14:paraId="4FBCF9C3" w14:textId="77777777" w:rsidTr="00682538">
        <w:trPr>
          <w:trHeight w:val="4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626A2622" w14:textId="77777777" w:rsidR="00477ED5" w:rsidRPr="00A80562" w:rsidRDefault="00477ED5" w:rsidP="00682538">
            <w:pPr>
              <w:rPr>
                <w:sz w:val="16"/>
                <w:szCs w:val="16"/>
                <w:lang w:eastAsia="en-GB"/>
              </w:rPr>
            </w:pPr>
            <w:r w:rsidRPr="00A80562">
              <w:rPr>
                <w:sz w:val="16"/>
                <w:szCs w:val="16"/>
                <w:lang w:eastAsia="en-GB"/>
              </w:rPr>
              <w:t>% people in contact admitted to hospital</w:t>
            </w:r>
          </w:p>
        </w:tc>
        <w:tc>
          <w:tcPr>
            <w:tcW w:w="1317" w:type="dxa"/>
            <w:tcBorders>
              <w:top w:val="nil"/>
              <w:left w:val="nil"/>
              <w:bottom w:val="single" w:sz="4" w:space="0" w:color="auto"/>
              <w:right w:val="single" w:sz="4" w:space="0" w:color="auto"/>
            </w:tcBorders>
            <w:shd w:val="clear" w:color="auto" w:fill="auto"/>
            <w:noWrap/>
            <w:vAlign w:val="bottom"/>
            <w:hideMark/>
          </w:tcPr>
          <w:p w14:paraId="1D45D647" w14:textId="77777777" w:rsidR="00477ED5" w:rsidRPr="00A80562" w:rsidRDefault="00477ED5" w:rsidP="00682538">
            <w:pPr>
              <w:rPr>
                <w:sz w:val="16"/>
                <w:szCs w:val="16"/>
                <w:lang w:eastAsia="en-GB"/>
              </w:rPr>
            </w:pPr>
            <w:r w:rsidRPr="00A80562">
              <w:rPr>
                <w:sz w:val="16"/>
                <w:szCs w:val="16"/>
                <w:lang w:eastAsia="en-GB"/>
              </w:rPr>
              <w:t>3.0%</w:t>
            </w:r>
          </w:p>
        </w:tc>
        <w:tc>
          <w:tcPr>
            <w:tcW w:w="1317" w:type="dxa"/>
            <w:tcBorders>
              <w:top w:val="nil"/>
              <w:left w:val="nil"/>
              <w:bottom w:val="single" w:sz="4" w:space="0" w:color="auto"/>
              <w:right w:val="single" w:sz="4" w:space="0" w:color="auto"/>
            </w:tcBorders>
            <w:shd w:val="clear" w:color="auto" w:fill="auto"/>
            <w:noWrap/>
            <w:vAlign w:val="bottom"/>
            <w:hideMark/>
          </w:tcPr>
          <w:p w14:paraId="1B3A2B60" w14:textId="77777777" w:rsidR="00477ED5" w:rsidRPr="00A80562" w:rsidRDefault="00477ED5" w:rsidP="00682538">
            <w:pPr>
              <w:rPr>
                <w:sz w:val="16"/>
                <w:szCs w:val="16"/>
                <w:lang w:eastAsia="en-GB"/>
              </w:rPr>
            </w:pPr>
            <w:r w:rsidRPr="00A80562">
              <w:rPr>
                <w:sz w:val="16"/>
                <w:szCs w:val="16"/>
                <w:lang w:eastAsia="en-GB"/>
              </w:rPr>
              <w:t>3.0%</w:t>
            </w:r>
          </w:p>
        </w:tc>
        <w:tc>
          <w:tcPr>
            <w:tcW w:w="1317" w:type="dxa"/>
            <w:tcBorders>
              <w:top w:val="nil"/>
              <w:left w:val="nil"/>
              <w:bottom w:val="single" w:sz="4" w:space="0" w:color="auto"/>
              <w:right w:val="single" w:sz="4" w:space="0" w:color="auto"/>
            </w:tcBorders>
            <w:shd w:val="clear" w:color="auto" w:fill="auto"/>
            <w:noWrap/>
            <w:vAlign w:val="bottom"/>
            <w:hideMark/>
          </w:tcPr>
          <w:p w14:paraId="219EC397" w14:textId="77777777" w:rsidR="00477ED5" w:rsidRPr="00A80562" w:rsidRDefault="00477ED5" w:rsidP="00682538">
            <w:pPr>
              <w:rPr>
                <w:sz w:val="16"/>
                <w:szCs w:val="16"/>
                <w:lang w:eastAsia="en-GB"/>
              </w:rPr>
            </w:pPr>
            <w:r w:rsidRPr="00A80562">
              <w:rPr>
                <w:sz w:val="16"/>
                <w:szCs w:val="16"/>
                <w:lang w:eastAsia="en-GB"/>
              </w:rPr>
              <w:t>4.0%</w:t>
            </w:r>
          </w:p>
        </w:tc>
        <w:tc>
          <w:tcPr>
            <w:tcW w:w="1519" w:type="dxa"/>
            <w:tcBorders>
              <w:top w:val="nil"/>
              <w:left w:val="nil"/>
              <w:bottom w:val="single" w:sz="4" w:space="0" w:color="auto"/>
              <w:right w:val="single" w:sz="4" w:space="0" w:color="auto"/>
            </w:tcBorders>
            <w:shd w:val="clear" w:color="auto" w:fill="auto"/>
            <w:noWrap/>
            <w:vAlign w:val="bottom"/>
            <w:hideMark/>
          </w:tcPr>
          <w:p w14:paraId="62C236CB" w14:textId="77777777" w:rsidR="00477ED5" w:rsidRPr="00A80562" w:rsidRDefault="00477ED5" w:rsidP="00682538">
            <w:pPr>
              <w:rPr>
                <w:sz w:val="16"/>
                <w:szCs w:val="16"/>
                <w:lang w:eastAsia="en-GB"/>
              </w:rPr>
            </w:pPr>
            <w:r w:rsidRPr="00A80562">
              <w:rPr>
                <w:sz w:val="16"/>
                <w:szCs w:val="16"/>
                <w:lang w:eastAsia="en-GB"/>
              </w:rPr>
              <w:t>3.6%</w:t>
            </w:r>
          </w:p>
        </w:tc>
      </w:tr>
      <w:tr w:rsidR="00477ED5" w:rsidRPr="00477ED5" w14:paraId="031B4F9E" w14:textId="77777777" w:rsidTr="00682538">
        <w:trPr>
          <w:trHeight w:val="4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1FC69CE3" w14:textId="77777777" w:rsidR="00477ED5" w:rsidRPr="00A80562" w:rsidRDefault="00477ED5" w:rsidP="00682538">
            <w:pPr>
              <w:rPr>
                <w:sz w:val="16"/>
                <w:szCs w:val="16"/>
                <w:lang w:eastAsia="en-GB"/>
              </w:rPr>
            </w:pPr>
            <w:r w:rsidRPr="00A80562">
              <w:rPr>
                <w:sz w:val="16"/>
                <w:szCs w:val="16"/>
                <w:lang w:eastAsia="en-GB"/>
              </w:rPr>
              <w:t>Number of in-year bed days</w:t>
            </w:r>
          </w:p>
        </w:tc>
        <w:tc>
          <w:tcPr>
            <w:tcW w:w="1317" w:type="dxa"/>
            <w:tcBorders>
              <w:top w:val="nil"/>
              <w:left w:val="nil"/>
              <w:bottom w:val="single" w:sz="4" w:space="0" w:color="auto"/>
              <w:right w:val="single" w:sz="4" w:space="0" w:color="auto"/>
            </w:tcBorders>
            <w:shd w:val="clear" w:color="auto" w:fill="auto"/>
            <w:noWrap/>
            <w:vAlign w:val="bottom"/>
            <w:hideMark/>
          </w:tcPr>
          <w:p w14:paraId="217D6B49" w14:textId="77777777" w:rsidR="00477ED5" w:rsidRPr="00A80562" w:rsidRDefault="00477ED5" w:rsidP="00682538">
            <w:pPr>
              <w:rPr>
                <w:sz w:val="16"/>
                <w:szCs w:val="16"/>
                <w:lang w:eastAsia="en-GB"/>
              </w:rPr>
            </w:pPr>
            <w:r w:rsidRPr="00A80562">
              <w:rPr>
                <w:sz w:val="16"/>
                <w:szCs w:val="16"/>
                <w:lang w:eastAsia="en-GB"/>
              </w:rPr>
              <w:t>153,185</w:t>
            </w:r>
          </w:p>
        </w:tc>
        <w:tc>
          <w:tcPr>
            <w:tcW w:w="1317" w:type="dxa"/>
            <w:tcBorders>
              <w:top w:val="nil"/>
              <w:left w:val="nil"/>
              <w:bottom w:val="single" w:sz="4" w:space="0" w:color="auto"/>
              <w:right w:val="single" w:sz="4" w:space="0" w:color="auto"/>
            </w:tcBorders>
            <w:shd w:val="clear" w:color="auto" w:fill="auto"/>
            <w:noWrap/>
            <w:vAlign w:val="bottom"/>
            <w:hideMark/>
          </w:tcPr>
          <w:p w14:paraId="6389998C" w14:textId="77777777" w:rsidR="00477ED5" w:rsidRPr="00A80562" w:rsidRDefault="00477ED5" w:rsidP="00682538">
            <w:pPr>
              <w:rPr>
                <w:sz w:val="16"/>
                <w:szCs w:val="16"/>
                <w:lang w:eastAsia="en-GB"/>
              </w:rPr>
            </w:pPr>
            <w:r w:rsidRPr="00A80562">
              <w:rPr>
                <w:sz w:val="16"/>
                <w:szCs w:val="16"/>
                <w:lang w:eastAsia="en-GB"/>
              </w:rPr>
              <w:t>49,899</w:t>
            </w:r>
          </w:p>
        </w:tc>
        <w:tc>
          <w:tcPr>
            <w:tcW w:w="1317" w:type="dxa"/>
            <w:tcBorders>
              <w:top w:val="nil"/>
              <w:left w:val="nil"/>
              <w:bottom w:val="single" w:sz="4" w:space="0" w:color="auto"/>
              <w:right w:val="single" w:sz="4" w:space="0" w:color="auto"/>
            </w:tcBorders>
            <w:shd w:val="clear" w:color="auto" w:fill="auto"/>
            <w:noWrap/>
            <w:vAlign w:val="bottom"/>
            <w:hideMark/>
          </w:tcPr>
          <w:p w14:paraId="30D47B62" w14:textId="77777777" w:rsidR="00477ED5" w:rsidRPr="00A80562" w:rsidRDefault="00477ED5" w:rsidP="00682538">
            <w:pPr>
              <w:rPr>
                <w:sz w:val="16"/>
                <w:szCs w:val="16"/>
                <w:lang w:eastAsia="en-GB"/>
              </w:rPr>
            </w:pPr>
            <w:r w:rsidRPr="00A80562">
              <w:rPr>
                <w:sz w:val="16"/>
                <w:szCs w:val="16"/>
                <w:lang w:eastAsia="en-GB"/>
              </w:rPr>
              <w:t>173,380</w:t>
            </w:r>
          </w:p>
        </w:tc>
        <w:tc>
          <w:tcPr>
            <w:tcW w:w="1519" w:type="dxa"/>
            <w:tcBorders>
              <w:top w:val="nil"/>
              <w:left w:val="nil"/>
              <w:bottom w:val="single" w:sz="4" w:space="0" w:color="auto"/>
              <w:right w:val="single" w:sz="4" w:space="0" w:color="auto"/>
            </w:tcBorders>
            <w:shd w:val="clear" w:color="auto" w:fill="auto"/>
            <w:noWrap/>
            <w:vAlign w:val="bottom"/>
            <w:hideMark/>
          </w:tcPr>
          <w:p w14:paraId="628E2B2D" w14:textId="77777777" w:rsidR="00477ED5" w:rsidRPr="00A80562" w:rsidRDefault="00477ED5" w:rsidP="00682538">
            <w:pPr>
              <w:rPr>
                <w:sz w:val="16"/>
                <w:szCs w:val="16"/>
                <w:lang w:eastAsia="en-GB"/>
              </w:rPr>
            </w:pPr>
            <w:r w:rsidRPr="00A80562">
              <w:rPr>
                <w:sz w:val="16"/>
                <w:szCs w:val="16"/>
                <w:lang w:eastAsia="en-GB"/>
              </w:rPr>
              <w:t>9,548,031</w:t>
            </w:r>
          </w:p>
        </w:tc>
      </w:tr>
      <w:tr w:rsidR="00477ED5" w:rsidRPr="00477ED5" w14:paraId="33334C89" w14:textId="77777777" w:rsidTr="00682538">
        <w:trPr>
          <w:trHeight w:val="205"/>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49CA13F3" w14:textId="77777777" w:rsidR="00477ED5" w:rsidRPr="00A80562" w:rsidRDefault="00477ED5" w:rsidP="00682538">
            <w:pPr>
              <w:rPr>
                <w:sz w:val="16"/>
                <w:szCs w:val="16"/>
                <w:lang w:eastAsia="en-GB"/>
              </w:rPr>
            </w:pPr>
            <w:r w:rsidRPr="00A80562">
              <w:rPr>
                <w:sz w:val="16"/>
                <w:szCs w:val="16"/>
                <w:lang w:eastAsia="en-GB"/>
              </w:rPr>
              <w:t>Number of admissions</w:t>
            </w:r>
          </w:p>
        </w:tc>
        <w:tc>
          <w:tcPr>
            <w:tcW w:w="1317" w:type="dxa"/>
            <w:tcBorders>
              <w:top w:val="nil"/>
              <w:left w:val="nil"/>
              <w:bottom w:val="single" w:sz="4" w:space="0" w:color="auto"/>
              <w:right w:val="single" w:sz="4" w:space="0" w:color="auto"/>
            </w:tcBorders>
            <w:shd w:val="clear" w:color="auto" w:fill="auto"/>
            <w:noWrap/>
            <w:vAlign w:val="bottom"/>
            <w:hideMark/>
          </w:tcPr>
          <w:p w14:paraId="686C29EB" w14:textId="77777777" w:rsidR="00477ED5" w:rsidRPr="00A80562" w:rsidRDefault="00477ED5" w:rsidP="00682538">
            <w:pPr>
              <w:rPr>
                <w:sz w:val="16"/>
                <w:szCs w:val="16"/>
                <w:lang w:eastAsia="en-GB"/>
              </w:rPr>
            </w:pPr>
            <w:r w:rsidRPr="00A80562">
              <w:rPr>
                <w:sz w:val="16"/>
                <w:szCs w:val="16"/>
                <w:lang w:eastAsia="en-GB"/>
              </w:rPr>
              <w:t>1,550</w:t>
            </w:r>
          </w:p>
        </w:tc>
        <w:tc>
          <w:tcPr>
            <w:tcW w:w="1317" w:type="dxa"/>
            <w:tcBorders>
              <w:top w:val="nil"/>
              <w:left w:val="nil"/>
              <w:bottom w:val="single" w:sz="4" w:space="0" w:color="auto"/>
              <w:right w:val="single" w:sz="4" w:space="0" w:color="auto"/>
            </w:tcBorders>
            <w:shd w:val="clear" w:color="auto" w:fill="auto"/>
            <w:noWrap/>
            <w:vAlign w:val="bottom"/>
            <w:hideMark/>
          </w:tcPr>
          <w:p w14:paraId="189108A5" w14:textId="77777777" w:rsidR="00477ED5" w:rsidRPr="00A80562" w:rsidRDefault="00477ED5" w:rsidP="00682538">
            <w:pPr>
              <w:rPr>
                <w:sz w:val="16"/>
                <w:szCs w:val="16"/>
                <w:lang w:eastAsia="en-GB"/>
              </w:rPr>
            </w:pPr>
            <w:r w:rsidRPr="00A80562">
              <w:rPr>
                <w:sz w:val="16"/>
                <w:szCs w:val="16"/>
                <w:lang w:eastAsia="en-GB"/>
              </w:rPr>
              <w:t>961</w:t>
            </w:r>
          </w:p>
        </w:tc>
        <w:tc>
          <w:tcPr>
            <w:tcW w:w="1317" w:type="dxa"/>
            <w:tcBorders>
              <w:top w:val="nil"/>
              <w:left w:val="nil"/>
              <w:bottom w:val="single" w:sz="4" w:space="0" w:color="auto"/>
              <w:right w:val="single" w:sz="4" w:space="0" w:color="auto"/>
            </w:tcBorders>
            <w:shd w:val="clear" w:color="auto" w:fill="auto"/>
            <w:noWrap/>
            <w:vAlign w:val="bottom"/>
            <w:hideMark/>
          </w:tcPr>
          <w:p w14:paraId="0F05677A" w14:textId="77777777" w:rsidR="00477ED5" w:rsidRPr="00A80562" w:rsidRDefault="00477ED5" w:rsidP="00682538">
            <w:pPr>
              <w:rPr>
                <w:sz w:val="16"/>
                <w:szCs w:val="16"/>
                <w:lang w:eastAsia="en-GB"/>
              </w:rPr>
            </w:pPr>
            <w:r w:rsidRPr="00A80562">
              <w:rPr>
                <w:sz w:val="16"/>
                <w:szCs w:val="16"/>
                <w:lang w:eastAsia="en-GB"/>
              </w:rPr>
              <w:t>2,308</w:t>
            </w:r>
          </w:p>
        </w:tc>
        <w:tc>
          <w:tcPr>
            <w:tcW w:w="1519" w:type="dxa"/>
            <w:tcBorders>
              <w:top w:val="nil"/>
              <w:left w:val="nil"/>
              <w:bottom w:val="single" w:sz="4" w:space="0" w:color="auto"/>
              <w:right w:val="single" w:sz="4" w:space="0" w:color="auto"/>
            </w:tcBorders>
            <w:shd w:val="clear" w:color="auto" w:fill="auto"/>
            <w:noWrap/>
            <w:vAlign w:val="bottom"/>
            <w:hideMark/>
          </w:tcPr>
          <w:p w14:paraId="5D5F7C60" w14:textId="77777777" w:rsidR="00477ED5" w:rsidRPr="00A80562" w:rsidRDefault="00477ED5" w:rsidP="00682538">
            <w:pPr>
              <w:rPr>
                <w:sz w:val="16"/>
                <w:szCs w:val="16"/>
                <w:lang w:eastAsia="en-GB"/>
              </w:rPr>
            </w:pPr>
            <w:r w:rsidRPr="00A80562">
              <w:rPr>
                <w:sz w:val="16"/>
                <w:szCs w:val="16"/>
                <w:lang w:eastAsia="en-GB"/>
              </w:rPr>
              <w:t>123,632</w:t>
            </w:r>
          </w:p>
        </w:tc>
      </w:tr>
      <w:tr w:rsidR="00477ED5" w:rsidRPr="00477ED5" w14:paraId="771F1A11" w14:textId="77777777" w:rsidTr="00682538">
        <w:trPr>
          <w:trHeight w:val="205"/>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520BFF8E" w14:textId="77777777" w:rsidR="00477ED5" w:rsidRPr="00A80562" w:rsidRDefault="00477ED5" w:rsidP="00682538">
            <w:pPr>
              <w:rPr>
                <w:sz w:val="16"/>
                <w:szCs w:val="16"/>
                <w:lang w:eastAsia="en-GB"/>
              </w:rPr>
            </w:pPr>
            <w:r w:rsidRPr="00A80562">
              <w:rPr>
                <w:sz w:val="16"/>
                <w:szCs w:val="16"/>
                <w:lang w:eastAsia="en-GB"/>
              </w:rPr>
              <w:t>Number of discharges</w:t>
            </w:r>
          </w:p>
        </w:tc>
        <w:tc>
          <w:tcPr>
            <w:tcW w:w="1317" w:type="dxa"/>
            <w:tcBorders>
              <w:top w:val="nil"/>
              <w:left w:val="nil"/>
              <w:bottom w:val="single" w:sz="4" w:space="0" w:color="auto"/>
              <w:right w:val="single" w:sz="4" w:space="0" w:color="auto"/>
            </w:tcBorders>
            <w:shd w:val="clear" w:color="auto" w:fill="auto"/>
            <w:noWrap/>
            <w:vAlign w:val="bottom"/>
            <w:hideMark/>
          </w:tcPr>
          <w:p w14:paraId="3157D7FC" w14:textId="77777777" w:rsidR="00477ED5" w:rsidRPr="00A80562" w:rsidRDefault="00477ED5" w:rsidP="00682538">
            <w:pPr>
              <w:rPr>
                <w:sz w:val="16"/>
                <w:szCs w:val="16"/>
                <w:lang w:eastAsia="en-GB"/>
              </w:rPr>
            </w:pPr>
            <w:r w:rsidRPr="00A80562">
              <w:rPr>
                <w:sz w:val="16"/>
                <w:szCs w:val="16"/>
                <w:lang w:eastAsia="en-GB"/>
              </w:rPr>
              <w:t>1,515</w:t>
            </w:r>
          </w:p>
        </w:tc>
        <w:tc>
          <w:tcPr>
            <w:tcW w:w="1317" w:type="dxa"/>
            <w:tcBorders>
              <w:top w:val="nil"/>
              <w:left w:val="nil"/>
              <w:bottom w:val="single" w:sz="4" w:space="0" w:color="auto"/>
              <w:right w:val="single" w:sz="4" w:space="0" w:color="auto"/>
            </w:tcBorders>
            <w:shd w:val="clear" w:color="auto" w:fill="auto"/>
            <w:noWrap/>
            <w:vAlign w:val="bottom"/>
            <w:hideMark/>
          </w:tcPr>
          <w:p w14:paraId="12059985" w14:textId="77777777" w:rsidR="00477ED5" w:rsidRPr="00A80562" w:rsidRDefault="00477ED5" w:rsidP="00682538">
            <w:pPr>
              <w:rPr>
                <w:sz w:val="16"/>
                <w:szCs w:val="16"/>
                <w:lang w:eastAsia="en-GB"/>
              </w:rPr>
            </w:pPr>
            <w:r w:rsidRPr="00A80562">
              <w:rPr>
                <w:sz w:val="16"/>
                <w:szCs w:val="16"/>
                <w:lang w:eastAsia="en-GB"/>
              </w:rPr>
              <w:t>986</w:t>
            </w:r>
          </w:p>
        </w:tc>
        <w:tc>
          <w:tcPr>
            <w:tcW w:w="1317" w:type="dxa"/>
            <w:tcBorders>
              <w:top w:val="nil"/>
              <w:left w:val="nil"/>
              <w:bottom w:val="single" w:sz="4" w:space="0" w:color="auto"/>
              <w:right w:val="single" w:sz="4" w:space="0" w:color="auto"/>
            </w:tcBorders>
            <w:shd w:val="clear" w:color="auto" w:fill="auto"/>
            <w:noWrap/>
            <w:vAlign w:val="bottom"/>
            <w:hideMark/>
          </w:tcPr>
          <w:p w14:paraId="7BDF34EA" w14:textId="77777777" w:rsidR="00477ED5" w:rsidRPr="00A80562" w:rsidRDefault="00477ED5" w:rsidP="00682538">
            <w:pPr>
              <w:rPr>
                <w:sz w:val="16"/>
                <w:szCs w:val="16"/>
                <w:lang w:eastAsia="en-GB"/>
              </w:rPr>
            </w:pPr>
            <w:r w:rsidRPr="00A80562">
              <w:rPr>
                <w:sz w:val="16"/>
                <w:szCs w:val="16"/>
                <w:lang w:eastAsia="en-GB"/>
              </w:rPr>
              <w:t>2,336</w:t>
            </w:r>
          </w:p>
        </w:tc>
        <w:tc>
          <w:tcPr>
            <w:tcW w:w="1519" w:type="dxa"/>
            <w:tcBorders>
              <w:top w:val="nil"/>
              <w:left w:val="nil"/>
              <w:bottom w:val="single" w:sz="4" w:space="0" w:color="auto"/>
              <w:right w:val="single" w:sz="4" w:space="0" w:color="auto"/>
            </w:tcBorders>
            <w:shd w:val="clear" w:color="auto" w:fill="auto"/>
            <w:noWrap/>
            <w:vAlign w:val="bottom"/>
            <w:hideMark/>
          </w:tcPr>
          <w:p w14:paraId="3CFDFEA7" w14:textId="77777777" w:rsidR="00477ED5" w:rsidRPr="00A80562" w:rsidRDefault="00477ED5" w:rsidP="00682538">
            <w:pPr>
              <w:rPr>
                <w:sz w:val="16"/>
                <w:szCs w:val="16"/>
                <w:lang w:eastAsia="en-GB"/>
              </w:rPr>
            </w:pPr>
            <w:r w:rsidRPr="00A80562">
              <w:rPr>
                <w:sz w:val="16"/>
                <w:szCs w:val="16"/>
                <w:lang w:eastAsia="en-GB"/>
              </w:rPr>
              <w:t>124,560</w:t>
            </w:r>
          </w:p>
        </w:tc>
      </w:tr>
      <w:tr w:rsidR="00477ED5" w:rsidRPr="00477ED5" w14:paraId="6A892180" w14:textId="77777777" w:rsidTr="00682538">
        <w:trPr>
          <w:trHeight w:val="205"/>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7F37F05D" w14:textId="77777777" w:rsidR="00477ED5" w:rsidRPr="00A80562" w:rsidRDefault="00477ED5" w:rsidP="00682538">
            <w:pPr>
              <w:rPr>
                <w:sz w:val="16"/>
                <w:szCs w:val="16"/>
                <w:lang w:eastAsia="en-GB"/>
              </w:rPr>
            </w:pPr>
            <w:r w:rsidRPr="00A80562">
              <w:rPr>
                <w:sz w:val="16"/>
                <w:szCs w:val="16"/>
                <w:lang w:eastAsia="en-GB"/>
              </w:rPr>
              <w:t>Mean occupied bed days</w:t>
            </w:r>
          </w:p>
        </w:tc>
        <w:tc>
          <w:tcPr>
            <w:tcW w:w="1317" w:type="dxa"/>
            <w:tcBorders>
              <w:top w:val="nil"/>
              <w:left w:val="nil"/>
              <w:bottom w:val="single" w:sz="4" w:space="0" w:color="auto"/>
              <w:right w:val="single" w:sz="4" w:space="0" w:color="auto"/>
            </w:tcBorders>
            <w:shd w:val="clear" w:color="auto" w:fill="auto"/>
            <w:noWrap/>
            <w:vAlign w:val="bottom"/>
            <w:hideMark/>
          </w:tcPr>
          <w:p w14:paraId="200D1919" w14:textId="77777777" w:rsidR="00477ED5" w:rsidRPr="00A80562" w:rsidRDefault="00477ED5" w:rsidP="00682538">
            <w:pPr>
              <w:rPr>
                <w:sz w:val="16"/>
                <w:szCs w:val="16"/>
                <w:lang w:eastAsia="en-GB"/>
              </w:rPr>
            </w:pPr>
            <w:r w:rsidRPr="00A80562">
              <w:rPr>
                <w:sz w:val="16"/>
                <w:szCs w:val="16"/>
                <w:lang w:eastAsia="en-GB"/>
              </w:rPr>
              <w:t>420</w:t>
            </w:r>
          </w:p>
        </w:tc>
        <w:tc>
          <w:tcPr>
            <w:tcW w:w="1317" w:type="dxa"/>
            <w:tcBorders>
              <w:top w:val="nil"/>
              <w:left w:val="nil"/>
              <w:bottom w:val="single" w:sz="4" w:space="0" w:color="auto"/>
              <w:right w:val="single" w:sz="4" w:space="0" w:color="auto"/>
            </w:tcBorders>
            <w:shd w:val="clear" w:color="auto" w:fill="auto"/>
            <w:noWrap/>
            <w:vAlign w:val="bottom"/>
            <w:hideMark/>
          </w:tcPr>
          <w:p w14:paraId="31888A8E" w14:textId="77777777" w:rsidR="00477ED5" w:rsidRPr="00A80562" w:rsidRDefault="00477ED5" w:rsidP="00682538">
            <w:pPr>
              <w:rPr>
                <w:sz w:val="16"/>
                <w:szCs w:val="16"/>
                <w:lang w:eastAsia="en-GB"/>
              </w:rPr>
            </w:pPr>
            <w:r w:rsidRPr="00A80562">
              <w:rPr>
                <w:sz w:val="16"/>
                <w:szCs w:val="16"/>
                <w:lang w:eastAsia="en-GB"/>
              </w:rPr>
              <w:t>137</w:t>
            </w:r>
          </w:p>
        </w:tc>
        <w:tc>
          <w:tcPr>
            <w:tcW w:w="1317" w:type="dxa"/>
            <w:tcBorders>
              <w:top w:val="nil"/>
              <w:left w:val="nil"/>
              <w:bottom w:val="single" w:sz="4" w:space="0" w:color="auto"/>
              <w:right w:val="single" w:sz="4" w:space="0" w:color="auto"/>
            </w:tcBorders>
            <w:shd w:val="clear" w:color="auto" w:fill="auto"/>
            <w:noWrap/>
            <w:vAlign w:val="bottom"/>
            <w:hideMark/>
          </w:tcPr>
          <w:p w14:paraId="5E384572" w14:textId="77777777" w:rsidR="00477ED5" w:rsidRPr="00A80562" w:rsidRDefault="00477ED5" w:rsidP="00682538">
            <w:pPr>
              <w:rPr>
                <w:sz w:val="16"/>
                <w:szCs w:val="16"/>
                <w:lang w:eastAsia="en-GB"/>
              </w:rPr>
            </w:pPr>
            <w:r w:rsidRPr="00A80562">
              <w:rPr>
                <w:sz w:val="16"/>
                <w:szCs w:val="16"/>
                <w:lang w:eastAsia="en-GB"/>
              </w:rPr>
              <w:t>475</w:t>
            </w:r>
          </w:p>
        </w:tc>
        <w:tc>
          <w:tcPr>
            <w:tcW w:w="1519" w:type="dxa"/>
            <w:tcBorders>
              <w:top w:val="nil"/>
              <w:left w:val="nil"/>
              <w:bottom w:val="single" w:sz="4" w:space="0" w:color="auto"/>
              <w:right w:val="single" w:sz="4" w:space="0" w:color="auto"/>
            </w:tcBorders>
            <w:shd w:val="clear" w:color="auto" w:fill="auto"/>
            <w:noWrap/>
            <w:vAlign w:val="bottom"/>
            <w:hideMark/>
          </w:tcPr>
          <w:p w14:paraId="2FCD1AC7" w14:textId="77777777" w:rsidR="00477ED5" w:rsidRPr="00A80562" w:rsidRDefault="00477ED5" w:rsidP="00682538">
            <w:pPr>
              <w:rPr>
                <w:sz w:val="16"/>
                <w:szCs w:val="16"/>
                <w:lang w:eastAsia="en-GB"/>
              </w:rPr>
            </w:pPr>
            <w:r w:rsidRPr="00A80562">
              <w:rPr>
                <w:sz w:val="16"/>
                <w:szCs w:val="16"/>
                <w:lang w:eastAsia="en-GB"/>
              </w:rPr>
              <w:t>26,159</w:t>
            </w:r>
          </w:p>
        </w:tc>
      </w:tr>
      <w:tr w:rsidR="00477ED5" w:rsidRPr="00477ED5" w14:paraId="5E026097" w14:textId="77777777" w:rsidTr="00682538">
        <w:trPr>
          <w:trHeight w:val="205"/>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29D72A35" w14:textId="77777777" w:rsidR="00477ED5" w:rsidRPr="00A80562" w:rsidRDefault="00477ED5" w:rsidP="00682538">
            <w:pPr>
              <w:rPr>
                <w:sz w:val="16"/>
                <w:szCs w:val="16"/>
                <w:lang w:eastAsia="en-GB"/>
              </w:rPr>
            </w:pPr>
            <w:r w:rsidRPr="00A80562">
              <w:rPr>
                <w:sz w:val="16"/>
                <w:szCs w:val="16"/>
                <w:lang w:eastAsia="en-GB"/>
              </w:rPr>
              <w:t>Total care contacts</w:t>
            </w:r>
          </w:p>
        </w:tc>
        <w:tc>
          <w:tcPr>
            <w:tcW w:w="1317" w:type="dxa"/>
            <w:tcBorders>
              <w:top w:val="nil"/>
              <w:left w:val="nil"/>
              <w:bottom w:val="single" w:sz="4" w:space="0" w:color="auto"/>
              <w:right w:val="single" w:sz="4" w:space="0" w:color="auto"/>
            </w:tcBorders>
            <w:shd w:val="clear" w:color="auto" w:fill="auto"/>
            <w:noWrap/>
            <w:vAlign w:val="bottom"/>
            <w:hideMark/>
          </w:tcPr>
          <w:p w14:paraId="3E7AECA6" w14:textId="77777777" w:rsidR="00477ED5" w:rsidRPr="00A80562" w:rsidRDefault="00477ED5" w:rsidP="00682538">
            <w:pPr>
              <w:rPr>
                <w:sz w:val="16"/>
                <w:szCs w:val="16"/>
                <w:lang w:eastAsia="en-GB"/>
              </w:rPr>
            </w:pPr>
            <w:r w:rsidRPr="00A80562">
              <w:rPr>
                <w:sz w:val="16"/>
                <w:szCs w:val="16"/>
                <w:lang w:eastAsia="en-GB"/>
              </w:rPr>
              <w:t>325,165</w:t>
            </w:r>
          </w:p>
        </w:tc>
        <w:tc>
          <w:tcPr>
            <w:tcW w:w="1317" w:type="dxa"/>
            <w:tcBorders>
              <w:top w:val="nil"/>
              <w:left w:val="nil"/>
              <w:bottom w:val="single" w:sz="4" w:space="0" w:color="auto"/>
              <w:right w:val="single" w:sz="4" w:space="0" w:color="auto"/>
            </w:tcBorders>
            <w:shd w:val="clear" w:color="auto" w:fill="auto"/>
            <w:noWrap/>
            <w:vAlign w:val="bottom"/>
            <w:hideMark/>
          </w:tcPr>
          <w:p w14:paraId="0CD57B64" w14:textId="77777777" w:rsidR="00477ED5" w:rsidRPr="00A80562" w:rsidRDefault="00477ED5" w:rsidP="00682538">
            <w:pPr>
              <w:rPr>
                <w:sz w:val="16"/>
                <w:szCs w:val="16"/>
                <w:lang w:eastAsia="en-GB"/>
              </w:rPr>
            </w:pPr>
            <w:r w:rsidRPr="00A80562">
              <w:rPr>
                <w:sz w:val="16"/>
                <w:szCs w:val="16"/>
                <w:lang w:eastAsia="en-GB"/>
              </w:rPr>
              <w:t>25,505</w:t>
            </w:r>
          </w:p>
        </w:tc>
        <w:tc>
          <w:tcPr>
            <w:tcW w:w="1317" w:type="dxa"/>
            <w:tcBorders>
              <w:top w:val="nil"/>
              <w:left w:val="nil"/>
              <w:bottom w:val="single" w:sz="4" w:space="0" w:color="auto"/>
              <w:right w:val="single" w:sz="4" w:space="0" w:color="auto"/>
            </w:tcBorders>
            <w:shd w:val="clear" w:color="auto" w:fill="auto"/>
            <w:noWrap/>
            <w:vAlign w:val="bottom"/>
            <w:hideMark/>
          </w:tcPr>
          <w:p w14:paraId="74EB720F" w14:textId="77777777" w:rsidR="00477ED5" w:rsidRPr="00A80562" w:rsidRDefault="00477ED5" w:rsidP="00682538">
            <w:pPr>
              <w:rPr>
                <w:sz w:val="16"/>
                <w:szCs w:val="16"/>
                <w:lang w:eastAsia="en-GB"/>
              </w:rPr>
            </w:pPr>
            <w:r w:rsidRPr="00A80562">
              <w:rPr>
                <w:sz w:val="16"/>
                <w:szCs w:val="16"/>
                <w:lang w:eastAsia="en-GB"/>
              </w:rPr>
              <w:t>445,095</w:t>
            </w:r>
          </w:p>
        </w:tc>
        <w:tc>
          <w:tcPr>
            <w:tcW w:w="1519" w:type="dxa"/>
            <w:tcBorders>
              <w:top w:val="nil"/>
              <w:left w:val="nil"/>
              <w:bottom w:val="single" w:sz="4" w:space="0" w:color="auto"/>
              <w:right w:val="single" w:sz="4" w:space="0" w:color="auto"/>
            </w:tcBorders>
            <w:shd w:val="clear" w:color="auto" w:fill="auto"/>
            <w:noWrap/>
            <w:vAlign w:val="bottom"/>
            <w:hideMark/>
          </w:tcPr>
          <w:p w14:paraId="07839546" w14:textId="35525FC1" w:rsidR="00477ED5" w:rsidRPr="00A80562" w:rsidRDefault="00477ED5" w:rsidP="00682538">
            <w:pPr>
              <w:rPr>
                <w:sz w:val="16"/>
                <w:szCs w:val="16"/>
                <w:lang w:eastAsia="en-GB"/>
              </w:rPr>
            </w:pPr>
            <w:r w:rsidRPr="00A80562">
              <w:rPr>
                <w:sz w:val="16"/>
                <w:szCs w:val="16"/>
                <w:lang w:eastAsia="en-GB"/>
              </w:rPr>
              <w:t>26,608,986</w:t>
            </w:r>
          </w:p>
        </w:tc>
      </w:tr>
      <w:tr w:rsidR="00477ED5" w:rsidRPr="00477ED5" w14:paraId="6604A62C" w14:textId="77777777" w:rsidTr="00682538">
        <w:trPr>
          <w:trHeight w:val="4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1C40699C" w14:textId="77777777" w:rsidR="00477ED5" w:rsidRPr="00A80562" w:rsidRDefault="00477ED5" w:rsidP="00682538">
            <w:pPr>
              <w:rPr>
                <w:sz w:val="16"/>
                <w:szCs w:val="16"/>
                <w:lang w:eastAsia="en-GB"/>
              </w:rPr>
            </w:pPr>
            <w:r w:rsidRPr="00A80562">
              <w:rPr>
                <w:sz w:val="16"/>
                <w:szCs w:val="16"/>
                <w:lang w:eastAsia="en-GB"/>
              </w:rPr>
              <w:t>Total care contacts attendance rate</w:t>
            </w:r>
          </w:p>
        </w:tc>
        <w:tc>
          <w:tcPr>
            <w:tcW w:w="1317" w:type="dxa"/>
            <w:tcBorders>
              <w:top w:val="nil"/>
              <w:left w:val="nil"/>
              <w:bottom w:val="single" w:sz="4" w:space="0" w:color="auto"/>
              <w:right w:val="single" w:sz="4" w:space="0" w:color="auto"/>
            </w:tcBorders>
            <w:shd w:val="clear" w:color="auto" w:fill="auto"/>
            <w:noWrap/>
            <w:vAlign w:val="bottom"/>
            <w:hideMark/>
          </w:tcPr>
          <w:p w14:paraId="6E203699" w14:textId="77777777" w:rsidR="00477ED5" w:rsidRPr="00A80562" w:rsidRDefault="00477ED5" w:rsidP="00682538">
            <w:pPr>
              <w:rPr>
                <w:sz w:val="16"/>
                <w:szCs w:val="16"/>
                <w:lang w:eastAsia="en-GB"/>
              </w:rPr>
            </w:pPr>
            <w:r w:rsidRPr="00A80562">
              <w:rPr>
                <w:sz w:val="16"/>
                <w:szCs w:val="16"/>
                <w:lang w:eastAsia="en-GB"/>
              </w:rPr>
              <w:t>83.0%</w:t>
            </w:r>
          </w:p>
        </w:tc>
        <w:tc>
          <w:tcPr>
            <w:tcW w:w="1317" w:type="dxa"/>
            <w:tcBorders>
              <w:top w:val="nil"/>
              <w:left w:val="nil"/>
              <w:bottom w:val="single" w:sz="4" w:space="0" w:color="auto"/>
              <w:right w:val="single" w:sz="4" w:space="0" w:color="auto"/>
            </w:tcBorders>
            <w:shd w:val="clear" w:color="auto" w:fill="auto"/>
            <w:noWrap/>
            <w:vAlign w:val="bottom"/>
            <w:hideMark/>
          </w:tcPr>
          <w:p w14:paraId="64DB7CDF" w14:textId="77777777" w:rsidR="00477ED5" w:rsidRPr="00A80562" w:rsidRDefault="00477ED5" w:rsidP="00682538">
            <w:pPr>
              <w:rPr>
                <w:sz w:val="16"/>
                <w:szCs w:val="16"/>
                <w:lang w:eastAsia="en-GB"/>
              </w:rPr>
            </w:pPr>
            <w:r w:rsidRPr="00A80562">
              <w:rPr>
                <w:sz w:val="16"/>
                <w:szCs w:val="16"/>
                <w:lang w:eastAsia="en-GB"/>
              </w:rPr>
              <w:t>74.0%</w:t>
            </w:r>
          </w:p>
        </w:tc>
        <w:tc>
          <w:tcPr>
            <w:tcW w:w="1317" w:type="dxa"/>
            <w:tcBorders>
              <w:top w:val="nil"/>
              <w:left w:val="nil"/>
              <w:bottom w:val="single" w:sz="4" w:space="0" w:color="auto"/>
              <w:right w:val="single" w:sz="4" w:space="0" w:color="auto"/>
            </w:tcBorders>
            <w:shd w:val="clear" w:color="auto" w:fill="auto"/>
            <w:noWrap/>
            <w:vAlign w:val="bottom"/>
            <w:hideMark/>
          </w:tcPr>
          <w:p w14:paraId="5352696D" w14:textId="77777777" w:rsidR="00477ED5" w:rsidRPr="00A80562" w:rsidRDefault="00477ED5" w:rsidP="00682538">
            <w:pPr>
              <w:rPr>
                <w:sz w:val="16"/>
                <w:szCs w:val="16"/>
                <w:lang w:eastAsia="en-GB"/>
              </w:rPr>
            </w:pPr>
            <w:r w:rsidRPr="00A80562">
              <w:rPr>
                <w:sz w:val="16"/>
                <w:szCs w:val="16"/>
                <w:lang w:eastAsia="en-GB"/>
              </w:rPr>
              <w:t>89.0%</w:t>
            </w:r>
          </w:p>
        </w:tc>
        <w:tc>
          <w:tcPr>
            <w:tcW w:w="1519" w:type="dxa"/>
            <w:tcBorders>
              <w:top w:val="nil"/>
              <w:left w:val="nil"/>
              <w:bottom w:val="single" w:sz="4" w:space="0" w:color="auto"/>
              <w:right w:val="single" w:sz="4" w:space="0" w:color="auto"/>
            </w:tcBorders>
            <w:shd w:val="clear" w:color="auto" w:fill="auto"/>
            <w:noWrap/>
            <w:vAlign w:val="bottom"/>
            <w:hideMark/>
          </w:tcPr>
          <w:p w14:paraId="1BA36273" w14:textId="77777777" w:rsidR="00477ED5" w:rsidRPr="00A80562" w:rsidRDefault="00477ED5" w:rsidP="00682538">
            <w:pPr>
              <w:rPr>
                <w:sz w:val="16"/>
                <w:szCs w:val="16"/>
                <w:lang w:eastAsia="en-GB"/>
              </w:rPr>
            </w:pPr>
            <w:r w:rsidRPr="00A80562">
              <w:rPr>
                <w:sz w:val="16"/>
                <w:szCs w:val="16"/>
                <w:lang w:eastAsia="en-GB"/>
              </w:rPr>
              <w:t>80.6%</w:t>
            </w:r>
          </w:p>
        </w:tc>
      </w:tr>
      <w:tr w:rsidR="00477ED5" w:rsidRPr="00477ED5" w14:paraId="01D7FB38" w14:textId="77777777" w:rsidTr="00682538">
        <w:trPr>
          <w:trHeight w:val="410"/>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5B67E25D" w14:textId="77777777" w:rsidR="00477ED5" w:rsidRPr="00A80562" w:rsidRDefault="00477ED5" w:rsidP="00682538">
            <w:pPr>
              <w:rPr>
                <w:sz w:val="16"/>
                <w:szCs w:val="16"/>
                <w:lang w:eastAsia="en-GB"/>
              </w:rPr>
            </w:pPr>
            <w:r w:rsidRPr="00A80562">
              <w:rPr>
                <w:sz w:val="16"/>
                <w:szCs w:val="16"/>
                <w:lang w:eastAsia="en-GB"/>
              </w:rPr>
              <w:t>Early Intervention Team for Psychosis contacts</w:t>
            </w:r>
          </w:p>
        </w:tc>
        <w:tc>
          <w:tcPr>
            <w:tcW w:w="1317" w:type="dxa"/>
            <w:tcBorders>
              <w:top w:val="nil"/>
              <w:left w:val="nil"/>
              <w:bottom w:val="single" w:sz="4" w:space="0" w:color="auto"/>
              <w:right w:val="single" w:sz="4" w:space="0" w:color="auto"/>
            </w:tcBorders>
            <w:shd w:val="clear" w:color="auto" w:fill="auto"/>
            <w:noWrap/>
            <w:vAlign w:val="bottom"/>
            <w:hideMark/>
          </w:tcPr>
          <w:p w14:paraId="3B63F7B5" w14:textId="77777777" w:rsidR="00477ED5" w:rsidRPr="00A80562" w:rsidRDefault="00477ED5" w:rsidP="00682538">
            <w:pPr>
              <w:rPr>
                <w:sz w:val="16"/>
                <w:szCs w:val="16"/>
                <w:lang w:eastAsia="en-GB"/>
              </w:rPr>
            </w:pPr>
            <w:r w:rsidRPr="00A80562">
              <w:rPr>
                <w:sz w:val="16"/>
                <w:szCs w:val="16"/>
                <w:lang w:eastAsia="en-GB"/>
              </w:rPr>
              <w:t>9,065</w:t>
            </w:r>
          </w:p>
        </w:tc>
        <w:tc>
          <w:tcPr>
            <w:tcW w:w="1317" w:type="dxa"/>
            <w:tcBorders>
              <w:top w:val="nil"/>
              <w:left w:val="nil"/>
              <w:bottom w:val="single" w:sz="4" w:space="0" w:color="auto"/>
              <w:right w:val="single" w:sz="4" w:space="0" w:color="auto"/>
            </w:tcBorders>
            <w:shd w:val="clear" w:color="auto" w:fill="auto"/>
            <w:noWrap/>
            <w:vAlign w:val="bottom"/>
            <w:hideMark/>
          </w:tcPr>
          <w:p w14:paraId="0522A024" w14:textId="77777777" w:rsidR="00477ED5" w:rsidRPr="00A80562" w:rsidRDefault="00477ED5" w:rsidP="00682538">
            <w:pPr>
              <w:rPr>
                <w:sz w:val="16"/>
                <w:szCs w:val="16"/>
                <w:lang w:eastAsia="en-GB"/>
              </w:rPr>
            </w:pPr>
            <w:r w:rsidRPr="00A80562">
              <w:rPr>
                <w:sz w:val="16"/>
                <w:szCs w:val="16"/>
                <w:lang w:eastAsia="en-GB"/>
              </w:rPr>
              <w:t>8,038</w:t>
            </w:r>
          </w:p>
        </w:tc>
        <w:tc>
          <w:tcPr>
            <w:tcW w:w="1317" w:type="dxa"/>
            <w:tcBorders>
              <w:top w:val="nil"/>
              <w:left w:val="nil"/>
              <w:bottom w:val="single" w:sz="4" w:space="0" w:color="auto"/>
              <w:right w:val="single" w:sz="4" w:space="0" w:color="auto"/>
            </w:tcBorders>
            <w:shd w:val="clear" w:color="auto" w:fill="auto"/>
            <w:noWrap/>
            <w:vAlign w:val="bottom"/>
            <w:hideMark/>
          </w:tcPr>
          <w:p w14:paraId="1C664033" w14:textId="77777777" w:rsidR="00477ED5" w:rsidRPr="00A80562" w:rsidRDefault="00477ED5" w:rsidP="00682538">
            <w:pPr>
              <w:rPr>
                <w:sz w:val="16"/>
                <w:szCs w:val="16"/>
                <w:lang w:eastAsia="en-GB"/>
              </w:rPr>
            </w:pPr>
            <w:r w:rsidRPr="00A80562">
              <w:rPr>
                <w:sz w:val="16"/>
                <w:szCs w:val="16"/>
                <w:lang w:eastAsia="en-GB"/>
              </w:rPr>
              <w:t>25,273</w:t>
            </w:r>
          </w:p>
        </w:tc>
        <w:tc>
          <w:tcPr>
            <w:tcW w:w="1519" w:type="dxa"/>
            <w:tcBorders>
              <w:top w:val="nil"/>
              <w:left w:val="nil"/>
              <w:bottom w:val="single" w:sz="4" w:space="0" w:color="auto"/>
              <w:right w:val="single" w:sz="4" w:space="0" w:color="auto"/>
            </w:tcBorders>
            <w:shd w:val="clear" w:color="auto" w:fill="auto"/>
            <w:noWrap/>
            <w:vAlign w:val="bottom"/>
            <w:hideMark/>
          </w:tcPr>
          <w:p w14:paraId="19B9A412" w14:textId="77777777" w:rsidR="00477ED5" w:rsidRPr="00A80562" w:rsidRDefault="00477ED5" w:rsidP="00682538">
            <w:pPr>
              <w:rPr>
                <w:sz w:val="16"/>
                <w:szCs w:val="16"/>
                <w:lang w:eastAsia="en-GB"/>
              </w:rPr>
            </w:pPr>
            <w:r w:rsidRPr="00A80562">
              <w:rPr>
                <w:sz w:val="16"/>
                <w:szCs w:val="16"/>
                <w:lang w:eastAsia="en-GB"/>
              </w:rPr>
              <w:t>1,007,735</w:t>
            </w:r>
          </w:p>
        </w:tc>
      </w:tr>
      <w:tr w:rsidR="00477ED5" w:rsidRPr="00477ED5" w14:paraId="0EF1E35C" w14:textId="77777777" w:rsidTr="00682538">
        <w:trPr>
          <w:trHeight w:val="616"/>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55CD3B0E" w14:textId="77777777" w:rsidR="00477ED5" w:rsidRPr="00A80562" w:rsidRDefault="00477ED5" w:rsidP="00682538">
            <w:pPr>
              <w:rPr>
                <w:sz w:val="16"/>
                <w:szCs w:val="16"/>
                <w:lang w:eastAsia="en-GB"/>
              </w:rPr>
            </w:pPr>
            <w:r w:rsidRPr="00A80562">
              <w:rPr>
                <w:sz w:val="16"/>
                <w:szCs w:val="16"/>
                <w:lang w:eastAsia="en-GB"/>
              </w:rPr>
              <w:t>Early Intervention Team for Psychosis contact attendance rate</w:t>
            </w:r>
          </w:p>
        </w:tc>
        <w:tc>
          <w:tcPr>
            <w:tcW w:w="1317" w:type="dxa"/>
            <w:tcBorders>
              <w:top w:val="nil"/>
              <w:left w:val="nil"/>
              <w:bottom w:val="single" w:sz="4" w:space="0" w:color="auto"/>
              <w:right w:val="single" w:sz="4" w:space="0" w:color="auto"/>
            </w:tcBorders>
            <w:shd w:val="clear" w:color="auto" w:fill="auto"/>
            <w:noWrap/>
            <w:vAlign w:val="bottom"/>
            <w:hideMark/>
          </w:tcPr>
          <w:p w14:paraId="3D5F6C45" w14:textId="77777777" w:rsidR="00477ED5" w:rsidRPr="00A80562" w:rsidRDefault="00477ED5" w:rsidP="00682538">
            <w:pPr>
              <w:rPr>
                <w:sz w:val="16"/>
                <w:szCs w:val="16"/>
                <w:lang w:eastAsia="en-GB"/>
              </w:rPr>
            </w:pPr>
            <w:r w:rsidRPr="00A80562">
              <w:rPr>
                <w:sz w:val="16"/>
                <w:szCs w:val="16"/>
                <w:lang w:eastAsia="en-GB"/>
              </w:rPr>
              <w:t>86.0%</w:t>
            </w:r>
          </w:p>
        </w:tc>
        <w:tc>
          <w:tcPr>
            <w:tcW w:w="1317" w:type="dxa"/>
            <w:tcBorders>
              <w:top w:val="nil"/>
              <w:left w:val="nil"/>
              <w:bottom w:val="single" w:sz="4" w:space="0" w:color="auto"/>
              <w:right w:val="single" w:sz="4" w:space="0" w:color="auto"/>
            </w:tcBorders>
            <w:shd w:val="clear" w:color="auto" w:fill="auto"/>
            <w:noWrap/>
            <w:vAlign w:val="bottom"/>
            <w:hideMark/>
          </w:tcPr>
          <w:p w14:paraId="10C957EE" w14:textId="77777777" w:rsidR="00477ED5" w:rsidRPr="00A80562" w:rsidRDefault="00477ED5" w:rsidP="00682538">
            <w:pPr>
              <w:rPr>
                <w:sz w:val="16"/>
                <w:szCs w:val="16"/>
                <w:lang w:eastAsia="en-GB"/>
              </w:rPr>
            </w:pPr>
            <w:r w:rsidRPr="00A80562">
              <w:rPr>
                <w:sz w:val="16"/>
                <w:szCs w:val="16"/>
                <w:lang w:eastAsia="en-GB"/>
              </w:rPr>
              <w:t>77.0%</w:t>
            </w:r>
          </w:p>
        </w:tc>
        <w:tc>
          <w:tcPr>
            <w:tcW w:w="1317" w:type="dxa"/>
            <w:tcBorders>
              <w:top w:val="nil"/>
              <w:left w:val="nil"/>
              <w:bottom w:val="single" w:sz="4" w:space="0" w:color="auto"/>
              <w:right w:val="single" w:sz="4" w:space="0" w:color="auto"/>
            </w:tcBorders>
            <w:shd w:val="clear" w:color="auto" w:fill="auto"/>
            <w:noWrap/>
            <w:vAlign w:val="bottom"/>
            <w:hideMark/>
          </w:tcPr>
          <w:p w14:paraId="173EF62B" w14:textId="77777777" w:rsidR="00477ED5" w:rsidRPr="00A80562" w:rsidRDefault="00477ED5" w:rsidP="00682538">
            <w:pPr>
              <w:rPr>
                <w:sz w:val="16"/>
                <w:szCs w:val="16"/>
                <w:lang w:eastAsia="en-GB"/>
              </w:rPr>
            </w:pPr>
            <w:r w:rsidRPr="00A80562">
              <w:rPr>
                <w:sz w:val="16"/>
                <w:szCs w:val="16"/>
                <w:lang w:eastAsia="en-GB"/>
              </w:rPr>
              <w:t>88.5%</w:t>
            </w:r>
          </w:p>
        </w:tc>
        <w:tc>
          <w:tcPr>
            <w:tcW w:w="1519" w:type="dxa"/>
            <w:tcBorders>
              <w:top w:val="nil"/>
              <w:left w:val="nil"/>
              <w:bottom w:val="single" w:sz="4" w:space="0" w:color="auto"/>
              <w:right w:val="single" w:sz="4" w:space="0" w:color="auto"/>
            </w:tcBorders>
            <w:shd w:val="clear" w:color="auto" w:fill="auto"/>
            <w:noWrap/>
            <w:vAlign w:val="bottom"/>
            <w:hideMark/>
          </w:tcPr>
          <w:p w14:paraId="657685A4" w14:textId="77777777" w:rsidR="00477ED5" w:rsidRPr="00A80562" w:rsidRDefault="00477ED5" w:rsidP="00682538">
            <w:pPr>
              <w:rPr>
                <w:sz w:val="16"/>
                <w:szCs w:val="16"/>
                <w:lang w:eastAsia="en-GB"/>
              </w:rPr>
            </w:pPr>
            <w:r w:rsidRPr="00A80562">
              <w:rPr>
                <w:sz w:val="16"/>
                <w:szCs w:val="16"/>
                <w:lang w:eastAsia="en-GB"/>
              </w:rPr>
              <w:t>82.7%</w:t>
            </w:r>
          </w:p>
        </w:tc>
      </w:tr>
      <w:tr w:rsidR="00477ED5" w:rsidRPr="00477ED5" w14:paraId="4B4B3D3F" w14:textId="77777777" w:rsidTr="00682538">
        <w:trPr>
          <w:trHeight w:val="616"/>
        </w:trPr>
        <w:tc>
          <w:tcPr>
            <w:tcW w:w="3531" w:type="dxa"/>
            <w:tcBorders>
              <w:top w:val="nil"/>
              <w:left w:val="single" w:sz="4" w:space="0" w:color="auto"/>
              <w:bottom w:val="single" w:sz="4" w:space="0" w:color="auto"/>
              <w:right w:val="single" w:sz="4" w:space="0" w:color="auto"/>
            </w:tcBorders>
            <w:shd w:val="clear" w:color="auto" w:fill="auto"/>
            <w:vAlign w:val="bottom"/>
            <w:hideMark/>
          </w:tcPr>
          <w:p w14:paraId="70AC00C8" w14:textId="77777777" w:rsidR="00477ED5" w:rsidRPr="00A80562" w:rsidRDefault="00477ED5" w:rsidP="00682538">
            <w:pPr>
              <w:rPr>
                <w:sz w:val="16"/>
                <w:szCs w:val="16"/>
                <w:lang w:eastAsia="en-GB"/>
              </w:rPr>
            </w:pPr>
            <w:r w:rsidRPr="00A80562">
              <w:rPr>
                <w:sz w:val="16"/>
                <w:szCs w:val="16"/>
                <w:lang w:eastAsia="en-GB"/>
              </w:rPr>
              <w:t>Proportion EIP referrals entering treatment within two weeks</w:t>
            </w:r>
          </w:p>
        </w:tc>
        <w:tc>
          <w:tcPr>
            <w:tcW w:w="1317" w:type="dxa"/>
            <w:tcBorders>
              <w:top w:val="nil"/>
              <w:left w:val="nil"/>
              <w:bottom w:val="single" w:sz="4" w:space="0" w:color="auto"/>
              <w:right w:val="single" w:sz="4" w:space="0" w:color="auto"/>
            </w:tcBorders>
            <w:shd w:val="clear" w:color="auto" w:fill="auto"/>
            <w:noWrap/>
            <w:vAlign w:val="bottom"/>
            <w:hideMark/>
          </w:tcPr>
          <w:p w14:paraId="11A6F9FC" w14:textId="77777777" w:rsidR="00477ED5" w:rsidRPr="00A80562" w:rsidRDefault="00477ED5" w:rsidP="00682538">
            <w:pPr>
              <w:rPr>
                <w:sz w:val="16"/>
                <w:szCs w:val="16"/>
                <w:lang w:eastAsia="en-GB"/>
              </w:rPr>
            </w:pPr>
            <w:r w:rsidRPr="00A80562">
              <w:rPr>
                <w:sz w:val="16"/>
                <w:szCs w:val="16"/>
                <w:lang w:eastAsia="en-GB"/>
              </w:rPr>
              <w:t>80.0%</w:t>
            </w:r>
          </w:p>
        </w:tc>
        <w:tc>
          <w:tcPr>
            <w:tcW w:w="1317" w:type="dxa"/>
            <w:tcBorders>
              <w:top w:val="nil"/>
              <w:left w:val="nil"/>
              <w:bottom w:val="single" w:sz="4" w:space="0" w:color="auto"/>
              <w:right w:val="single" w:sz="4" w:space="0" w:color="auto"/>
            </w:tcBorders>
            <w:shd w:val="clear" w:color="auto" w:fill="auto"/>
            <w:noWrap/>
            <w:vAlign w:val="bottom"/>
            <w:hideMark/>
          </w:tcPr>
          <w:p w14:paraId="4DD0FFCE" w14:textId="77777777" w:rsidR="00477ED5" w:rsidRPr="00A80562" w:rsidRDefault="00477ED5" w:rsidP="00682538">
            <w:pPr>
              <w:rPr>
                <w:sz w:val="16"/>
                <w:szCs w:val="16"/>
                <w:lang w:eastAsia="en-GB"/>
              </w:rPr>
            </w:pPr>
            <w:r w:rsidRPr="00A80562">
              <w:rPr>
                <w:sz w:val="16"/>
                <w:szCs w:val="16"/>
                <w:lang w:eastAsia="en-GB"/>
              </w:rPr>
              <w:t>65.0%</w:t>
            </w:r>
          </w:p>
        </w:tc>
        <w:tc>
          <w:tcPr>
            <w:tcW w:w="1317" w:type="dxa"/>
            <w:tcBorders>
              <w:top w:val="nil"/>
              <w:left w:val="nil"/>
              <w:bottom w:val="single" w:sz="4" w:space="0" w:color="auto"/>
              <w:right w:val="single" w:sz="4" w:space="0" w:color="auto"/>
            </w:tcBorders>
            <w:shd w:val="clear" w:color="auto" w:fill="auto"/>
            <w:noWrap/>
            <w:vAlign w:val="bottom"/>
            <w:hideMark/>
          </w:tcPr>
          <w:p w14:paraId="65F251B5" w14:textId="77777777" w:rsidR="00477ED5" w:rsidRPr="00A80562" w:rsidRDefault="00477ED5" w:rsidP="00682538">
            <w:pPr>
              <w:rPr>
                <w:sz w:val="16"/>
                <w:szCs w:val="16"/>
                <w:lang w:eastAsia="en-GB"/>
              </w:rPr>
            </w:pPr>
            <w:r w:rsidRPr="00A80562">
              <w:rPr>
                <w:sz w:val="16"/>
                <w:szCs w:val="16"/>
                <w:lang w:eastAsia="en-GB"/>
              </w:rPr>
              <w:t>80.0%</w:t>
            </w:r>
          </w:p>
        </w:tc>
        <w:tc>
          <w:tcPr>
            <w:tcW w:w="1519" w:type="dxa"/>
            <w:tcBorders>
              <w:top w:val="nil"/>
              <w:left w:val="nil"/>
              <w:bottom w:val="single" w:sz="4" w:space="0" w:color="auto"/>
              <w:right w:val="single" w:sz="4" w:space="0" w:color="auto"/>
            </w:tcBorders>
            <w:shd w:val="clear" w:color="auto" w:fill="auto"/>
            <w:noWrap/>
            <w:vAlign w:val="bottom"/>
            <w:hideMark/>
          </w:tcPr>
          <w:p w14:paraId="1C357EB9" w14:textId="77777777" w:rsidR="00477ED5" w:rsidRPr="00A80562" w:rsidRDefault="00477ED5" w:rsidP="00682538">
            <w:pPr>
              <w:rPr>
                <w:sz w:val="16"/>
                <w:szCs w:val="16"/>
                <w:lang w:eastAsia="en-GB"/>
              </w:rPr>
            </w:pPr>
            <w:r w:rsidRPr="00A80562">
              <w:rPr>
                <w:sz w:val="16"/>
                <w:szCs w:val="16"/>
                <w:lang w:eastAsia="en-GB"/>
              </w:rPr>
              <w:t>67.7%</w:t>
            </w:r>
          </w:p>
        </w:tc>
      </w:tr>
    </w:tbl>
    <w:p w14:paraId="413D3B27" w14:textId="77777777" w:rsidR="00A1201C" w:rsidRPr="00A1201C" w:rsidRDefault="00A1201C" w:rsidP="00682538"/>
    <w:p w14:paraId="60DF82F8" w14:textId="08C44EA0" w:rsidR="00E7396F" w:rsidRDefault="00E7396F" w:rsidP="006C05EE">
      <w:pPr>
        <w:pStyle w:val="Heading3"/>
      </w:pPr>
      <w:r>
        <w:t>Appendix 2.2 – Weekly totals descriptive statistics</w:t>
      </w:r>
    </w:p>
    <w:tbl>
      <w:tblPr>
        <w:tblW w:w="8711" w:type="dxa"/>
        <w:tblLayout w:type="fixed"/>
        <w:tblLook w:val="04A0" w:firstRow="1" w:lastRow="0" w:firstColumn="1" w:lastColumn="0" w:noHBand="0" w:noVBand="1"/>
      </w:tblPr>
      <w:tblGrid>
        <w:gridCol w:w="236"/>
        <w:gridCol w:w="4162"/>
        <w:gridCol w:w="1437"/>
        <w:gridCol w:w="1438"/>
        <w:gridCol w:w="1438"/>
      </w:tblGrid>
      <w:tr w:rsidR="00CE566D" w:rsidRPr="005C090E" w14:paraId="4C7659DF" w14:textId="77777777" w:rsidTr="00FD7C19">
        <w:trPr>
          <w:trHeight w:val="224"/>
        </w:trPr>
        <w:tc>
          <w:tcPr>
            <w:tcW w:w="4398" w:type="dxa"/>
            <w:gridSpan w:val="2"/>
            <w:tcBorders>
              <w:top w:val="nil"/>
              <w:left w:val="nil"/>
              <w:bottom w:val="single" w:sz="8" w:space="0" w:color="auto"/>
              <w:right w:val="single" w:sz="4" w:space="0" w:color="000000"/>
            </w:tcBorders>
            <w:shd w:val="clear" w:color="auto" w:fill="auto"/>
            <w:noWrap/>
            <w:vAlign w:val="bottom"/>
            <w:hideMark/>
          </w:tcPr>
          <w:p w14:paraId="7E631137" w14:textId="77777777" w:rsidR="00CE566D" w:rsidRPr="005C090E" w:rsidRDefault="00CE566D" w:rsidP="00CE566D">
            <w:pPr>
              <w:spacing w:after="0" w:line="240" w:lineRule="auto"/>
              <w:jc w:val="left"/>
              <w:rPr>
                <w:rFonts w:eastAsia="Times New Roman"/>
                <w:b/>
                <w:bCs/>
                <w:sz w:val="16"/>
                <w:szCs w:val="16"/>
                <w:lang w:eastAsia="en-GB"/>
              </w:rPr>
            </w:pPr>
            <w:r w:rsidRPr="005C090E">
              <w:rPr>
                <w:rFonts w:eastAsia="Times New Roman"/>
                <w:b/>
                <w:bCs/>
                <w:sz w:val="16"/>
                <w:szCs w:val="16"/>
                <w:lang w:eastAsia="en-GB"/>
              </w:rPr>
              <w:t>Outcome</w:t>
            </w:r>
          </w:p>
        </w:tc>
        <w:tc>
          <w:tcPr>
            <w:tcW w:w="1437" w:type="dxa"/>
            <w:tcBorders>
              <w:top w:val="nil"/>
              <w:left w:val="nil"/>
              <w:bottom w:val="nil"/>
              <w:right w:val="nil"/>
            </w:tcBorders>
            <w:shd w:val="clear" w:color="auto" w:fill="auto"/>
            <w:noWrap/>
            <w:vAlign w:val="bottom"/>
            <w:hideMark/>
          </w:tcPr>
          <w:p w14:paraId="39986CD5"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Mean</w:t>
            </w:r>
          </w:p>
        </w:tc>
        <w:tc>
          <w:tcPr>
            <w:tcW w:w="1438" w:type="dxa"/>
            <w:tcBorders>
              <w:top w:val="nil"/>
              <w:left w:val="nil"/>
              <w:bottom w:val="nil"/>
              <w:right w:val="nil"/>
            </w:tcBorders>
            <w:shd w:val="clear" w:color="auto" w:fill="auto"/>
            <w:noWrap/>
            <w:vAlign w:val="bottom"/>
            <w:hideMark/>
          </w:tcPr>
          <w:p w14:paraId="2793F8FA"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SD</w:t>
            </w:r>
          </w:p>
        </w:tc>
        <w:tc>
          <w:tcPr>
            <w:tcW w:w="1438" w:type="dxa"/>
            <w:tcBorders>
              <w:top w:val="nil"/>
              <w:left w:val="nil"/>
              <w:bottom w:val="nil"/>
              <w:right w:val="nil"/>
            </w:tcBorders>
            <w:shd w:val="clear" w:color="auto" w:fill="auto"/>
            <w:noWrap/>
            <w:vAlign w:val="bottom"/>
            <w:hideMark/>
          </w:tcPr>
          <w:p w14:paraId="72C3613D"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N</w:t>
            </w:r>
          </w:p>
        </w:tc>
      </w:tr>
      <w:tr w:rsidR="00CE566D" w:rsidRPr="005C090E" w14:paraId="7BE5EC9B" w14:textId="77777777" w:rsidTr="00FD7C19">
        <w:trPr>
          <w:trHeight w:val="214"/>
        </w:trPr>
        <w:tc>
          <w:tcPr>
            <w:tcW w:w="4398" w:type="dxa"/>
            <w:gridSpan w:val="2"/>
            <w:tcBorders>
              <w:top w:val="single" w:sz="8" w:space="0" w:color="auto"/>
              <w:left w:val="nil"/>
              <w:bottom w:val="single" w:sz="4" w:space="0" w:color="auto"/>
              <w:right w:val="nil"/>
            </w:tcBorders>
            <w:shd w:val="clear" w:color="auto" w:fill="auto"/>
            <w:noWrap/>
            <w:vAlign w:val="bottom"/>
            <w:hideMark/>
          </w:tcPr>
          <w:p w14:paraId="73628B76" w14:textId="75C73B0F"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xml:space="preserve">Outpatient </w:t>
            </w:r>
            <w:r w:rsidR="00FD7C19">
              <w:rPr>
                <w:rFonts w:eastAsia="Times New Roman"/>
                <w:sz w:val="16"/>
                <w:szCs w:val="16"/>
                <w:lang w:eastAsia="en-GB"/>
              </w:rPr>
              <w:t xml:space="preserve">and community </w:t>
            </w:r>
            <w:r w:rsidRPr="005C090E">
              <w:rPr>
                <w:rFonts w:eastAsia="Times New Roman"/>
                <w:sz w:val="16"/>
                <w:szCs w:val="16"/>
                <w:lang w:eastAsia="en-GB"/>
              </w:rPr>
              <w:t>referrals:</w:t>
            </w:r>
          </w:p>
        </w:tc>
        <w:tc>
          <w:tcPr>
            <w:tcW w:w="1437" w:type="dxa"/>
            <w:tcBorders>
              <w:top w:val="single" w:sz="8" w:space="0" w:color="auto"/>
              <w:left w:val="single" w:sz="4" w:space="0" w:color="auto"/>
              <w:bottom w:val="single" w:sz="4" w:space="0" w:color="auto"/>
              <w:right w:val="nil"/>
            </w:tcBorders>
            <w:shd w:val="clear" w:color="auto" w:fill="auto"/>
            <w:noWrap/>
            <w:vAlign w:val="bottom"/>
            <w:hideMark/>
          </w:tcPr>
          <w:p w14:paraId="268D2AB3"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single" w:sz="8" w:space="0" w:color="auto"/>
              <w:left w:val="nil"/>
              <w:bottom w:val="single" w:sz="4" w:space="0" w:color="auto"/>
              <w:right w:val="nil"/>
            </w:tcBorders>
            <w:shd w:val="clear" w:color="auto" w:fill="auto"/>
            <w:noWrap/>
            <w:vAlign w:val="bottom"/>
            <w:hideMark/>
          </w:tcPr>
          <w:p w14:paraId="10ABE02F"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single" w:sz="8" w:space="0" w:color="auto"/>
              <w:left w:val="nil"/>
              <w:bottom w:val="single" w:sz="4" w:space="0" w:color="auto"/>
              <w:right w:val="nil"/>
            </w:tcBorders>
            <w:shd w:val="clear" w:color="auto" w:fill="auto"/>
            <w:noWrap/>
            <w:vAlign w:val="bottom"/>
            <w:hideMark/>
          </w:tcPr>
          <w:p w14:paraId="2CC425AB"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r>
      <w:tr w:rsidR="00CE566D" w:rsidRPr="005C090E" w14:paraId="1E523173" w14:textId="77777777" w:rsidTr="00FD7C19">
        <w:trPr>
          <w:trHeight w:val="214"/>
        </w:trPr>
        <w:tc>
          <w:tcPr>
            <w:tcW w:w="236" w:type="dxa"/>
            <w:tcBorders>
              <w:top w:val="nil"/>
              <w:left w:val="nil"/>
              <w:bottom w:val="nil"/>
              <w:right w:val="nil"/>
            </w:tcBorders>
            <w:shd w:val="clear" w:color="auto" w:fill="auto"/>
            <w:noWrap/>
            <w:vAlign w:val="bottom"/>
            <w:hideMark/>
          </w:tcPr>
          <w:p w14:paraId="3EB2EE32"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7168BF9D"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Total referrals</w:t>
            </w:r>
          </w:p>
        </w:tc>
        <w:tc>
          <w:tcPr>
            <w:tcW w:w="1437" w:type="dxa"/>
            <w:tcBorders>
              <w:top w:val="nil"/>
              <w:left w:val="single" w:sz="4" w:space="0" w:color="auto"/>
              <w:bottom w:val="nil"/>
              <w:right w:val="nil"/>
            </w:tcBorders>
            <w:shd w:val="clear" w:color="000000" w:fill="F2F2F2"/>
            <w:noWrap/>
            <w:vAlign w:val="bottom"/>
            <w:hideMark/>
          </w:tcPr>
          <w:p w14:paraId="5A8BE6D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364.75</w:t>
            </w:r>
          </w:p>
        </w:tc>
        <w:tc>
          <w:tcPr>
            <w:tcW w:w="1438" w:type="dxa"/>
            <w:tcBorders>
              <w:top w:val="nil"/>
              <w:left w:val="nil"/>
              <w:bottom w:val="nil"/>
              <w:right w:val="nil"/>
            </w:tcBorders>
            <w:shd w:val="clear" w:color="000000" w:fill="F2F2F2"/>
            <w:noWrap/>
            <w:vAlign w:val="bottom"/>
            <w:hideMark/>
          </w:tcPr>
          <w:p w14:paraId="44249DC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56.62</w:t>
            </w:r>
          </w:p>
        </w:tc>
        <w:tc>
          <w:tcPr>
            <w:tcW w:w="1438" w:type="dxa"/>
            <w:tcBorders>
              <w:top w:val="nil"/>
              <w:left w:val="nil"/>
              <w:bottom w:val="nil"/>
              <w:right w:val="nil"/>
            </w:tcBorders>
            <w:shd w:val="clear" w:color="000000" w:fill="F2F2F2"/>
            <w:noWrap/>
            <w:vAlign w:val="bottom"/>
            <w:hideMark/>
          </w:tcPr>
          <w:p w14:paraId="4BC6A26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0A897A52" w14:textId="77777777" w:rsidTr="00FD7C19">
        <w:trPr>
          <w:trHeight w:val="214"/>
        </w:trPr>
        <w:tc>
          <w:tcPr>
            <w:tcW w:w="236" w:type="dxa"/>
            <w:tcBorders>
              <w:top w:val="nil"/>
              <w:left w:val="nil"/>
              <w:bottom w:val="nil"/>
              <w:right w:val="nil"/>
            </w:tcBorders>
            <w:shd w:val="clear" w:color="auto" w:fill="auto"/>
            <w:noWrap/>
            <w:vAlign w:val="bottom"/>
            <w:hideMark/>
          </w:tcPr>
          <w:p w14:paraId="523FDA4C"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76A6876C"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First referrals</w:t>
            </w:r>
          </w:p>
        </w:tc>
        <w:tc>
          <w:tcPr>
            <w:tcW w:w="1437" w:type="dxa"/>
            <w:tcBorders>
              <w:top w:val="nil"/>
              <w:left w:val="single" w:sz="4" w:space="0" w:color="auto"/>
              <w:bottom w:val="nil"/>
              <w:right w:val="nil"/>
            </w:tcBorders>
            <w:shd w:val="clear" w:color="auto" w:fill="auto"/>
            <w:noWrap/>
            <w:vAlign w:val="bottom"/>
            <w:hideMark/>
          </w:tcPr>
          <w:p w14:paraId="6DA6371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95.84</w:t>
            </w:r>
          </w:p>
        </w:tc>
        <w:tc>
          <w:tcPr>
            <w:tcW w:w="1438" w:type="dxa"/>
            <w:tcBorders>
              <w:top w:val="nil"/>
              <w:left w:val="nil"/>
              <w:bottom w:val="nil"/>
              <w:right w:val="nil"/>
            </w:tcBorders>
            <w:shd w:val="clear" w:color="auto" w:fill="auto"/>
            <w:noWrap/>
            <w:vAlign w:val="bottom"/>
            <w:hideMark/>
          </w:tcPr>
          <w:p w14:paraId="1C9B525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18.52</w:t>
            </w:r>
          </w:p>
        </w:tc>
        <w:tc>
          <w:tcPr>
            <w:tcW w:w="1438" w:type="dxa"/>
            <w:tcBorders>
              <w:top w:val="nil"/>
              <w:left w:val="nil"/>
              <w:bottom w:val="nil"/>
              <w:right w:val="nil"/>
            </w:tcBorders>
            <w:shd w:val="clear" w:color="auto" w:fill="auto"/>
            <w:noWrap/>
            <w:vAlign w:val="bottom"/>
            <w:hideMark/>
          </w:tcPr>
          <w:p w14:paraId="0DB2418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122</w:t>
            </w:r>
          </w:p>
        </w:tc>
      </w:tr>
      <w:tr w:rsidR="00CE566D" w:rsidRPr="005C090E" w14:paraId="4E3859D8" w14:textId="77777777" w:rsidTr="00FD7C19">
        <w:trPr>
          <w:trHeight w:val="214"/>
        </w:trPr>
        <w:tc>
          <w:tcPr>
            <w:tcW w:w="236" w:type="dxa"/>
            <w:tcBorders>
              <w:top w:val="nil"/>
              <w:left w:val="nil"/>
              <w:bottom w:val="nil"/>
              <w:right w:val="nil"/>
            </w:tcBorders>
            <w:shd w:val="clear" w:color="auto" w:fill="auto"/>
            <w:noWrap/>
            <w:vAlign w:val="bottom"/>
            <w:hideMark/>
          </w:tcPr>
          <w:p w14:paraId="572642D3"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71DE8AD7"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Early Intervention in Psychosis</w:t>
            </w:r>
          </w:p>
        </w:tc>
        <w:tc>
          <w:tcPr>
            <w:tcW w:w="1437" w:type="dxa"/>
            <w:tcBorders>
              <w:top w:val="nil"/>
              <w:left w:val="single" w:sz="4" w:space="0" w:color="auto"/>
              <w:bottom w:val="nil"/>
              <w:right w:val="nil"/>
            </w:tcBorders>
            <w:shd w:val="clear" w:color="000000" w:fill="F2F2F2"/>
            <w:noWrap/>
            <w:vAlign w:val="bottom"/>
            <w:hideMark/>
          </w:tcPr>
          <w:p w14:paraId="0181536B"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8.92</w:t>
            </w:r>
          </w:p>
        </w:tc>
        <w:tc>
          <w:tcPr>
            <w:tcW w:w="1438" w:type="dxa"/>
            <w:tcBorders>
              <w:top w:val="nil"/>
              <w:left w:val="nil"/>
              <w:bottom w:val="nil"/>
              <w:right w:val="nil"/>
            </w:tcBorders>
            <w:shd w:val="clear" w:color="000000" w:fill="F2F2F2"/>
            <w:noWrap/>
            <w:vAlign w:val="bottom"/>
            <w:hideMark/>
          </w:tcPr>
          <w:p w14:paraId="5969E65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3.65</w:t>
            </w:r>
          </w:p>
        </w:tc>
        <w:tc>
          <w:tcPr>
            <w:tcW w:w="1438" w:type="dxa"/>
            <w:tcBorders>
              <w:top w:val="nil"/>
              <w:left w:val="nil"/>
              <w:bottom w:val="nil"/>
              <w:right w:val="nil"/>
            </w:tcBorders>
            <w:shd w:val="clear" w:color="000000" w:fill="F2F2F2"/>
            <w:noWrap/>
            <w:vAlign w:val="bottom"/>
            <w:hideMark/>
          </w:tcPr>
          <w:p w14:paraId="4EB699D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305196F1" w14:textId="77777777" w:rsidTr="00FD7C19">
        <w:trPr>
          <w:trHeight w:val="214"/>
        </w:trPr>
        <w:tc>
          <w:tcPr>
            <w:tcW w:w="236" w:type="dxa"/>
            <w:tcBorders>
              <w:top w:val="nil"/>
              <w:left w:val="nil"/>
              <w:bottom w:val="nil"/>
              <w:right w:val="nil"/>
            </w:tcBorders>
            <w:shd w:val="clear" w:color="auto" w:fill="auto"/>
            <w:noWrap/>
            <w:vAlign w:val="bottom"/>
            <w:hideMark/>
          </w:tcPr>
          <w:p w14:paraId="62DB88A9"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1B16A964"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Community Mental Health Teams</w:t>
            </w:r>
          </w:p>
        </w:tc>
        <w:tc>
          <w:tcPr>
            <w:tcW w:w="1437" w:type="dxa"/>
            <w:tcBorders>
              <w:top w:val="nil"/>
              <w:left w:val="single" w:sz="4" w:space="0" w:color="auto"/>
              <w:bottom w:val="nil"/>
              <w:right w:val="nil"/>
            </w:tcBorders>
            <w:shd w:val="clear" w:color="auto" w:fill="auto"/>
            <w:noWrap/>
            <w:vAlign w:val="bottom"/>
            <w:hideMark/>
          </w:tcPr>
          <w:p w14:paraId="4F6D2DA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49.38</w:t>
            </w:r>
          </w:p>
        </w:tc>
        <w:tc>
          <w:tcPr>
            <w:tcW w:w="1438" w:type="dxa"/>
            <w:tcBorders>
              <w:top w:val="nil"/>
              <w:left w:val="nil"/>
              <w:bottom w:val="nil"/>
              <w:right w:val="nil"/>
            </w:tcBorders>
            <w:shd w:val="clear" w:color="auto" w:fill="auto"/>
            <w:noWrap/>
            <w:vAlign w:val="bottom"/>
            <w:hideMark/>
          </w:tcPr>
          <w:p w14:paraId="2A7E4993"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18.21</w:t>
            </w:r>
          </w:p>
        </w:tc>
        <w:tc>
          <w:tcPr>
            <w:tcW w:w="1438" w:type="dxa"/>
            <w:tcBorders>
              <w:top w:val="nil"/>
              <w:left w:val="nil"/>
              <w:bottom w:val="nil"/>
              <w:right w:val="nil"/>
            </w:tcBorders>
            <w:shd w:val="clear" w:color="auto" w:fill="auto"/>
            <w:noWrap/>
            <w:vAlign w:val="bottom"/>
            <w:hideMark/>
          </w:tcPr>
          <w:p w14:paraId="49D94C5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1922FB1A" w14:textId="77777777" w:rsidTr="00FD7C19">
        <w:trPr>
          <w:trHeight w:val="214"/>
        </w:trPr>
        <w:tc>
          <w:tcPr>
            <w:tcW w:w="236" w:type="dxa"/>
            <w:tcBorders>
              <w:top w:val="nil"/>
              <w:left w:val="nil"/>
              <w:bottom w:val="nil"/>
              <w:right w:val="nil"/>
            </w:tcBorders>
            <w:shd w:val="clear" w:color="auto" w:fill="auto"/>
            <w:noWrap/>
            <w:vAlign w:val="bottom"/>
            <w:hideMark/>
          </w:tcPr>
          <w:p w14:paraId="45187B62"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574244A7"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Crisis Teams</w:t>
            </w:r>
          </w:p>
        </w:tc>
        <w:tc>
          <w:tcPr>
            <w:tcW w:w="1437" w:type="dxa"/>
            <w:tcBorders>
              <w:top w:val="nil"/>
              <w:left w:val="single" w:sz="4" w:space="0" w:color="auto"/>
              <w:bottom w:val="nil"/>
              <w:right w:val="nil"/>
            </w:tcBorders>
            <w:shd w:val="clear" w:color="000000" w:fill="F2F2F2"/>
            <w:noWrap/>
            <w:vAlign w:val="bottom"/>
            <w:hideMark/>
          </w:tcPr>
          <w:p w14:paraId="2450A3A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30.49</w:t>
            </w:r>
          </w:p>
        </w:tc>
        <w:tc>
          <w:tcPr>
            <w:tcW w:w="1438" w:type="dxa"/>
            <w:tcBorders>
              <w:top w:val="nil"/>
              <w:left w:val="nil"/>
              <w:bottom w:val="nil"/>
              <w:right w:val="nil"/>
            </w:tcBorders>
            <w:shd w:val="clear" w:color="000000" w:fill="F2F2F2"/>
            <w:noWrap/>
            <w:vAlign w:val="bottom"/>
            <w:hideMark/>
          </w:tcPr>
          <w:p w14:paraId="44A2B6C6"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7.96</w:t>
            </w:r>
          </w:p>
        </w:tc>
        <w:tc>
          <w:tcPr>
            <w:tcW w:w="1438" w:type="dxa"/>
            <w:tcBorders>
              <w:top w:val="nil"/>
              <w:left w:val="nil"/>
              <w:bottom w:val="nil"/>
              <w:right w:val="nil"/>
            </w:tcBorders>
            <w:shd w:val="clear" w:color="000000" w:fill="F2F2F2"/>
            <w:noWrap/>
            <w:vAlign w:val="bottom"/>
            <w:hideMark/>
          </w:tcPr>
          <w:p w14:paraId="314AAEDC"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42296043" w14:textId="77777777" w:rsidTr="00FD7C19">
        <w:trPr>
          <w:trHeight w:val="214"/>
        </w:trPr>
        <w:tc>
          <w:tcPr>
            <w:tcW w:w="236" w:type="dxa"/>
            <w:tcBorders>
              <w:top w:val="nil"/>
              <w:left w:val="nil"/>
              <w:bottom w:val="nil"/>
              <w:right w:val="nil"/>
            </w:tcBorders>
            <w:shd w:val="clear" w:color="auto" w:fill="auto"/>
            <w:noWrap/>
            <w:vAlign w:val="bottom"/>
            <w:hideMark/>
          </w:tcPr>
          <w:p w14:paraId="6E07CB5E"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3C11B475"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Psychiatric Liaison</w:t>
            </w:r>
          </w:p>
        </w:tc>
        <w:tc>
          <w:tcPr>
            <w:tcW w:w="1437" w:type="dxa"/>
            <w:tcBorders>
              <w:top w:val="nil"/>
              <w:left w:val="single" w:sz="4" w:space="0" w:color="auto"/>
              <w:bottom w:val="nil"/>
              <w:right w:val="nil"/>
            </w:tcBorders>
            <w:shd w:val="clear" w:color="auto" w:fill="auto"/>
            <w:noWrap/>
            <w:vAlign w:val="bottom"/>
            <w:hideMark/>
          </w:tcPr>
          <w:p w14:paraId="0E44C82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46.88</w:t>
            </w:r>
          </w:p>
        </w:tc>
        <w:tc>
          <w:tcPr>
            <w:tcW w:w="1438" w:type="dxa"/>
            <w:tcBorders>
              <w:top w:val="nil"/>
              <w:left w:val="nil"/>
              <w:bottom w:val="nil"/>
              <w:right w:val="nil"/>
            </w:tcBorders>
            <w:shd w:val="clear" w:color="auto" w:fill="auto"/>
            <w:noWrap/>
            <w:vAlign w:val="bottom"/>
            <w:hideMark/>
          </w:tcPr>
          <w:p w14:paraId="7FBEEC8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8.74</w:t>
            </w:r>
          </w:p>
        </w:tc>
        <w:tc>
          <w:tcPr>
            <w:tcW w:w="1438" w:type="dxa"/>
            <w:tcBorders>
              <w:top w:val="nil"/>
              <w:left w:val="nil"/>
              <w:bottom w:val="nil"/>
              <w:right w:val="nil"/>
            </w:tcBorders>
            <w:shd w:val="clear" w:color="auto" w:fill="auto"/>
            <w:noWrap/>
            <w:vAlign w:val="bottom"/>
            <w:hideMark/>
          </w:tcPr>
          <w:p w14:paraId="5A852D5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0F7C2CFE" w14:textId="77777777" w:rsidTr="00FD7C19">
        <w:trPr>
          <w:trHeight w:val="214"/>
        </w:trPr>
        <w:tc>
          <w:tcPr>
            <w:tcW w:w="236" w:type="dxa"/>
            <w:tcBorders>
              <w:top w:val="nil"/>
              <w:left w:val="nil"/>
              <w:bottom w:val="nil"/>
              <w:right w:val="nil"/>
            </w:tcBorders>
            <w:shd w:val="clear" w:color="auto" w:fill="auto"/>
            <w:noWrap/>
            <w:vAlign w:val="bottom"/>
            <w:hideMark/>
          </w:tcPr>
          <w:p w14:paraId="485EB545"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745CE41E"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days to contact after referral</w:t>
            </w:r>
          </w:p>
        </w:tc>
        <w:tc>
          <w:tcPr>
            <w:tcW w:w="1437" w:type="dxa"/>
            <w:tcBorders>
              <w:top w:val="nil"/>
              <w:left w:val="single" w:sz="4" w:space="0" w:color="auto"/>
              <w:bottom w:val="nil"/>
              <w:right w:val="nil"/>
            </w:tcBorders>
            <w:shd w:val="clear" w:color="auto" w:fill="auto"/>
            <w:noWrap/>
            <w:vAlign w:val="bottom"/>
            <w:hideMark/>
          </w:tcPr>
          <w:p w14:paraId="2AA83AC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262.38</w:t>
            </w:r>
          </w:p>
        </w:tc>
        <w:tc>
          <w:tcPr>
            <w:tcW w:w="1438" w:type="dxa"/>
            <w:tcBorders>
              <w:top w:val="nil"/>
              <w:left w:val="nil"/>
              <w:bottom w:val="nil"/>
              <w:right w:val="nil"/>
            </w:tcBorders>
            <w:shd w:val="clear" w:color="auto" w:fill="auto"/>
            <w:noWrap/>
            <w:vAlign w:val="bottom"/>
            <w:hideMark/>
          </w:tcPr>
          <w:p w14:paraId="12E2A84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116.27</w:t>
            </w:r>
          </w:p>
        </w:tc>
        <w:tc>
          <w:tcPr>
            <w:tcW w:w="1438" w:type="dxa"/>
            <w:tcBorders>
              <w:top w:val="nil"/>
              <w:left w:val="nil"/>
              <w:bottom w:val="nil"/>
              <w:right w:val="nil"/>
            </w:tcBorders>
            <w:shd w:val="clear" w:color="auto" w:fill="auto"/>
            <w:noWrap/>
            <w:vAlign w:val="bottom"/>
            <w:hideMark/>
          </w:tcPr>
          <w:p w14:paraId="1C5F4F9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4DF38D75" w14:textId="77777777" w:rsidTr="00FD7C19">
        <w:trPr>
          <w:trHeight w:val="214"/>
        </w:trPr>
        <w:tc>
          <w:tcPr>
            <w:tcW w:w="236" w:type="dxa"/>
            <w:tcBorders>
              <w:top w:val="nil"/>
              <w:left w:val="nil"/>
              <w:bottom w:val="nil"/>
              <w:right w:val="nil"/>
            </w:tcBorders>
            <w:shd w:val="clear" w:color="auto" w:fill="auto"/>
            <w:noWrap/>
            <w:vAlign w:val="bottom"/>
            <w:hideMark/>
          </w:tcPr>
          <w:p w14:paraId="29D6D268"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3152BA39"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 referrals with contact within 30 days</w:t>
            </w:r>
          </w:p>
        </w:tc>
        <w:tc>
          <w:tcPr>
            <w:tcW w:w="1437" w:type="dxa"/>
            <w:tcBorders>
              <w:top w:val="nil"/>
              <w:left w:val="single" w:sz="4" w:space="0" w:color="auto"/>
              <w:bottom w:val="nil"/>
              <w:right w:val="nil"/>
            </w:tcBorders>
            <w:shd w:val="clear" w:color="000000" w:fill="F2F2F2"/>
            <w:noWrap/>
            <w:vAlign w:val="bottom"/>
            <w:hideMark/>
          </w:tcPr>
          <w:p w14:paraId="4DBED966"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0.49</w:t>
            </w:r>
          </w:p>
        </w:tc>
        <w:tc>
          <w:tcPr>
            <w:tcW w:w="1438" w:type="dxa"/>
            <w:tcBorders>
              <w:top w:val="nil"/>
              <w:left w:val="nil"/>
              <w:bottom w:val="nil"/>
              <w:right w:val="nil"/>
            </w:tcBorders>
            <w:shd w:val="clear" w:color="000000" w:fill="F2F2F2"/>
            <w:noWrap/>
            <w:vAlign w:val="bottom"/>
            <w:hideMark/>
          </w:tcPr>
          <w:p w14:paraId="2DA6FCD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0.05</w:t>
            </w:r>
          </w:p>
        </w:tc>
        <w:tc>
          <w:tcPr>
            <w:tcW w:w="1438" w:type="dxa"/>
            <w:tcBorders>
              <w:top w:val="nil"/>
              <w:left w:val="nil"/>
              <w:bottom w:val="nil"/>
              <w:right w:val="nil"/>
            </w:tcBorders>
            <w:shd w:val="clear" w:color="000000" w:fill="F2F2F2"/>
            <w:noWrap/>
            <w:vAlign w:val="bottom"/>
            <w:hideMark/>
          </w:tcPr>
          <w:p w14:paraId="7A3E9553"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1F4D9A7D" w14:textId="77777777" w:rsidTr="00FD7C19">
        <w:trPr>
          <w:trHeight w:val="214"/>
        </w:trPr>
        <w:tc>
          <w:tcPr>
            <w:tcW w:w="4398" w:type="dxa"/>
            <w:gridSpan w:val="2"/>
            <w:tcBorders>
              <w:top w:val="nil"/>
              <w:left w:val="nil"/>
              <w:bottom w:val="single" w:sz="4" w:space="0" w:color="auto"/>
              <w:right w:val="nil"/>
            </w:tcBorders>
            <w:shd w:val="clear" w:color="auto" w:fill="auto"/>
            <w:noWrap/>
            <w:vAlign w:val="bottom"/>
            <w:hideMark/>
          </w:tcPr>
          <w:p w14:paraId="1386A889" w14:textId="10B2F69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xml:space="preserve">Outpatient </w:t>
            </w:r>
            <w:r w:rsidR="00FD7C19">
              <w:rPr>
                <w:rFonts w:eastAsia="Times New Roman"/>
                <w:sz w:val="16"/>
                <w:szCs w:val="16"/>
                <w:lang w:eastAsia="en-GB"/>
              </w:rPr>
              <w:t xml:space="preserve">and community </w:t>
            </w:r>
            <w:r w:rsidRPr="005C090E">
              <w:rPr>
                <w:rFonts w:eastAsia="Times New Roman"/>
                <w:sz w:val="16"/>
                <w:szCs w:val="16"/>
                <w:lang w:eastAsia="en-GB"/>
              </w:rPr>
              <w:t>contacts:</w:t>
            </w:r>
          </w:p>
        </w:tc>
        <w:tc>
          <w:tcPr>
            <w:tcW w:w="1437" w:type="dxa"/>
            <w:tcBorders>
              <w:top w:val="nil"/>
              <w:left w:val="single" w:sz="4" w:space="0" w:color="auto"/>
              <w:bottom w:val="single" w:sz="4" w:space="0" w:color="auto"/>
              <w:right w:val="nil"/>
            </w:tcBorders>
            <w:shd w:val="clear" w:color="auto" w:fill="auto"/>
            <w:noWrap/>
            <w:vAlign w:val="bottom"/>
            <w:hideMark/>
          </w:tcPr>
          <w:p w14:paraId="2FFC39E1"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7A4549B9"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4F2A2801"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r>
      <w:tr w:rsidR="00CE566D" w:rsidRPr="005C090E" w14:paraId="3F270B37" w14:textId="77777777" w:rsidTr="00FD7C19">
        <w:trPr>
          <w:trHeight w:val="214"/>
        </w:trPr>
        <w:tc>
          <w:tcPr>
            <w:tcW w:w="236" w:type="dxa"/>
            <w:tcBorders>
              <w:top w:val="nil"/>
              <w:left w:val="nil"/>
              <w:bottom w:val="nil"/>
              <w:right w:val="nil"/>
            </w:tcBorders>
            <w:shd w:val="clear" w:color="auto" w:fill="auto"/>
            <w:noWrap/>
            <w:vAlign w:val="bottom"/>
            <w:hideMark/>
          </w:tcPr>
          <w:p w14:paraId="7F2C6501"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652BCF06"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Total contacts</w:t>
            </w:r>
          </w:p>
        </w:tc>
        <w:tc>
          <w:tcPr>
            <w:tcW w:w="1437" w:type="dxa"/>
            <w:tcBorders>
              <w:top w:val="nil"/>
              <w:left w:val="single" w:sz="4" w:space="0" w:color="auto"/>
              <w:bottom w:val="nil"/>
              <w:right w:val="nil"/>
            </w:tcBorders>
            <w:shd w:val="clear" w:color="000000" w:fill="F2F2F2"/>
            <w:noWrap/>
            <w:vAlign w:val="bottom"/>
            <w:hideMark/>
          </w:tcPr>
          <w:p w14:paraId="5CB1F62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2089.18</w:t>
            </w:r>
          </w:p>
        </w:tc>
        <w:tc>
          <w:tcPr>
            <w:tcW w:w="1438" w:type="dxa"/>
            <w:tcBorders>
              <w:top w:val="nil"/>
              <w:left w:val="nil"/>
              <w:bottom w:val="nil"/>
              <w:right w:val="nil"/>
            </w:tcBorders>
            <w:shd w:val="clear" w:color="000000" w:fill="F2F2F2"/>
            <w:noWrap/>
            <w:vAlign w:val="bottom"/>
            <w:hideMark/>
          </w:tcPr>
          <w:p w14:paraId="323D930F"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319.80</w:t>
            </w:r>
          </w:p>
        </w:tc>
        <w:tc>
          <w:tcPr>
            <w:tcW w:w="1438" w:type="dxa"/>
            <w:tcBorders>
              <w:top w:val="nil"/>
              <w:left w:val="nil"/>
              <w:bottom w:val="nil"/>
              <w:right w:val="nil"/>
            </w:tcBorders>
            <w:shd w:val="clear" w:color="000000" w:fill="F2F2F2"/>
            <w:noWrap/>
            <w:vAlign w:val="bottom"/>
            <w:hideMark/>
          </w:tcPr>
          <w:p w14:paraId="7F3F6C34"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5E2007E5" w14:textId="77777777" w:rsidTr="00FD7C19">
        <w:trPr>
          <w:trHeight w:val="214"/>
        </w:trPr>
        <w:tc>
          <w:tcPr>
            <w:tcW w:w="236" w:type="dxa"/>
            <w:tcBorders>
              <w:top w:val="nil"/>
              <w:left w:val="nil"/>
              <w:bottom w:val="nil"/>
              <w:right w:val="nil"/>
            </w:tcBorders>
            <w:shd w:val="clear" w:color="auto" w:fill="auto"/>
            <w:noWrap/>
            <w:vAlign w:val="bottom"/>
            <w:hideMark/>
          </w:tcPr>
          <w:p w14:paraId="57E60E6D"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2FC45672"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First contacts</w:t>
            </w:r>
          </w:p>
        </w:tc>
        <w:tc>
          <w:tcPr>
            <w:tcW w:w="1437" w:type="dxa"/>
            <w:tcBorders>
              <w:top w:val="nil"/>
              <w:left w:val="single" w:sz="4" w:space="0" w:color="auto"/>
              <w:bottom w:val="nil"/>
              <w:right w:val="nil"/>
            </w:tcBorders>
            <w:shd w:val="clear" w:color="auto" w:fill="auto"/>
            <w:noWrap/>
            <w:vAlign w:val="bottom"/>
            <w:hideMark/>
          </w:tcPr>
          <w:p w14:paraId="1A352E0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104.46</w:t>
            </w:r>
          </w:p>
        </w:tc>
        <w:tc>
          <w:tcPr>
            <w:tcW w:w="1438" w:type="dxa"/>
            <w:tcBorders>
              <w:top w:val="nil"/>
              <w:left w:val="nil"/>
              <w:bottom w:val="nil"/>
              <w:right w:val="nil"/>
            </w:tcBorders>
            <w:shd w:val="clear" w:color="auto" w:fill="auto"/>
            <w:noWrap/>
            <w:vAlign w:val="bottom"/>
            <w:hideMark/>
          </w:tcPr>
          <w:p w14:paraId="0532A6FF"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16.86</w:t>
            </w:r>
          </w:p>
        </w:tc>
        <w:tc>
          <w:tcPr>
            <w:tcW w:w="1438" w:type="dxa"/>
            <w:tcBorders>
              <w:top w:val="nil"/>
              <w:left w:val="nil"/>
              <w:bottom w:val="nil"/>
              <w:right w:val="nil"/>
            </w:tcBorders>
            <w:shd w:val="clear" w:color="auto" w:fill="auto"/>
            <w:noWrap/>
            <w:vAlign w:val="bottom"/>
            <w:hideMark/>
          </w:tcPr>
          <w:p w14:paraId="033D34D2"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122</w:t>
            </w:r>
          </w:p>
        </w:tc>
      </w:tr>
      <w:tr w:rsidR="00CE566D" w:rsidRPr="005C090E" w14:paraId="41F74873" w14:textId="77777777" w:rsidTr="00FD7C19">
        <w:trPr>
          <w:trHeight w:val="214"/>
        </w:trPr>
        <w:tc>
          <w:tcPr>
            <w:tcW w:w="236" w:type="dxa"/>
            <w:tcBorders>
              <w:top w:val="nil"/>
              <w:left w:val="nil"/>
              <w:bottom w:val="nil"/>
              <w:right w:val="nil"/>
            </w:tcBorders>
            <w:shd w:val="clear" w:color="auto" w:fill="auto"/>
            <w:noWrap/>
            <w:vAlign w:val="bottom"/>
            <w:hideMark/>
          </w:tcPr>
          <w:p w14:paraId="0DDBD176"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44FF4A3F"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Face-to-face contacts</w:t>
            </w:r>
          </w:p>
        </w:tc>
        <w:tc>
          <w:tcPr>
            <w:tcW w:w="1437" w:type="dxa"/>
            <w:tcBorders>
              <w:top w:val="nil"/>
              <w:left w:val="single" w:sz="4" w:space="0" w:color="auto"/>
              <w:bottom w:val="nil"/>
              <w:right w:val="nil"/>
            </w:tcBorders>
            <w:shd w:val="clear" w:color="000000" w:fill="F2F2F2"/>
            <w:noWrap/>
            <w:vAlign w:val="bottom"/>
            <w:hideMark/>
          </w:tcPr>
          <w:p w14:paraId="10D03D7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1633.70</w:t>
            </w:r>
          </w:p>
        </w:tc>
        <w:tc>
          <w:tcPr>
            <w:tcW w:w="1438" w:type="dxa"/>
            <w:tcBorders>
              <w:top w:val="nil"/>
              <w:left w:val="nil"/>
              <w:bottom w:val="nil"/>
              <w:right w:val="nil"/>
            </w:tcBorders>
            <w:shd w:val="clear" w:color="000000" w:fill="F2F2F2"/>
            <w:noWrap/>
            <w:vAlign w:val="bottom"/>
            <w:hideMark/>
          </w:tcPr>
          <w:p w14:paraId="1FD1B06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377.72</w:t>
            </w:r>
          </w:p>
        </w:tc>
        <w:tc>
          <w:tcPr>
            <w:tcW w:w="1438" w:type="dxa"/>
            <w:tcBorders>
              <w:top w:val="nil"/>
              <w:left w:val="nil"/>
              <w:bottom w:val="nil"/>
              <w:right w:val="nil"/>
            </w:tcBorders>
            <w:shd w:val="clear" w:color="000000" w:fill="F2F2F2"/>
            <w:noWrap/>
            <w:vAlign w:val="bottom"/>
            <w:hideMark/>
          </w:tcPr>
          <w:p w14:paraId="4A693A8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1E00F5AA" w14:textId="77777777" w:rsidTr="00FD7C19">
        <w:trPr>
          <w:trHeight w:val="214"/>
        </w:trPr>
        <w:tc>
          <w:tcPr>
            <w:tcW w:w="236" w:type="dxa"/>
            <w:tcBorders>
              <w:top w:val="nil"/>
              <w:left w:val="nil"/>
              <w:bottom w:val="nil"/>
              <w:right w:val="nil"/>
            </w:tcBorders>
            <w:shd w:val="clear" w:color="auto" w:fill="auto"/>
            <w:noWrap/>
            <w:vAlign w:val="bottom"/>
            <w:hideMark/>
          </w:tcPr>
          <w:p w14:paraId="46A343D6"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006E3D57"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Remote contacts</w:t>
            </w:r>
          </w:p>
        </w:tc>
        <w:tc>
          <w:tcPr>
            <w:tcW w:w="1437" w:type="dxa"/>
            <w:tcBorders>
              <w:top w:val="nil"/>
              <w:left w:val="single" w:sz="4" w:space="0" w:color="auto"/>
              <w:bottom w:val="nil"/>
              <w:right w:val="nil"/>
            </w:tcBorders>
            <w:shd w:val="clear" w:color="auto" w:fill="auto"/>
            <w:noWrap/>
            <w:vAlign w:val="bottom"/>
            <w:hideMark/>
          </w:tcPr>
          <w:p w14:paraId="2033E8DB"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446.89</w:t>
            </w:r>
          </w:p>
        </w:tc>
        <w:tc>
          <w:tcPr>
            <w:tcW w:w="1438" w:type="dxa"/>
            <w:tcBorders>
              <w:top w:val="nil"/>
              <w:left w:val="nil"/>
              <w:bottom w:val="nil"/>
              <w:right w:val="nil"/>
            </w:tcBorders>
            <w:shd w:val="clear" w:color="auto" w:fill="auto"/>
            <w:noWrap/>
            <w:vAlign w:val="bottom"/>
            <w:hideMark/>
          </w:tcPr>
          <w:p w14:paraId="0278E08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480.06</w:t>
            </w:r>
          </w:p>
        </w:tc>
        <w:tc>
          <w:tcPr>
            <w:tcW w:w="1438" w:type="dxa"/>
            <w:tcBorders>
              <w:top w:val="nil"/>
              <w:left w:val="nil"/>
              <w:bottom w:val="nil"/>
              <w:right w:val="nil"/>
            </w:tcBorders>
            <w:shd w:val="clear" w:color="auto" w:fill="auto"/>
            <w:noWrap/>
            <w:vAlign w:val="bottom"/>
            <w:hideMark/>
          </w:tcPr>
          <w:p w14:paraId="724A0DD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3F3EFFB0" w14:textId="77777777" w:rsidTr="00FD7C19">
        <w:trPr>
          <w:trHeight w:val="214"/>
        </w:trPr>
        <w:tc>
          <w:tcPr>
            <w:tcW w:w="236" w:type="dxa"/>
            <w:tcBorders>
              <w:top w:val="nil"/>
              <w:left w:val="nil"/>
              <w:bottom w:val="nil"/>
              <w:right w:val="nil"/>
            </w:tcBorders>
            <w:shd w:val="clear" w:color="auto" w:fill="auto"/>
            <w:noWrap/>
            <w:vAlign w:val="bottom"/>
            <w:hideMark/>
          </w:tcPr>
          <w:p w14:paraId="25DD4EC1"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36230D58"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Early Intervention in Psychosis</w:t>
            </w:r>
          </w:p>
        </w:tc>
        <w:tc>
          <w:tcPr>
            <w:tcW w:w="1437" w:type="dxa"/>
            <w:tcBorders>
              <w:top w:val="nil"/>
              <w:left w:val="single" w:sz="4" w:space="0" w:color="auto"/>
              <w:bottom w:val="nil"/>
              <w:right w:val="nil"/>
            </w:tcBorders>
            <w:shd w:val="clear" w:color="000000" w:fill="F2F2F2"/>
            <w:noWrap/>
            <w:vAlign w:val="bottom"/>
            <w:hideMark/>
          </w:tcPr>
          <w:p w14:paraId="79C3AA8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148.23</w:t>
            </w:r>
          </w:p>
        </w:tc>
        <w:tc>
          <w:tcPr>
            <w:tcW w:w="1438" w:type="dxa"/>
            <w:tcBorders>
              <w:top w:val="nil"/>
              <w:left w:val="nil"/>
              <w:bottom w:val="nil"/>
              <w:right w:val="nil"/>
            </w:tcBorders>
            <w:shd w:val="clear" w:color="000000" w:fill="F2F2F2"/>
            <w:noWrap/>
            <w:vAlign w:val="bottom"/>
            <w:hideMark/>
          </w:tcPr>
          <w:p w14:paraId="6271FAC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38.72</w:t>
            </w:r>
          </w:p>
        </w:tc>
        <w:tc>
          <w:tcPr>
            <w:tcW w:w="1438" w:type="dxa"/>
            <w:tcBorders>
              <w:top w:val="nil"/>
              <w:left w:val="nil"/>
              <w:bottom w:val="nil"/>
              <w:right w:val="nil"/>
            </w:tcBorders>
            <w:shd w:val="clear" w:color="000000" w:fill="F2F2F2"/>
            <w:noWrap/>
            <w:vAlign w:val="bottom"/>
            <w:hideMark/>
          </w:tcPr>
          <w:p w14:paraId="49AE4FF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2374EB91" w14:textId="77777777" w:rsidTr="00FD7C19">
        <w:trPr>
          <w:trHeight w:val="214"/>
        </w:trPr>
        <w:tc>
          <w:tcPr>
            <w:tcW w:w="236" w:type="dxa"/>
            <w:tcBorders>
              <w:top w:val="nil"/>
              <w:left w:val="nil"/>
              <w:bottom w:val="nil"/>
              <w:right w:val="nil"/>
            </w:tcBorders>
            <w:shd w:val="clear" w:color="auto" w:fill="auto"/>
            <w:noWrap/>
            <w:vAlign w:val="bottom"/>
            <w:hideMark/>
          </w:tcPr>
          <w:p w14:paraId="6EE3E2EB"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3785455C"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Community Mental Health Teams</w:t>
            </w:r>
          </w:p>
        </w:tc>
        <w:tc>
          <w:tcPr>
            <w:tcW w:w="1437" w:type="dxa"/>
            <w:tcBorders>
              <w:top w:val="nil"/>
              <w:left w:val="single" w:sz="4" w:space="0" w:color="auto"/>
              <w:bottom w:val="nil"/>
              <w:right w:val="nil"/>
            </w:tcBorders>
            <w:shd w:val="clear" w:color="auto" w:fill="auto"/>
            <w:noWrap/>
            <w:vAlign w:val="bottom"/>
            <w:hideMark/>
          </w:tcPr>
          <w:p w14:paraId="0EC2BB2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677.07</w:t>
            </w:r>
          </w:p>
        </w:tc>
        <w:tc>
          <w:tcPr>
            <w:tcW w:w="1438" w:type="dxa"/>
            <w:tcBorders>
              <w:top w:val="nil"/>
              <w:left w:val="nil"/>
              <w:bottom w:val="nil"/>
              <w:right w:val="nil"/>
            </w:tcBorders>
            <w:shd w:val="clear" w:color="auto" w:fill="auto"/>
            <w:noWrap/>
            <w:vAlign w:val="bottom"/>
            <w:hideMark/>
          </w:tcPr>
          <w:p w14:paraId="5F92B41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109.81</w:t>
            </w:r>
          </w:p>
        </w:tc>
        <w:tc>
          <w:tcPr>
            <w:tcW w:w="1438" w:type="dxa"/>
            <w:tcBorders>
              <w:top w:val="nil"/>
              <w:left w:val="nil"/>
              <w:bottom w:val="nil"/>
              <w:right w:val="nil"/>
            </w:tcBorders>
            <w:shd w:val="clear" w:color="auto" w:fill="auto"/>
            <w:noWrap/>
            <w:vAlign w:val="bottom"/>
            <w:hideMark/>
          </w:tcPr>
          <w:p w14:paraId="1A149A6C"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3D569D34" w14:textId="77777777" w:rsidTr="00FD7C19">
        <w:trPr>
          <w:trHeight w:val="214"/>
        </w:trPr>
        <w:tc>
          <w:tcPr>
            <w:tcW w:w="236" w:type="dxa"/>
            <w:tcBorders>
              <w:top w:val="nil"/>
              <w:left w:val="nil"/>
              <w:bottom w:val="nil"/>
              <w:right w:val="nil"/>
            </w:tcBorders>
            <w:shd w:val="clear" w:color="auto" w:fill="auto"/>
            <w:noWrap/>
            <w:vAlign w:val="bottom"/>
            <w:hideMark/>
          </w:tcPr>
          <w:p w14:paraId="577DD458"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1148166D"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Crisis Teams</w:t>
            </w:r>
          </w:p>
        </w:tc>
        <w:tc>
          <w:tcPr>
            <w:tcW w:w="1437" w:type="dxa"/>
            <w:tcBorders>
              <w:top w:val="nil"/>
              <w:left w:val="single" w:sz="4" w:space="0" w:color="auto"/>
              <w:bottom w:val="nil"/>
              <w:right w:val="nil"/>
            </w:tcBorders>
            <w:shd w:val="clear" w:color="000000" w:fill="F2F2F2"/>
            <w:noWrap/>
            <w:vAlign w:val="bottom"/>
            <w:hideMark/>
          </w:tcPr>
          <w:p w14:paraId="1591210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38.31</w:t>
            </w:r>
          </w:p>
        </w:tc>
        <w:tc>
          <w:tcPr>
            <w:tcW w:w="1438" w:type="dxa"/>
            <w:tcBorders>
              <w:top w:val="nil"/>
              <w:left w:val="nil"/>
              <w:bottom w:val="nil"/>
              <w:right w:val="nil"/>
            </w:tcBorders>
            <w:shd w:val="clear" w:color="000000" w:fill="F2F2F2"/>
            <w:noWrap/>
            <w:vAlign w:val="bottom"/>
            <w:hideMark/>
          </w:tcPr>
          <w:p w14:paraId="7BABC8D3"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10.12</w:t>
            </w:r>
          </w:p>
        </w:tc>
        <w:tc>
          <w:tcPr>
            <w:tcW w:w="1438" w:type="dxa"/>
            <w:tcBorders>
              <w:top w:val="nil"/>
              <w:left w:val="nil"/>
              <w:bottom w:val="nil"/>
              <w:right w:val="nil"/>
            </w:tcBorders>
            <w:shd w:val="clear" w:color="000000" w:fill="F2F2F2"/>
            <w:noWrap/>
            <w:vAlign w:val="bottom"/>
            <w:hideMark/>
          </w:tcPr>
          <w:p w14:paraId="08443FF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1B5A2DC1" w14:textId="77777777" w:rsidTr="00FD7C19">
        <w:trPr>
          <w:trHeight w:val="214"/>
        </w:trPr>
        <w:tc>
          <w:tcPr>
            <w:tcW w:w="236" w:type="dxa"/>
            <w:tcBorders>
              <w:top w:val="nil"/>
              <w:left w:val="nil"/>
              <w:bottom w:val="nil"/>
              <w:right w:val="nil"/>
            </w:tcBorders>
            <w:shd w:val="clear" w:color="auto" w:fill="auto"/>
            <w:noWrap/>
            <w:vAlign w:val="bottom"/>
            <w:hideMark/>
          </w:tcPr>
          <w:p w14:paraId="3ED9AFC1"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40384D1D"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Psychiatric Liaison</w:t>
            </w:r>
          </w:p>
        </w:tc>
        <w:tc>
          <w:tcPr>
            <w:tcW w:w="1437" w:type="dxa"/>
            <w:tcBorders>
              <w:top w:val="nil"/>
              <w:left w:val="single" w:sz="4" w:space="0" w:color="auto"/>
              <w:bottom w:val="nil"/>
              <w:right w:val="nil"/>
            </w:tcBorders>
            <w:shd w:val="clear" w:color="auto" w:fill="auto"/>
            <w:noWrap/>
            <w:vAlign w:val="bottom"/>
            <w:hideMark/>
          </w:tcPr>
          <w:p w14:paraId="4AF32EBF"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57.70</w:t>
            </w:r>
          </w:p>
        </w:tc>
        <w:tc>
          <w:tcPr>
            <w:tcW w:w="1438" w:type="dxa"/>
            <w:tcBorders>
              <w:top w:val="nil"/>
              <w:left w:val="nil"/>
              <w:bottom w:val="nil"/>
              <w:right w:val="nil"/>
            </w:tcBorders>
            <w:shd w:val="clear" w:color="auto" w:fill="auto"/>
            <w:noWrap/>
            <w:vAlign w:val="bottom"/>
            <w:hideMark/>
          </w:tcPr>
          <w:p w14:paraId="6E552DB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11.28</w:t>
            </w:r>
          </w:p>
        </w:tc>
        <w:tc>
          <w:tcPr>
            <w:tcW w:w="1438" w:type="dxa"/>
            <w:tcBorders>
              <w:top w:val="nil"/>
              <w:left w:val="nil"/>
              <w:bottom w:val="nil"/>
              <w:right w:val="nil"/>
            </w:tcBorders>
            <w:shd w:val="clear" w:color="auto" w:fill="auto"/>
            <w:noWrap/>
            <w:vAlign w:val="bottom"/>
            <w:hideMark/>
          </w:tcPr>
          <w:p w14:paraId="54C81854"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39596068" w14:textId="77777777" w:rsidTr="00FD7C19">
        <w:trPr>
          <w:trHeight w:val="214"/>
        </w:trPr>
        <w:tc>
          <w:tcPr>
            <w:tcW w:w="4398" w:type="dxa"/>
            <w:gridSpan w:val="2"/>
            <w:tcBorders>
              <w:top w:val="nil"/>
              <w:left w:val="nil"/>
              <w:bottom w:val="single" w:sz="4" w:space="0" w:color="auto"/>
              <w:right w:val="nil"/>
            </w:tcBorders>
            <w:shd w:val="clear" w:color="auto" w:fill="auto"/>
            <w:noWrap/>
            <w:vAlign w:val="bottom"/>
            <w:hideMark/>
          </w:tcPr>
          <w:p w14:paraId="6D99F36B"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Inpatient admissions:</w:t>
            </w:r>
          </w:p>
        </w:tc>
        <w:tc>
          <w:tcPr>
            <w:tcW w:w="1437" w:type="dxa"/>
            <w:tcBorders>
              <w:top w:val="nil"/>
              <w:left w:val="single" w:sz="4" w:space="0" w:color="auto"/>
              <w:bottom w:val="single" w:sz="4" w:space="0" w:color="auto"/>
              <w:right w:val="nil"/>
            </w:tcBorders>
            <w:shd w:val="clear" w:color="auto" w:fill="auto"/>
            <w:noWrap/>
            <w:vAlign w:val="bottom"/>
            <w:hideMark/>
          </w:tcPr>
          <w:p w14:paraId="461C3373"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42EEAC0D"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594B506E"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r>
      <w:tr w:rsidR="00CE566D" w:rsidRPr="005C090E" w14:paraId="09EF7E26" w14:textId="77777777" w:rsidTr="00FD7C19">
        <w:trPr>
          <w:trHeight w:val="214"/>
        </w:trPr>
        <w:tc>
          <w:tcPr>
            <w:tcW w:w="236" w:type="dxa"/>
            <w:tcBorders>
              <w:top w:val="nil"/>
              <w:left w:val="nil"/>
              <w:bottom w:val="nil"/>
              <w:right w:val="nil"/>
            </w:tcBorders>
            <w:shd w:val="clear" w:color="auto" w:fill="auto"/>
            <w:noWrap/>
            <w:vAlign w:val="bottom"/>
            <w:hideMark/>
          </w:tcPr>
          <w:p w14:paraId="34D44475"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4E530BB4"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Total admissions</w:t>
            </w:r>
          </w:p>
        </w:tc>
        <w:tc>
          <w:tcPr>
            <w:tcW w:w="1437" w:type="dxa"/>
            <w:tcBorders>
              <w:top w:val="nil"/>
              <w:left w:val="single" w:sz="4" w:space="0" w:color="auto"/>
              <w:bottom w:val="nil"/>
              <w:right w:val="nil"/>
            </w:tcBorders>
            <w:shd w:val="clear" w:color="000000" w:fill="F2F2F2"/>
            <w:noWrap/>
            <w:vAlign w:val="bottom"/>
            <w:hideMark/>
          </w:tcPr>
          <w:p w14:paraId="62F4D20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15.17</w:t>
            </w:r>
          </w:p>
        </w:tc>
        <w:tc>
          <w:tcPr>
            <w:tcW w:w="1438" w:type="dxa"/>
            <w:tcBorders>
              <w:top w:val="nil"/>
              <w:left w:val="nil"/>
              <w:bottom w:val="nil"/>
              <w:right w:val="nil"/>
            </w:tcBorders>
            <w:shd w:val="clear" w:color="000000" w:fill="F2F2F2"/>
            <w:noWrap/>
            <w:vAlign w:val="bottom"/>
            <w:hideMark/>
          </w:tcPr>
          <w:p w14:paraId="6529537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3.99</w:t>
            </w:r>
          </w:p>
        </w:tc>
        <w:tc>
          <w:tcPr>
            <w:tcW w:w="1438" w:type="dxa"/>
            <w:tcBorders>
              <w:top w:val="nil"/>
              <w:left w:val="nil"/>
              <w:bottom w:val="nil"/>
              <w:right w:val="nil"/>
            </w:tcBorders>
            <w:shd w:val="clear" w:color="000000" w:fill="F2F2F2"/>
            <w:noWrap/>
            <w:vAlign w:val="bottom"/>
            <w:hideMark/>
          </w:tcPr>
          <w:p w14:paraId="7D74EE86"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111DA0B6" w14:textId="77777777" w:rsidTr="00FD7C19">
        <w:trPr>
          <w:trHeight w:val="214"/>
        </w:trPr>
        <w:tc>
          <w:tcPr>
            <w:tcW w:w="236" w:type="dxa"/>
            <w:tcBorders>
              <w:top w:val="nil"/>
              <w:left w:val="nil"/>
              <w:bottom w:val="nil"/>
              <w:right w:val="nil"/>
            </w:tcBorders>
            <w:shd w:val="clear" w:color="auto" w:fill="auto"/>
            <w:noWrap/>
            <w:vAlign w:val="bottom"/>
            <w:hideMark/>
          </w:tcPr>
          <w:p w14:paraId="43C727D5"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4A5000C7"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First admissions</w:t>
            </w:r>
          </w:p>
        </w:tc>
        <w:tc>
          <w:tcPr>
            <w:tcW w:w="1437" w:type="dxa"/>
            <w:tcBorders>
              <w:top w:val="nil"/>
              <w:left w:val="single" w:sz="4" w:space="0" w:color="auto"/>
              <w:bottom w:val="nil"/>
              <w:right w:val="nil"/>
            </w:tcBorders>
            <w:shd w:val="clear" w:color="auto" w:fill="auto"/>
            <w:noWrap/>
            <w:vAlign w:val="bottom"/>
            <w:hideMark/>
          </w:tcPr>
          <w:p w14:paraId="7A3AA96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9.07</w:t>
            </w:r>
          </w:p>
        </w:tc>
        <w:tc>
          <w:tcPr>
            <w:tcW w:w="1438" w:type="dxa"/>
            <w:tcBorders>
              <w:top w:val="nil"/>
              <w:left w:val="nil"/>
              <w:bottom w:val="nil"/>
              <w:right w:val="nil"/>
            </w:tcBorders>
            <w:shd w:val="clear" w:color="auto" w:fill="auto"/>
            <w:noWrap/>
            <w:vAlign w:val="bottom"/>
            <w:hideMark/>
          </w:tcPr>
          <w:p w14:paraId="3782EAA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3.11</w:t>
            </w:r>
          </w:p>
        </w:tc>
        <w:tc>
          <w:tcPr>
            <w:tcW w:w="1438" w:type="dxa"/>
            <w:tcBorders>
              <w:top w:val="nil"/>
              <w:left w:val="nil"/>
              <w:bottom w:val="nil"/>
              <w:right w:val="nil"/>
            </w:tcBorders>
            <w:shd w:val="clear" w:color="auto" w:fill="auto"/>
            <w:noWrap/>
            <w:vAlign w:val="bottom"/>
            <w:hideMark/>
          </w:tcPr>
          <w:p w14:paraId="3471E9A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122</w:t>
            </w:r>
          </w:p>
        </w:tc>
      </w:tr>
      <w:tr w:rsidR="00CE566D" w:rsidRPr="005C090E" w14:paraId="4F252A02" w14:textId="77777777" w:rsidTr="00FD7C19">
        <w:trPr>
          <w:trHeight w:val="214"/>
        </w:trPr>
        <w:tc>
          <w:tcPr>
            <w:tcW w:w="236" w:type="dxa"/>
            <w:tcBorders>
              <w:top w:val="nil"/>
              <w:left w:val="nil"/>
              <w:bottom w:val="nil"/>
              <w:right w:val="nil"/>
            </w:tcBorders>
            <w:shd w:val="clear" w:color="auto" w:fill="auto"/>
            <w:noWrap/>
            <w:vAlign w:val="bottom"/>
            <w:hideMark/>
          </w:tcPr>
          <w:p w14:paraId="38AB0EF4"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15698042"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Admissions to acute/PICU wards</w:t>
            </w:r>
          </w:p>
        </w:tc>
        <w:tc>
          <w:tcPr>
            <w:tcW w:w="1437" w:type="dxa"/>
            <w:tcBorders>
              <w:top w:val="nil"/>
              <w:left w:val="single" w:sz="4" w:space="0" w:color="auto"/>
              <w:bottom w:val="nil"/>
              <w:right w:val="nil"/>
            </w:tcBorders>
            <w:shd w:val="clear" w:color="000000" w:fill="F2F2F2"/>
            <w:noWrap/>
            <w:vAlign w:val="bottom"/>
            <w:hideMark/>
          </w:tcPr>
          <w:p w14:paraId="0B6A20BF"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10.48</w:t>
            </w:r>
          </w:p>
        </w:tc>
        <w:tc>
          <w:tcPr>
            <w:tcW w:w="1438" w:type="dxa"/>
            <w:tcBorders>
              <w:top w:val="nil"/>
              <w:left w:val="nil"/>
              <w:bottom w:val="nil"/>
              <w:right w:val="nil"/>
            </w:tcBorders>
            <w:shd w:val="clear" w:color="000000" w:fill="F2F2F2"/>
            <w:noWrap/>
            <w:vAlign w:val="bottom"/>
            <w:hideMark/>
          </w:tcPr>
          <w:p w14:paraId="0176FEC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3.27</w:t>
            </w:r>
          </w:p>
        </w:tc>
        <w:tc>
          <w:tcPr>
            <w:tcW w:w="1438" w:type="dxa"/>
            <w:tcBorders>
              <w:top w:val="nil"/>
              <w:left w:val="nil"/>
              <w:bottom w:val="nil"/>
              <w:right w:val="nil"/>
            </w:tcBorders>
            <w:shd w:val="clear" w:color="000000" w:fill="F2F2F2"/>
            <w:noWrap/>
            <w:vAlign w:val="bottom"/>
            <w:hideMark/>
          </w:tcPr>
          <w:p w14:paraId="4D18E56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4F69AFF4" w14:textId="77777777" w:rsidTr="00FD7C19">
        <w:trPr>
          <w:trHeight w:val="214"/>
        </w:trPr>
        <w:tc>
          <w:tcPr>
            <w:tcW w:w="236" w:type="dxa"/>
            <w:tcBorders>
              <w:top w:val="nil"/>
              <w:left w:val="nil"/>
              <w:bottom w:val="nil"/>
              <w:right w:val="nil"/>
            </w:tcBorders>
            <w:shd w:val="clear" w:color="auto" w:fill="auto"/>
            <w:noWrap/>
            <w:vAlign w:val="bottom"/>
            <w:hideMark/>
          </w:tcPr>
          <w:p w14:paraId="5FC97D9E"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4FE51002"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 who were discharged in last 30 days</w:t>
            </w:r>
          </w:p>
        </w:tc>
        <w:tc>
          <w:tcPr>
            <w:tcW w:w="1437" w:type="dxa"/>
            <w:tcBorders>
              <w:top w:val="nil"/>
              <w:left w:val="single" w:sz="4" w:space="0" w:color="auto"/>
              <w:bottom w:val="nil"/>
              <w:right w:val="nil"/>
            </w:tcBorders>
            <w:shd w:val="clear" w:color="auto" w:fill="auto"/>
            <w:noWrap/>
            <w:vAlign w:val="bottom"/>
            <w:hideMark/>
          </w:tcPr>
          <w:p w14:paraId="21A3EF0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0.07</w:t>
            </w:r>
          </w:p>
        </w:tc>
        <w:tc>
          <w:tcPr>
            <w:tcW w:w="1438" w:type="dxa"/>
            <w:tcBorders>
              <w:top w:val="nil"/>
              <w:left w:val="nil"/>
              <w:bottom w:val="nil"/>
              <w:right w:val="nil"/>
            </w:tcBorders>
            <w:shd w:val="clear" w:color="auto" w:fill="auto"/>
            <w:noWrap/>
            <w:vAlign w:val="bottom"/>
            <w:hideMark/>
          </w:tcPr>
          <w:p w14:paraId="2914976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0.07</w:t>
            </w:r>
          </w:p>
        </w:tc>
        <w:tc>
          <w:tcPr>
            <w:tcW w:w="1438" w:type="dxa"/>
            <w:tcBorders>
              <w:top w:val="nil"/>
              <w:left w:val="nil"/>
              <w:bottom w:val="nil"/>
              <w:right w:val="nil"/>
            </w:tcBorders>
            <w:shd w:val="clear" w:color="auto" w:fill="auto"/>
            <w:noWrap/>
            <w:vAlign w:val="bottom"/>
            <w:hideMark/>
          </w:tcPr>
          <w:p w14:paraId="16016AC4"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222</w:t>
            </w:r>
          </w:p>
        </w:tc>
      </w:tr>
      <w:tr w:rsidR="00CE566D" w:rsidRPr="005C090E" w14:paraId="1DD72576" w14:textId="77777777" w:rsidTr="00FD7C19">
        <w:trPr>
          <w:trHeight w:val="214"/>
        </w:trPr>
        <w:tc>
          <w:tcPr>
            <w:tcW w:w="236" w:type="dxa"/>
            <w:tcBorders>
              <w:top w:val="nil"/>
              <w:left w:val="nil"/>
              <w:bottom w:val="nil"/>
              <w:right w:val="nil"/>
            </w:tcBorders>
            <w:shd w:val="clear" w:color="auto" w:fill="auto"/>
            <w:noWrap/>
            <w:vAlign w:val="bottom"/>
            <w:hideMark/>
          </w:tcPr>
          <w:p w14:paraId="248FF9CF"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426F4FB1"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Total bed days</w:t>
            </w:r>
          </w:p>
        </w:tc>
        <w:tc>
          <w:tcPr>
            <w:tcW w:w="1437" w:type="dxa"/>
            <w:tcBorders>
              <w:top w:val="nil"/>
              <w:left w:val="single" w:sz="4" w:space="0" w:color="auto"/>
              <w:bottom w:val="nil"/>
              <w:right w:val="nil"/>
            </w:tcBorders>
            <w:shd w:val="clear" w:color="000000" w:fill="F2F2F2"/>
            <w:noWrap/>
            <w:vAlign w:val="bottom"/>
            <w:hideMark/>
          </w:tcPr>
          <w:p w14:paraId="43511CC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1104.55</w:t>
            </w:r>
          </w:p>
        </w:tc>
        <w:tc>
          <w:tcPr>
            <w:tcW w:w="1438" w:type="dxa"/>
            <w:tcBorders>
              <w:top w:val="nil"/>
              <w:left w:val="nil"/>
              <w:bottom w:val="nil"/>
              <w:right w:val="nil"/>
            </w:tcBorders>
            <w:shd w:val="clear" w:color="000000" w:fill="F2F2F2"/>
            <w:noWrap/>
            <w:vAlign w:val="bottom"/>
            <w:hideMark/>
          </w:tcPr>
          <w:p w14:paraId="19CAED12"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120.52</w:t>
            </w:r>
          </w:p>
        </w:tc>
        <w:tc>
          <w:tcPr>
            <w:tcW w:w="1438" w:type="dxa"/>
            <w:tcBorders>
              <w:top w:val="nil"/>
              <w:left w:val="nil"/>
              <w:bottom w:val="nil"/>
              <w:right w:val="nil"/>
            </w:tcBorders>
            <w:shd w:val="clear" w:color="000000" w:fill="F2F2F2"/>
            <w:noWrap/>
            <w:vAlign w:val="bottom"/>
            <w:hideMark/>
          </w:tcPr>
          <w:p w14:paraId="18F5840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73601694" w14:textId="77777777" w:rsidTr="00FD7C19">
        <w:trPr>
          <w:trHeight w:val="214"/>
        </w:trPr>
        <w:tc>
          <w:tcPr>
            <w:tcW w:w="236" w:type="dxa"/>
            <w:tcBorders>
              <w:top w:val="nil"/>
              <w:left w:val="nil"/>
              <w:bottom w:val="nil"/>
              <w:right w:val="nil"/>
            </w:tcBorders>
            <w:shd w:val="clear" w:color="auto" w:fill="auto"/>
            <w:noWrap/>
            <w:vAlign w:val="bottom"/>
            <w:hideMark/>
          </w:tcPr>
          <w:p w14:paraId="61C4F1B0"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5B78D443"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Unique inpatients</w:t>
            </w:r>
          </w:p>
        </w:tc>
        <w:tc>
          <w:tcPr>
            <w:tcW w:w="1437" w:type="dxa"/>
            <w:tcBorders>
              <w:top w:val="nil"/>
              <w:left w:val="single" w:sz="4" w:space="0" w:color="auto"/>
              <w:bottom w:val="nil"/>
              <w:right w:val="nil"/>
            </w:tcBorders>
            <w:shd w:val="clear" w:color="auto" w:fill="auto"/>
            <w:noWrap/>
            <w:vAlign w:val="bottom"/>
            <w:hideMark/>
          </w:tcPr>
          <w:p w14:paraId="4573FAB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172.19</w:t>
            </w:r>
          </w:p>
        </w:tc>
        <w:tc>
          <w:tcPr>
            <w:tcW w:w="1438" w:type="dxa"/>
            <w:tcBorders>
              <w:top w:val="nil"/>
              <w:left w:val="nil"/>
              <w:bottom w:val="nil"/>
              <w:right w:val="nil"/>
            </w:tcBorders>
            <w:shd w:val="clear" w:color="auto" w:fill="auto"/>
            <w:noWrap/>
            <w:vAlign w:val="bottom"/>
            <w:hideMark/>
          </w:tcPr>
          <w:p w14:paraId="0D64FE7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18.35</w:t>
            </w:r>
          </w:p>
        </w:tc>
        <w:tc>
          <w:tcPr>
            <w:tcW w:w="1438" w:type="dxa"/>
            <w:tcBorders>
              <w:top w:val="nil"/>
              <w:left w:val="nil"/>
              <w:bottom w:val="nil"/>
              <w:right w:val="nil"/>
            </w:tcBorders>
            <w:shd w:val="clear" w:color="auto" w:fill="auto"/>
            <w:noWrap/>
            <w:vAlign w:val="bottom"/>
            <w:hideMark/>
          </w:tcPr>
          <w:p w14:paraId="7681F9FB"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2C2566D7" w14:textId="77777777" w:rsidTr="00FD7C19">
        <w:trPr>
          <w:trHeight w:val="214"/>
        </w:trPr>
        <w:tc>
          <w:tcPr>
            <w:tcW w:w="236" w:type="dxa"/>
            <w:tcBorders>
              <w:top w:val="nil"/>
              <w:left w:val="nil"/>
              <w:bottom w:val="nil"/>
              <w:right w:val="nil"/>
            </w:tcBorders>
            <w:shd w:val="clear" w:color="auto" w:fill="auto"/>
            <w:noWrap/>
            <w:vAlign w:val="bottom"/>
            <w:hideMark/>
          </w:tcPr>
          <w:p w14:paraId="484F2A78"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201D1D6E"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Inpatient length of stay</w:t>
            </w:r>
          </w:p>
        </w:tc>
        <w:tc>
          <w:tcPr>
            <w:tcW w:w="1437" w:type="dxa"/>
            <w:tcBorders>
              <w:top w:val="nil"/>
              <w:left w:val="single" w:sz="4" w:space="0" w:color="auto"/>
              <w:bottom w:val="nil"/>
              <w:right w:val="nil"/>
            </w:tcBorders>
            <w:shd w:val="clear" w:color="000000" w:fill="F2F2F2"/>
            <w:noWrap/>
            <w:vAlign w:val="bottom"/>
            <w:hideMark/>
          </w:tcPr>
          <w:p w14:paraId="17FEC4A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65.61</w:t>
            </w:r>
          </w:p>
        </w:tc>
        <w:tc>
          <w:tcPr>
            <w:tcW w:w="1438" w:type="dxa"/>
            <w:tcBorders>
              <w:top w:val="nil"/>
              <w:left w:val="nil"/>
              <w:bottom w:val="nil"/>
              <w:right w:val="nil"/>
            </w:tcBorders>
            <w:shd w:val="clear" w:color="000000" w:fill="F2F2F2"/>
            <w:noWrap/>
            <w:vAlign w:val="bottom"/>
            <w:hideMark/>
          </w:tcPr>
          <w:p w14:paraId="23CAFD4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37.96</w:t>
            </w:r>
          </w:p>
        </w:tc>
        <w:tc>
          <w:tcPr>
            <w:tcW w:w="1438" w:type="dxa"/>
            <w:tcBorders>
              <w:top w:val="nil"/>
              <w:left w:val="nil"/>
              <w:bottom w:val="nil"/>
              <w:right w:val="nil"/>
            </w:tcBorders>
            <w:shd w:val="clear" w:color="000000" w:fill="F2F2F2"/>
            <w:noWrap/>
            <w:vAlign w:val="bottom"/>
            <w:hideMark/>
          </w:tcPr>
          <w:p w14:paraId="3D6378F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22F193E9" w14:textId="77777777" w:rsidTr="00FD7C19">
        <w:trPr>
          <w:trHeight w:val="214"/>
        </w:trPr>
        <w:tc>
          <w:tcPr>
            <w:tcW w:w="4398" w:type="dxa"/>
            <w:gridSpan w:val="2"/>
            <w:tcBorders>
              <w:top w:val="nil"/>
              <w:left w:val="nil"/>
              <w:bottom w:val="single" w:sz="4" w:space="0" w:color="auto"/>
              <w:right w:val="nil"/>
            </w:tcBorders>
            <w:shd w:val="clear" w:color="auto" w:fill="auto"/>
            <w:noWrap/>
            <w:vAlign w:val="bottom"/>
            <w:hideMark/>
          </w:tcPr>
          <w:p w14:paraId="31E71348"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HoNOS assessments:</w:t>
            </w:r>
          </w:p>
        </w:tc>
        <w:tc>
          <w:tcPr>
            <w:tcW w:w="1437" w:type="dxa"/>
            <w:tcBorders>
              <w:top w:val="nil"/>
              <w:left w:val="single" w:sz="4" w:space="0" w:color="auto"/>
              <w:bottom w:val="single" w:sz="4" w:space="0" w:color="auto"/>
              <w:right w:val="nil"/>
            </w:tcBorders>
            <w:shd w:val="clear" w:color="auto" w:fill="auto"/>
            <w:noWrap/>
            <w:vAlign w:val="bottom"/>
            <w:hideMark/>
          </w:tcPr>
          <w:p w14:paraId="08DB8E72"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69F4645B"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5FBAF90F"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r>
      <w:tr w:rsidR="00CE566D" w:rsidRPr="005C090E" w14:paraId="4C9218CC" w14:textId="77777777" w:rsidTr="00FD7C19">
        <w:trPr>
          <w:trHeight w:val="214"/>
        </w:trPr>
        <w:tc>
          <w:tcPr>
            <w:tcW w:w="236" w:type="dxa"/>
            <w:tcBorders>
              <w:top w:val="nil"/>
              <w:left w:val="nil"/>
              <w:bottom w:val="nil"/>
              <w:right w:val="nil"/>
            </w:tcBorders>
            <w:shd w:val="clear" w:color="auto" w:fill="auto"/>
            <w:noWrap/>
            <w:vAlign w:val="bottom"/>
            <w:hideMark/>
          </w:tcPr>
          <w:p w14:paraId="28C414DB"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0560ECC7"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Total assessments</w:t>
            </w:r>
          </w:p>
        </w:tc>
        <w:tc>
          <w:tcPr>
            <w:tcW w:w="1437" w:type="dxa"/>
            <w:tcBorders>
              <w:top w:val="nil"/>
              <w:left w:val="single" w:sz="4" w:space="0" w:color="auto"/>
              <w:bottom w:val="nil"/>
              <w:right w:val="nil"/>
            </w:tcBorders>
            <w:shd w:val="clear" w:color="000000" w:fill="F2F2F2"/>
            <w:noWrap/>
            <w:vAlign w:val="bottom"/>
            <w:hideMark/>
          </w:tcPr>
          <w:p w14:paraId="7268524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195.71</w:t>
            </w:r>
          </w:p>
        </w:tc>
        <w:tc>
          <w:tcPr>
            <w:tcW w:w="1438" w:type="dxa"/>
            <w:tcBorders>
              <w:top w:val="nil"/>
              <w:left w:val="nil"/>
              <w:bottom w:val="nil"/>
              <w:right w:val="nil"/>
            </w:tcBorders>
            <w:shd w:val="clear" w:color="000000" w:fill="F2F2F2"/>
            <w:noWrap/>
            <w:vAlign w:val="bottom"/>
            <w:hideMark/>
          </w:tcPr>
          <w:p w14:paraId="272857C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31.66</w:t>
            </w:r>
          </w:p>
        </w:tc>
        <w:tc>
          <w:tcPr>
            <w:tcW w:w="1438" w:type="dxa"/>
            <w:tcBorders>
              <w:top w:val="nil"/>
              <w:left w:val="nil"/>
              <w:bottom w:val="nil"/>
              <w:right w:val="nil"/>
            </w:tcBorders>
            <w:shd w:val="clear" w:color="000000" w:fill="F2F2F2"/>
            <w:noWrap/>
            <w:vAlign w:val="bottom"/>
            <w:hideMark/>
          </w:tcPr>
          <w:p w14:paraId="51BCA1A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5D4D7C4D" w14:textId="77777777" w:rsidTr="00FD7C19">
        <w:trPr>
          <w:trHeight w:val="214"/>
        </w:trPr>
        <w:tc>
          <w:tcPr>
            <w:tcW w:w="236" w:type="dxa"/>
            <w:tcBorders>
              <w:top w:val="nil"/>
              <w:left w:val="nil"/>
              <w:bottom w:val="nil"/>
              <w:right w:val="nil"/>
            </w:tcBorders>
            <w:shd w:val="clear" w:color="auto" w:fill="auto"/>
            <w:noWrap/>
            <w:vAlign w:val="bottom"/>
            <w:hideMark/>
          </w:tcPr>
          <w:p w14:paraId="1BCE2C7E"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4F8DA435"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Initial assessments</w:t>
            </w:r>
          </w:p>
        </w:tc>
        <w:tc>
          <w:tcPr>
            <w:tcW w:w="1437" w:type="dxa"/>
            <w:tcBorders>
              <w:top w:val="nil"/>
              <w:left w:val="single" w:sz="4" w:space="0" w:color="auto"/>
              <w:bottom w:val="nil"/>
              <w:right w:val="nil"/>
            </w:tcBorders>
            <w:shd w:val="clear" w:color="auto" w:fill="auto"/>
            <w:noWrap/>
            <w:vAlign w:val="bottom"/>
            <w:hideMark/>
          </w:tcPr>
          <w:p w14:paraId="07E1553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103.21</w:t>
            </w:r>
          </w:p>
        </w:tc>
        <w:tc>
          <w:tcPr>
            <w:tcW w:w="1438" w:type="dxa"/>
            <w:tcBorders>
              <w:top w:val="nil"/>
              <w:left w:val="nil"/>
              <w:bottom w:val="nil"/>
              <w:right w:val="nil"/>
            </w:tcBorders>
            <w:shd w:val="clear" w:color="auto" w:fill="auto"/>
            <w:noWrap/>
            <w:vAlign w:val="bottom"/>
            <w:hideMark/>
          </w:tcPr>
          <w:p w14:paraId="6A8E7E76"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16.80</w:t>
            </w:r>
          </w:p>
        </w:tc>
        <w:tc>
          <w:tcPr>
            <w:tcW w:w="1438" w:type="dxa"/>
            <w:tcBorders>
              <w:top w:val="nil"/>
              <w:left w:val="nil"/>
              <w:bottom w:val="nil"/>
              <w:right w:val="nil"/>
            </w:tcBorders>
            <w:shd w:val="clear" w:color="auto" w:fill="auto"/>
            <w:noWrap/>
            <w:vAlign w:val="bottom"/>
            <w:hideMark/>
          </w:tcPr>
          <w:p w14:paraId="77965526"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398B12E5" w14:textId="77777777" w:rsidTr="00FD7C19">
        <w:trPr>
          <w:trHeight w:val="214"/>
        </w:trPr>
        <w:tc>
          <w:tcPr>
            <w:tcW w:w="236" w:type="dxa"/>
            <w:tcBorders>
              <w:top w:val="nil"/>
              <w:left w:val="nil"/>
              <w:bottom w:val="nil"/>
              <w:right w:val="nil"/>
            </w:tcBorders>
            <w:shd w:val="clear" w:color="auto" w:fill="auto"/>
            <w:noWrap/>
            <w:vAlign w:val="bottom"/>
            <w:hideMark/>
          </w:tcPr>
          <w:p w14:paraId="00A68C97"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106C1E94"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Ongoing assessments</w:t>
            </w:r>
          </w:p>
        </w:tc>
        <w:tc>
          <w:tcPr>
            <w:tcW w:w="1437" w:type="dxa"/>
            <w:tcBorders>
              <w:top w:val="nil"/>
              <w:left w:val="single" w:sz="4" w:space="0" w:color="auto"/>
              <w:bottom w:val="nil"/>
              <w:right w:val="nil"/>
            </w:tcBorders>
            <w:shd w:val="clear" w:color="000000" w:fill="F2F2F2"/>
            <w:noWrap/>
            <w:vAlign w:val="bottom"/>
            <w:hideMark/>
          </w:tcPr>
          <w:p w14:paraId="1EDDBD34"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66.26</w:t>
            </w:r>
          </w:p>
        </w:tc>
        <w:tc>
          <w:tcPr>
            <w:tcW w:w="1438" w:type="dxa"/>
            <w:tcBorders>
              <w:top w:val="nil"/>
              <w:left w:val="nil"/>
              <w:bottom w:val="nil"/>
              <w:right w:val="nil"/>
            </w:tcBorders>
            <w:shd w:val="clear" w:color="000000" w:fill="F2F2F2"/>
            <w:noWrap/>
            <w:vAlign w:val="bottom"/>
            <w:hideMark/>
          </w:tcPr>
          <w:p w14:paraId="3BB0440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17.16</w:t>
            </w:r>
          </w:p>
        </w:tc>
        <w:tc>
          <w:tcPr>
            <w:tcW w:w="1438" w:type="dxa"/>
            <w:tcBorders>
              <w:top w:val="nil"/>
              <w:left w:val="nil"/>
              <w:bottom w:val="nil"/>
              <w:right w:val="nil"/>
            </w:tcBorders>
            <w:shd w:val="clear" w:color="000000" w:fill="F2F2F2"/>
            <w:noWrap/>
            <w:vAlign w:val="bottom"/>
            <w:hideMark/>
          </w:tcPr>
          <w:p w14:paraId="742E915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4F10904A" w14:textId="77777777" w:rsidTr="00FD7C19">
        <w:trPr>
          <w:trHeight w:val="214"/>
        </w:trPr>
        <w:tc>
          <w:tcPr>
            <w:tcW w:w="236" w:type="dxa"/>
            <w:tcBorders>
              <w:top w:val="nil"/>
              <w:left w:val="nil"/>
              <w:bottom w:val="nil"/>
              <w:right w:val="nil"/>
            </w:tcBorders>
            <w:shd w:val="clear" w:color="auto" w:fill="auto"/>
            <w:noWrap/>
            <w:vAlign w:val="bottom"/>
            <w:hideMark/>
          </w:tcPr>
          <w:p w14:paraId="2760B5EE"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44304407"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Discharge assessments</w:t>
            </w:r>
          </w:p>
        </w:tc>
        <w:tc>
          <w:tcPr>
            <w:tcW w:w="1437" w:type="dxa"/>
            <w:tcBorders>
              <w:top w:val="nil"/>
              <w:left w:val="single" w:sz="4" w:space="0" w:color="auto"/>
              <w:bottom w:val="nil"/>
              <w:right w:val="nil"/>
            </w:tcBorders>
            <w:shd w:val="clear" w:color="auto" w:fill="auto"/>
            <w:noWrap/>
            <w:vAlign w:val="bottom"/>
            <w:hideMark/>
          </w:tcPr>
          <w:p w14:paraId="0AAE8ED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26.24</w:t>
            </w:r>
          </w:p>
        </w:tc>
        <w:tc>
          <w:tcPr>
            <w:tcW w:w="1438" w:type="dxa"/>
            <w:tcBorders>
              <w:top w:val="nil"/>
              <w:left w:val="nil"/>
              <w:bottom w:val="nil"/>
              <w:right w:val="nil"/>
            </w:tcBorders>
            <w:shd w:val="clear" w:color="auto" w:fill="auto"/>
            <w:noWrap/>
            <w:vAlign w:val="bottom"/>
            <w:hideMark/>
          </w:tcPr>
          <w:p w14:paraId="65AAC73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7.50</w:t>
            </w:r>
          </w:p>
        </w:tc>
        <w:tc>
          <w:tcPr>
            <w:tcW w:w="1438" w:type="dxa"/>
            <w:tcBorders>
              <w:top w:val="nil"/>
              <w:left w:val="nil"/>
              <w:bottom w:val="nil"/>
              <w:right w:val="nil"/>
            </w:tcBorders>
            <w:shd w:val="clear" w:color="auto" w:fill="auto"/>
            <w:noWrap/>
            <w:vAlign w:val="bottom"/>
            <w:hideMark/>
          </w:tcPr>
          <w:p w14:paraId="63A86AA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5A4C4F31" w14:textId="77777777" w:rsidTr="00FD7C19">
        <w:trPr>
          <w:trHeight w:val="214"/>
        </w:trPr>
        <w:tc>
          <w:tcPr>
            <w:tcW w:w="4398" w:type="dxa"/>
            <w:gridSpan w:val="2"/>
            <w:tcBorders>
              <w:top w:val="nil"/>
              <w:left w:val="nil"/>
              <w:bottom w:val="single" w:sz="4" w:space="0" w:color="auto"/>
              <w:right w:val="nil"/>
            </w:tcBorders>
            <w:shd w:val="clear" w:color="auto" w:fill="auto"/>
            <w:noWrap/>
            <w:vAlign w:val="bottom"/>
            <w:hideMark/>
          </w:tcPr>
          <w:p w14:paraId="497C37E1"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HoNOS scores:</w:t>
            </w:r>
          </w:p>
        </w:tc>
        <w:tc>
          <w:tcPr>
            <w:tcW w:w="1437" w:type="dxa"/>
            <w:tcBorders>
              <w:top w:val="nil"/>
              <w:left w:val="single" w:sz="4" w:space="0" w:color="auto"/>
              <w:bottom w:val="single" w:sz="4" w:space="0" w:color="auto"/>
              <w:right w:val="nil"/>
            </w:tcBorders>
            <w:shd w:val="clear" w:color="auto" w:fill="auto"/>
            <w:noWrap/>
            <w:vAlign w:val="bottom"/>
            <w:hideMark/>
          </w:tcPr>
          <w:p w14:paraId="3D789A24"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56BE2407"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57790F49"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r>
      <w:tr w:rsidR="00CE566D" w:rsidRPr="005C090E" w14:paraId="0D366AFF" w14:textId="77777777" w:rsidTr="00FD7C19">
        <w:trPr>
          <w:trHeight w:val="214"/>
        </w:trPr>
        <w:tc>
          <w:tcPr>
            <w:tcW w:w="236" w:type="dxa"/>
            <w:tcBorders>
              <w:top w:val="nil"/>
              <w:left w:val="nil"/>
              <w:bottom w:val="nil"/>
              <w:right w:val="nil"/>
            </w:tcBorders>
            <w:shd w:val="clear" w:color="auto" w:fill="auto"/>
            <w:noWrap/>
            <w:vAlign w:val="bottom"/>
            <w:hideMark/>
          </w:tcPr>
          <w:p w14:paraId="3C86E551"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1E181817"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total score</w:t>
            </w:r>
          </w:p>
        </w:tc>
        <w:tc>
          <w:tcPr>
            <w:tcW w:w="1437" w:type="dxa"/>
            <w:tcBorders>
              <w:top w:val="nil"/>
              <w:left w:val="single" w:sz="4" w:space="0" w:color="auto"/>
              <w:bottom w:val="nil"/>
              <w:right w:val="nil"/>
            </w:tcBorders>
            <w:shd w:val="clear" w:color="000000" w:fill="F2F2F2"/>
            <w:noWrap/>
            <w:vAlign w:val="bottom"/>
            <w:hideMark/>
          </w:tcPr>
          <w:p w14:paraId="1D60DEA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11.51</w:t>
            </w:r>
          </w:p>
        </w:tc>
        <w:tc>
          <w:tcPr>
            <w:tcW w:w="1438" w:type="dxa"/>
            <w:tcBorders>
              <w:top w:val="nil"/>
              <w:left w:val="nil"/>
              <w:bottom w:val="nil"/>
              <w:right w:val="nil"/>
            </w:tcBorders>
            <w:shd w:val="clear" w:color="000000" w:fill="F2F2F2"/>
            <w:noWrap/>
            <w:vAlign w:val="bottom"/>
            <w:hideMark/>
          </w:tcPr>
          <w:p w14:paraId="284AA4A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0.66</w:t>
            </w:r>
          </w:p>
        </w:tc>
        <w:tc>
          <w:tcPr>
            <w:tcW w:w="1438" w:type="dxa"/>
            <w:tcBorders>
              <w:top w:val="nil"/>
              <w:left w:val="nil"/>
              <w:bottom w:val="nil"/>
              <w:right w:val="nil"/>
            </w:tcBorders>
            <w:shd w:val="clear" w:color="000000" w:fill="F2F2F2"/>
            <w:noWrap/>
            <w:vAlign w:val="bottom"/>
            <w:hideMark/>
          </w:tcPr>
          <w:p w14:paraId="529A86E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0773490D"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7BB35DA6"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Overactive, aggressive, disruptive or agitated behaviour</w:t>
            </w:r>
          </w:p>
        </w:tc>
        <w:tc>
          <w:tcPr>
            <w:tcW w:w="1437" w:type="dxa"/>
            <w:tcBorders>
              <w:top w:val="nil"/>
              <w:left w:val="single" w:sz="4" w:space="0" w:color="auto"/>
              <w:bottom w:val="nil"/>
              <w:right w:val="nil"/>
            </w:tcBorders>
            <w:shd w:val="clear" w:color="auto" w:fill="auto"/>
            <w:noWrap/>
            <w:vAlign w:val="bottom"/>
            <w:hideMark/>
          </w:tcPr>
          <w:p w14:paraId="2B1C9F2B"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041303D3"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688668E7"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6305458B" w14:textId="77777777" w:rsidTr="00FD7C19">
        <w:trPr>
          <w:trHeight w:val="214"/>
        </w:trPr>
        <w:tc>
          <w:tcPr>
            <w:tcW w:w="236" w:type="dxa"/>
            <w:tcBorders>
              <w:top w:val="nil"/>
              <w:left w:val="nil"/>
              <w:bottom w:val="nil"/>
              <w:right w:val="nil"/>
            </w:tcBorders>
            <w:shd w:val="clear" w:color="auto" w:fill="auto"/>
            <w:noWrap/>
            <w:vAlign w:val="bottom"/>
            <w:hideMark/>
          </w:tcPr>
          <w:p w14:paraId="6CC6371C"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0B3D20A4"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4319E39B"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0.47</w:t>
            </w:r>
          </w:p>
        </w:tc>
        <w:tc>
          <w:tcPr>
            <w:tcW w:w="1438" w:type="dxa"/>
            <w:tcBorders>
              <w:top w:val="nil"/>
              <w:left w:val="nil"/>
              <w:bottom w:val="nil"/>
              <w:right w:val="nil"/>
            </w:tcBorders>
            <w:shd w:val="clear" w:color="000000" w:fill="F2F2F2"/>
            <w:noWrap/>
            <w:vAlign w:val="bottom"/>
            <w:hideMark/>
          </w:tcPr>
          <w:p w14:paraId="533D9BB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0.04</w:t>
            </w:r>
          </w:p>
        </w:tc>
        <w:tc>
          <w:tcPr>
            <w:tcW w:w="1438" w:type="dxa"/>
            <w:tcBorders>
              <w:top w:val="nil"/>
              <w:left w:val="nil"/>
              <w:bottom w:val="nil"/>
              <w:right w:val="nil"/>
            </w:tcBorders>
            <w:shd w:val="clear" w:color="000000" w:fill="F2F2F2"/>
            <w:noWrap/>
            <w:vAlign w:val="bottom"/>
            <w:hideMark/>
          </w:tcPr>
          <w:p w14:paraId="7D8B45E4"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485C3E75" w14:textId="77777777" w:rsidTr="00FD7C19">
        <w:trPr>
          <w:trHeight w:val="214"/>
        </w:trPr>
        <w:tc>
          <w:tcPr>
            <w:tcW w:w="236" w:type="dxa"/>
            <w:tcBorders>
              <w:top w:val="nil"/>
              <w:left w:val="nil"/>
              <w:bottom w:val="nil"/>
              <w:right w:val="nil"/>
            </w:tcBorders>
            <w:shd w:val="clear" w:color="auto" w:fill="auto"/>
            <w:noWrap/>
            <w:vAlign w:val="bottom"/>
            <w:hideMark/>
          </w:tcPr>
          <w:p w14:paraId="5C49E04D"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192EDF03"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362E454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0.83</w:t>
            </w:r>
          </w:p>
        </w:tc>
        <w:tc>
          <w:tcPr>
            <w:tcW w:w="1438" w:type="dxa"/>
            <w:tcBorders>
              <w:top w:val="nil"/>
              <w:left w:val="nil"/>
              <w:bottom w:val="nil"/>
              <w:right w:val="nil"/>
            </w:tcBorders>
            <w:shd w:val="clear" w:color="auto" w:fill="auto"/>
            <w:noWrap/>
            <w:vAlign w:val="bottom"/>
            <w:hideMark/>
          </w:tcPr>
          <w:p w14:paraId="2825018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0.10</w:t>
            </w:r>
          </w:p>
        </w:tc>
        <w:tc>
          <w:tcPr>
            <w:tcW w:w="1438" w:type="dxa"/>
            <w:tcBorders>
              <w:top w:val="nil"/>
              <w:left w:val="nil"/>
              <w:bottom w:val="nil"/>
              <w:right w:val="nil"/>
            </w:tcBorders>
            <w:shd w:val="clear" w:color="auto" w:fill="auto"/>
            <w:noWrap/>
            <w:vAlign w:val="bottom"/>
            <w:hideMark/>
          </w:tcPr>
          <w:p w14:paraId="2EB7484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2CD261D1"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15D4DB9C"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Non-accidental self-injury</w:t>
            </w:r>
          </w:p>
        </w:tc>
        <w:tc>
          <w:tcPr>
            <w:tcW w:w="1437" w:type="dxa"/>
            <w:tcBorders>
              <w:top w:val="nil"/>
              <w:left w:val="single" w:sz="4" w:space="0" w:color="auto"/>
              <w:bottom w:val="nil"/>
              <w:right w:val="nil"/>
            </w:tcBorders>
            <w:shd w:val="clear" w:color="auto" w:fill="auto"/>
            <w:noWrap/>
            <w:vAlign w:val="bottom"/>
            <w:hideMark/>
          </w:tcPr>
          <w:p w14:paraId="21F99FA1"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006DA08F"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08B542DA"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6FD6ED14" w14:textId="77777777" w:rsidTr="00FD7C19">
        <w:trPr>
          <w:trHeight w:val="214"/>
        </w:trPr>
        <w:tc>
          <w:tcPr>
            <w:tcW w:w="236" w:type="dxa"/>
            <w:tcBorders>
              <w:top w:val="nil"/>
              <w:left w:val="nil"/>
              <w:bottom w:val="nil"/>
              <w:right w:val="nil"/>
            </w:tcBorders>
            <w:shd w:val="clear" w:color="auto" w:fill="auto"/>
            <w:noWrap/>
            <w:vAlign w:val="bottom"/>
            <w:hideMark/>
          </w:tcPr>
          <w:p w14:paraId="1DFF4BE2"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660EDABA"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62EA0DE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0.29</w:t>
            </w:r>
          </w:p>
        </w:tc>
        <w:tc>
          <w:tcPr>
            <w:tcW w:w="1438" w:type="dxa"/>
            <w:tcBorders>
              <w:top w:val="nil"/>
              <w:left w:val="nil"/>
              <w:bottom w:val="nil"/>
              <w:right w:val="nil"/>
            </w:tcBorders>
            <w:shd w:val="clear" w:color="000000" w:fill="F2F2F2"/>
            <w:noWrap/>
            <w:vAlign w:val="bottom"/>
            <w:hideMark/>
          </w:tcPr>
          <w:p w14:paraId="4824A13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0.04</w:t>
            </w:r>
          </w:p>
        </w:tc>
        <w:tc>
          <w:tcPr>
            <w:tcW w:w="1438" w:type="dxa"/>
            <w:tcBorders>
              <w:top w:val="nil"/>
              <w:left w:val="nil"/>
              <w:bottom w:val="nil"/>
              <w:right w:val="nil"/>
            </w:tcBorders>
            <w:shd w:val="clear" w:color="000000" w:fill="F2F2F2"/>
            <w:noWrap/>
            <w:vAlign w:val="bottom"/>
            <w:hideMark/>
          </w:tcPr>
          <w:p w14:paraId="4049F20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26B35458" w14:textId="77777777" w:rsidTr="00FD7C19">
        <w:trPr>
          <w:trHeight w:val="214"/>
        </w:trPr>
        <w:tc>
          <w:tcPr>
            <w:tcW w:w="236" w:type="dxa"/>
            <w:tcBorders>
              <w:top w:val="nil"/>
              <w:left w:val="nil"/>
              <w:bottom w:val="nil"/>
              <w:right w:val="nil"/>
            </w:tcBorders>
            <w:shd w:val="clear" w:color="auto" w:fill="auto"/>
            <w:noWrap/>
            <w:vAlign w:val="bottom"/>
            <w:hideMark/>
          </w:tcPr>
          <w:p w14:paraId="2351FFBE"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1BCCF005"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2020BB0C"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0.57</w:t>
            </w:r>
          </w:p>
        </w:tc>
        <w:tc>
          <w:tcPr>
            <w:tcW w:w="1438" w:type="dxa"/>
            <w:tcBorders>
              <w:top w:val="nil"/>
              <w:left w:val="nil"/>
              <w:bottom w:val="nil"/>
              <w:right w:val="nil"/>
            </w:tcBorders>
            <w:shd w:val="clear" w:color="auto" w:fill="auto"/>
            <w:noWrap/>
            <w:vAlign w:val="bottom"/>
            <w:hideMark/>
          </w:tcPr>
          <w:p w14:paraId="22B47CEC"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0.09</w:t>
            </w:r>
          </w:p>
        </w:tc>
        <w:tc>
          <w:tcPr>
            <w:tcW w:w="1438" w:type="dxa"/>
            <w:tcBorders>
              <w:top w:val="nil"/>
              <w:left w:val="nil"/>
              <w:bottom w:val="nil"/>
              <w:right w:val="nil"/>
            </w:tcBorders>
            <w:shd w:val="clear" w:color="auto" w:fill="auto"/>
            <w:noWrap/>
            <w:vAlign w:val="bottom"/>
            <w:hideMark/>
          </w:tcPr>
          <w:p w14:paraId="0129411B"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22D99893"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48B77BE7"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Problem-drinking or drug-taking</w:t>
            </w:r>
          </w:p>
        </w:tc>
        <w:tc>
          <w:tcPr>
            <w:tcW w:w="1437" w:type="dxa"/>
            <w:tcBorders>
              <w:top w:val="nil"/>
              <w:left w:val="single" w:sz="4" w:space="0" w:color="auto"/>
              <w:bottom w:val="nil"/>
              <w:right w:val="nil"/>
            </w:tcBorders>
            <w:shd w:val="clear" w:color="auto" w:fill="auto"/>
            <w:noWrap/>
            <w:vAlign w:val="bottom"/>
            <w:hideMark/>
          </w:tcPr>
          <w:p w14:paraId="42191A48"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581217B8"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4924C655"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4AF96725" w14:textId="77777777" w:rsidTr="00FD7C19">
        <w:trPr>
          <w:trHeight w:val="214"/>
        </w:trPr>
        <w:tc>
          <w:tcPr>
            <w:tcW w:w="236" w:type="dxa"/>
            <w:tcBorders>
              <w:top w:val="nil"/>
              <w:left w:val="nil"/>
              <w:bottom w:val="nil"/>
              <w:right w:val="nil"/>
            </w:tcBorders>
            <w:shd w:val="clear" w:color="auto" w:fill="auto"/>
            <w:noWrap/>
            <w:vAlign w:val="bottom"/>
            <w:hideMark/>
          </w:tcPr>
          <w:p w14:paraId="10BF163F"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0DC5365F"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61C398E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0.24</w:t>
            </w:r>
          </w:p>
        </w:tc>
        <w:tc>
          <w:tcPr>
            <w:tcW w:w="1438" w:type="dxa"/>
            <w:tcBorders>
              <w:top w:val="nil"/>
              <w:left w:val="nil"/>
              <w:bottom w:val="nil"/>
              <w:right w:val="nil"/>
            </w:tcBorders>
            <w:shd w:val="clear" w:color="000000" w:fill="F2F2F2"/>
            <w:noWrap/>
            <w:vAlign w:val="bottom"/>
            <w:hideMark/>
          </w:tcPr>
          <w:p w14:paraId="27CEA1B4"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0.03</w:t>
            </w:r>
          </w:p>
        </w:tc>
        <w:tc>
          <w:tcPr>
            <w:tcW w:w="1438" w:type="dxa"/>
            <w:tcBorders>
              <w:top w:val="nil"/>
              <w:left w:val="nil"/>
              <w:bottom w:val="nil"/>
              <w:right w:val="nil"/>
            </w:tcBorders>
            <w:shd w:val="clear" w:color="000000" w:fill="F2F2F2"/>
            <w:noWrap/>
            <w:vAlign w:val="bottom"/>
            <w:hideMark/>
          </w:tcPr>
          <w:p w14:paraId="3D1E358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66E27E9E" w14:textId="77777777" w:rsidTr="00FD7C19">
        <w:trPr>
          <w:trHeight w:val="214"/>
        </w:trPr>
        <w:tc>
          <w:tcPr>
            <w:tcW w:w="236" w:type="dxa"/>
            <w:tcBorders>
              <w:top w:val="nil"/>
              <w:left w:val="nil"/>
              <w:bottom w:val="nil"/>
              <w:right w:val="nil"/>
            </w:tcBorders>
            <w:shd w:val="clear" w:color="auto" w:fill="auto"/>
            <w:noWrap/>
            <w:vAlign w:val="bottom"/>
            <w:hideMark/>
          </w:tcPr>
          <w:p w14:paraId="5CF6D91F"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04F45C92"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2D900C8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0.48</w:t>
            </w:r>
          </w:p>
        </w:tc>
        <w:tc>
          <w:tcPr>
            <w:tcW w:w="1438" w:type="dxa"/>
            <w:tcBorders>
              <w:top w:val="nil"/>
              <w:left w:val="nil"/>
              <w:bottom w:val="nil"/>
              <w:right w:val="nil"/>
            </w:tcBorders>
            <w:shd w:val="clear" w:color="auto" w:fill="auto"/>
            <w:noWrap/>
            <w:vAlign w:val="bottom"/>
            <w:hideMark/>
          </w:tcPr>
          <w:p w14:paraId="0A3C84F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0.08</w:t>
            </w:r>
          </w:p>
        </w:tc>
        <w:tc>
          <w:tcPr>
            <w:tcW w:w="1438" w:type="dxa"/>
            <w:tcBorders>
              <w:top w:val="nil"/>
              <w:left w:val="nil"/>
              <w:bottom w:val="nil"/>
              <w:right w:val="nil"/>
            </w:tcBorders>
            <w:shd w:val="clear" w:color="auto" w:fill="auto"/>
            <w:noWrap/>
            <w:vAlign w:val="bottom"/>
            <w:hideMark/>
          </w:tcPr>
          <w:p w14:paraId="4EC4970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79FE1717"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1A207181"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Cognitive problems</w:t>
            </w:r>
          </w:p>
        </w:tc>
        <w:tc>
          <w:tcPr>
            <w:tcW w:w="1437" w:type="dxa"/>
            <w:tcBorders>
              <w:top w:val="nil"/>
              <w:left w:val="single" w:sz="4" w:space="0" w:color="auto"/>
              <w:bottom w:val="nil"/>
              <w:right w:val="nil"/>
            </w:tcBorders>
            <w:shd w:val="clear" w:color="auto" w:fill="auto"/>
            <w:noWrap/>
            <w:vAlign w:val="bottom"/>
            <w:hideMark/>
          </w:tcPr>
          <w:p w14:paraId="69AF303C"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00DA6DDA"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56B507EE"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1D3EFAE3" w14:textId="77777777" w:rsidTr="00FD7C19">
        <w:trPr>
          <w:trHeight w:val="214"/>
        </w:trPr>
        <w:tc>
          <w:tcPr>
            <w:tcW w:w="236" w:type="dxa"/>
            <w:tcBorders>
              <w:top w:val="nil"/>
              <w:left w:val="nil"/>
              <w:bottom w:val="nil"/>
              <w:right w:val="nil"/>
            </w:tcBorders>
            <w:shd w:val="clear" w:color="auto" w:fill="auto"/>
            <w:noWrap/>
            <w:vAlign w:val="bottom"/>
            <w:hideMark/>
          </w:tcPr>
          <w:p w14:paraId="23C8CCA9"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69603A3F"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2BA76E56"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0.42</w:t>
            </w:r>
          </w:p>
        </w:tc>
        <w:tc>
          <w:tcPr>
            <w:tcW w:w="1438" w:type="dxa"/>
            <w:tcBorders>
              <w:top w:val="nil"/>
              <w:left w:val="nil"/>
              <w:bottom w:val="nil"/>
              <w:right w:val="nil"/>
            </w:tcBorders>
            <w:shd w:val="clear" w:color="000000" w:fill="F2F2F2"/>
            <w:noWrap/>
            <w:vAlign w:val="bottom"/>
            <w:hideMark/>
          </w:tcPr>
          <w:p w14:paraId="51409ED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0.05</w:t>
            </w:r>
          </w:p>
        </w:tc>
        <w:tc>
          <w:tcPr>
            <w:tcW w:w="1438" w:type="dxa"/>
            <w:tcBorders>
              <w:top w:val="nil"/>
              <w:left w:val="nil"/>
              <w:bottom w:val="nil"/>
              <w:right w:val="nil"/>
            </w:tcBorders>
            <w:shd w:val="clear" w:color="000000" w:fill="F2F2F2"/>
            <w:noWrap/>
            <w:vAlign w:val="bottom"/>
            <w:hideMark/>
          </w:tcPr>
          <w:p w14:paraId="371AE13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3A27BF38" w14:textId="77777777" w:rsidTr="00FD7C19">
        <w:trPr>
          <w:trHeight w:val="214"/>
        </w:trPr>
        <w:tc>
          <w:tcPr>
            <w:tcW w:w="236" w:type="dxa"/>
            <w:tcBorders>
              <w:top w:val="nil"/>
              <w:left w:val="nil"/>
              <w:bottom w:val="nil"/>
              <w:right w:val="nil"/>
            </w:tcBorders>
            <w:shd w:val="clear" w:color="auto" w:fill="auto"/>
            <w:noWrap/>
            <w:vAlign w:val="bottom"/>
            <w:hideMark/>
          </w:tcPr>
          <w:p w14:paraId="142B8C44"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65B0D036"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4B309AB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0.83</w:t>
            </w:r>
          </w:p>
        </w:tc>
        <w:tc>
          <w:tcPr>
            <w:tcW w:w="1438" w:type="dxa"/>
            <w:tcBorders>
              <w:top w:val="nil"/>
              <w:left w:val="nil"/>
              <w:bottom w:val="nil"/>
              <w:right w:val="nil"/>
            </w:tcBorders>
            <w:shd w:val="clear" w:color="auto" w:fill="auto"/>
            <w:noWrap/>
            <w:vAlign w:val="bottom"/>
            <w:hideMark/>
          </w:tcPr>
          <w:p w14:paraId="22ABEB9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0.11</w:t>
            </w:r>
          </w:p>
        </w:tc>
        <w:tc>
          <w:tcPr>
            <w:tcW w:w="1438" w:type="dxa"/>
            <w:tcBorders>
              <w:top w:val="nil"/>
              <w:left w:val="nil"/>
              <w:bottom w:val="nil"/>
              <w:right w:val="nil"/>
            </w:tcBorders>
            <w:shd w:val="clear" w:color="auto" w:fill="auto"/>
            <w:noWrap/>
            <w:vAlign w:val="bottom"/>
            <w:hideMark/>
          </w:tcPr>
          <w:p w14:paraId="3879F7E4"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63BE68F3"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21DF9592"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Physical illness or disability or disability problems</w:t>
            </w:r>
          </w:p>
        </w:tc>
        <w:tc>
          <w:tcPr>
            <w:tcW w:w="1437" w:type="dxa"/>
            <w:tcBorders>
              <w:top w:val="nil"/>
              <w:left w:val="single" w:sz="4" w:space="0" w:color="auto"/>
              <w:bottom w:val="nil"/>
              <w:right w:val="nil"/>
            </w:tcBorders>
            <w:shd w:val="clear" w:color="auto" w:fill="auto"/>
            <w:noWrap/>
            <w:vAlign w:val="bottom"/>
            <w:hideMark/>
          </w:tcPr>
          <w:p w14:paraId="1979CDCB"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70D8B0B9"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44008A17"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1341E052" w14:textId="77777777" w:rsidTr="00FD7C19">
        <w:trPr>
          <w:trHeight w:val="214"/>
        </w:trPr>
        <w:tc>
          <w:tcPr>
            <w:tcW w:w="236" w:type="dxa"/>
            <w:tcBorders>
              <w:top w:val="nil"/>
              <w:left w:val="nil"/>
              <w:bottom w:val="nil"/>
              <w:right w:val="nil"/>
            </w:tcBorders>
            <w:shd w:val="clear" w:color="auto" w:fill="auto"/>
            <w:noWrap/>
            <w:vAlign w:val="bottom"/>
            <w:hideMark/>
          </w:tcPr>
          <w:p w14:paraId="1ACD0EE4"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47C107C9"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53548462"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0.49</w:t>
            </w:r>
          </w:p>
        </w:tc>
        <w:tc>
          <w:tcPr>
            <w:tcW w:w="1438" w:type="dxa"/>
            <w:tcBorders>
              <w:top w:val="nil"/>
              <w:left w:val="nil"/>
              <w:bottom w:val="nil"/>
              <w:right w:val="nil"/>
            </w:tcBorders>
            <w:shd w:val="clear" w:color="000000" w:fill="F2F2F2"/>
            <w:noWrap/>
            <w:vAlign w:val="bottom"/>
            <w:hideMark/>
          </w:tcPr>
          <w:p w14:paraId="6C677FB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0.04</w:t>
            </w:r>
          </w:p>
        </w:tc>
        <w:tc>
          <w:tcPr>
            <w:tcW w:w="1438" w:type="dxa"/>
            <w:tcBorders>
              <w:top w:val="nil"/>
              <w:left w:val="nil"/>
              <w:bottom w:val="nil"/>
              <w:right w:val="nil"/>
            </w:tcBorders>
            <w:shd w:val="clear" w:color="000000" w:fill="F2F2F2"/>
            <w:noWrap/>
            <w:vAlign w:val="bottom"/>
            <w:hideMark/>
          </w:tcPr>
          <w:p w14:paraId="599A65D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1323EE94" w14:textId="77777777" w:rsidTr="00FD7C19">
        <w:trPr>
          <w:trHeight w:val="214"/>
        </w:trPr>
        <w:tc>
          <w:tcPr>
            <w:tcW w:w="236" w:type="dxa"/>
            <w:tcBorders>
              <w:top w:val="nil"/>
              <w:left w:val="nil"/>
              <w:bottom w:val="nil"/>
              <w:right w:val="nil"/>
            </w:tcBorders>
            <w:shd w:val="clear" w:color="auto" w:fill="auto"/>
            <w:noWrap/>
            <w:vAlign w:val="bottom"/>
            <w:hideMark/>
          </w:tcPr>
          <w:p w14:paraId="61475CE3"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09C36C06"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2913E9D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1.01</w:t>
            </w:r>
          </w:p>
        </w:tc>
        <w:tc>
          <w:tcPr>
            <w:tcW w:w="1438" w:type="dxa"/>
            <w:tcBorders>
              <w:top w:val="nil"/>
              <w:left w:val="nil"/>
              <w:bottom w:val="nil"/>
              <w:right w:val="nil"/>
            </w:tcBorders>
            <w:shd w:val="clear" w:color="auto" w:fill="auto"/>
            <w:noWrap/>
            <w:vAlign w:val="bottom"/>
            <w:hideMark/>
          </w:tcPr>
          <w:p w14:paraId="7BFD9CE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0.10</w:t>
            </w:r>
          </w:p>
        </w:tc>
        <w:tc>
          <w:tcPr>
            <w:tcW w:w="1438" w:type="dxa"/>
            <w:tcBorders>
              <w:top w:val="nil"/>
              <w:left w:val="nil"/>
              <w:bottom w:val="nil"/>
              <w:right w:val="nil"/>
            </w:tcBorders>
            <w:shd w:val="clear" w:color="auto" w:fill="auto"/>
            <w:noWrap/>
            <w:vAlign w:val="bottom"/>
            <w:hideMark/>
          </w:tcPr>
          <w:p w14:paraId="4B799A5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499BE082"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648462DA"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Problems associated with hallucinations and delusions</w:t>
            </w:r>
          </w:p>
        </w:tc>
        <w:tc>
          <w:tcPr>
            <w:tcW w:w="1437" w:type="dxa"/>
            <w:tcBorders>
              <w:top w:val="nil"/>
              <w:left w:val="single" w:sz="4" w:space="0" w:color="auto"/>
              <w:bottom w:val="nil"/>
              <w:right w:val="nil"/>
            </w:tcBorders>
            <w:shd w:val="clear" w:color="auto" w:fill="auto"/>
            <w:noWrap/>
            <w:vAlign w:val="bottom"/>
            <w:hideMark/>
          </w:tcPr>
          <w:p w14:paraId="45D14326"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0809EF9C"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0039EF3E"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094917CF" w14:textId="77777777" w:rsidTr="00FD7C19">
        <w:trPr>
          <w:trHeight w:val="214"/>
        </w:trPr>
        <w:tc>
          <w:tcPr>
            <w:tcW w:w="236" w:type="dxa"/>
            <w:tcBorders>
              <w:top w:val="nil"/>
              <w:left w:val="nil"/>
              <w:bottom w:val="nil"/>
              <w:right w:val="nil"/>
            </w:tcBorders>
            <w:shd w:val="clear" w:color="auto" w:fill="auto"/>
            <w:noWrap/>
            <w:vAlign w:val="bottom"/>
            <w:hideMark/>
          </w:tcPr>
          <w:p w14:paraId="7C00C3E6"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446853A1"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715D11B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0.29</w:t>
            </w:r>
          </w:p>
        </w:tc>
        <w:tc>
          <w:tcPr>
            <w:tcW w:w="1438" w:type="dxa"/>
            <w:tcBorders>
              <w:top w:val="nil"/>
              <w:left w:val="nil"/>
              <w:bottom w:val="nil"/>
              <w:right w:val="nil"/>
            </w:tcBorders>
            <w:shd w:val="clear" w:color="000000" w:fill="F2F2F2"/>
            <w:noWrap/>
            <w:vAlign w:val="bottom"/>
            <w:hideMark/>
          </w:tcPr>
          <w:p w14:paraId="1A7E801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0.04</w:t>
            </w:r>
          </w:p>
        </w:tc>
        <w:tc>
          <w:tcPr>
            <w:tcW w:w="1438" w:type="dxa"/>
            <w:tcBorders>
              <w:top w:val="nil"/>
              <w:left w:val="nil"/>
              <w:bottom w:val="nil"/>
              <w:right w:val="nil"/>
            </w:tcBorders>
            <w:shd w:val="clear" w:color="000000" w:fill="F2F2F2"/>
            <w:noWrap/>
            <w:vAlign w:val="bottom"/>
            <w:hideMark/>
          </w:tcPr>
          <w:p w14:paraId="0204B2B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0A583EF1" w14:textId="77777777" w:rsidTr="00FD7C19">
        <w:trPr>
          <w:trHeight w:val="214"/>
        </w:trPr>
        <w:tc>
          <w:tcPr>
            <w:tcW w:w="236" w:type="dxa"/>
            <w:tcBorders>
              <w:top w:val="nil"/>
              <w:left w:val="nil"/>
              <w:bottom w:val="nil"/>
              <w:right w:val="nil"/>
            </w:tcBorders>
            <w:shd w:val="clear" w:color="auto" w:fill="auto"/>
            <w:noWrap/>
            <w:vAlign w:val="bottom"/>
            <w:hideMark/>
          </w:tcPr>
          <w:p w14:paraId="5423274F"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63A7DAA1"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397B345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0.59</w:t>
            </w:r>
          </w:p>
        </w:tc>
        <w:tc>
          <w:tcPr>
            <w:tcW w:w="1438" w:type="dxa"/>
            <w:tcBorders>
              <w:top w:val="nil"/>
              <w:left w:val="nil"/>
              <w:bottom w:val="nil"/>
              <w:right w:val="nil"/>
            </w:tcBorders>
            <w:shd w:val="clear" w:color="auto" w:fill="auto"/>
            <w:noWrap/>
            <w:vAlign w:val="bottom"/>
            <w:hideMark/>
          </w:tcPr>
          <w:p w14:paraId="4693F65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0.09</w:t>
            </w:r>
          </w:p>
        </w:tc>
        <w:tc>
          <w:tcPr>
            <w:tcW w:w="1438" w:type="dxa"/>
            <w:tcBorders>
              <w:top w:val="nil"/>
              <w:left w:val="nil"/>
              <w:bottom w:val="nil"/>
              <w:right w:val="nil"/>
            </w:tcBorders>
            <w:shd w:val="clear" w:color="auto" w:fill="auto"/>
            <w:noWrap/>
            <w:vAlign w:val="bottom"/>
            <w:hideMark/>
          </w:tcPr>
          <w:p w14:paraId="355EA12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3436FB83"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76734FC1"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Problems with depressed mood</w:t>
            </w:r>
          </w:p>
        </w:tc>
        <w:tc>
          <w:tcPr>
            <w:tcW w:w="1437" w:type="dxa"/>
            <w:tcBorders>
              <w:top w:val="nil"/>
              <w:left w:val="single" w:sz="4" w:space="0" w:color="auto"/>
              <w:bottom w:val="nil"/>
              <w:right w:val="nil"/>
            </w:tcBorders>
            <w:shd w:val="clear" w:color="auto" w:fill="auto"/>
            <w:noWrap/>
            <w:vAlign w:val="bottom"/>
            <w:hideMark/>
          </w:tcPr>
          <w:p w14:paraId="40C7A5C2"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462EED0D"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1148E2F1"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589DCDE9" w14:textId="77777777" w:rsidTr="00FD7C19">
        <w:trPr>
          <w:trHeight w:val="214"/>
        </w:trPr>
        <w:tc>
          <w:tcPr>
            <w:tcW w:w="236" w:type="dxa"/>
            <w:tcBorders>
              <w:top w:val="nil"/>
              <w:left w:val="nil"/>
              <w:bottom w:val="nil"/>
              <w:right w:val="nil"/>
            </w:tcBorders>
            <w:shd w:val="clear" w:color="auto" w:fill="auto"/>
            <w:noWrap/>
            <w:vAlign w:val="bottom"/>
            <w:hideMark/>
          </w:tcPr>
          <w:p w14:paraId="3C5BA0C3"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22334051"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2337375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0.78</w:t>
            </w:r>
          </w:p>
        </w:tc>
        <w:tc>
          <w:tcPr>
            <w:tcW w:w="1438" w:type="dxa"/>
            <w:tcBorders>
              <w:top w:val="nil"/>
              <w:left w:val="nil"/>
              <w:bottom w:val="nil"/>
              <w:right w:val="nil"/>
            </w:tcBorders>
            <w:shd w:val="clear" w:color="000000" w:fill="F2F2F2"/>
            <w:noWrap/>
            <w:vAlign w:val="bottom"/>
            <w:hideMark/>
          </w:tcPr>
          <w:p w14:paraId="18531598"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0.03</w:t>
            </w:r>
          </w:p>
        </w:tc>
        <w:tc>
          <w:tcPr>
            <w:tcW w:w="1438" w:type="dxa"/>
            <w:tcBorders>
              <w:top w:val="nil"/>
              <w:left w:val="nil"/>
              <w:bottom w:val="nil"/>
              <w:right w:val="nil"/>
            </w:tcBorders>
            <w:shd w:val="clear" w:color="000000" w:fill="F2F2F2"/>
            <w:noWrap/>
            <w:vAlign w:val="bottom"/>
            <w:hideMark/>
          </w:tcPr>
          <w:p w14:paraId="46702DE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548F8552" w14:textId="77777777" w:rsidTr="00FD7C19">
        <w:trPr>
          <w:trHeight w:val="214"/>
        </w:trPr>
        <w:tc>
          <w:tcPr>
            <w:tcW w:w="236" w:type="dxa"/>
            <w:tcBorders>
              <w:top w:val="nil"/>
              <w:left w:val="nil"/>
              <w:bottom w:val="nil"/>
              <w:right w:val="nil"/>
            </w:tcBorders>
            <w:shd w:val="clear" w:color="auto" w:fill="auto"/>
            <w:noWrap/>
            <w:vAlign w:val="bottom"/>
            <w:hideMark/>
          </w:tcPr>
          <w:p w14:paraId="38F13910"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1926F75A"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06EBF7B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1.59</w:t>
            </w:r>
          </w:p>
        </w:tc>
        <w:tc>
          <w:tcPr>
            <w:tcW w:w="1438" w:type="dxa"/>
            <w:tcBorders>
              <w:top w:val="nil"/>
              <w:left w:val="nil"/>
              <w:bottom w:val="nil"/>
              <w:right w:val="nil"/>
            </w:tcBorders>
            <w:shd w:val="clear" w:color="auto" w:fill="auto"/>
            <w:noWrap/>
            <w:vAlign w:val="bottom"/>
            <w:hideMark/>
          </w:tcPr>
          <w:p w14:paraId="2589D310"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0.09</w:t>
            </w:r>
          </w:p>
        </w:tc>
        <w:tc>
          <w:tcPr>
            <w:tcW w:w="1438" w:type="dxa"/>
            <w:tcBorders>
              <w:top w:val="nil"/>
              <w:left w:val="nil"/>
              <w:bottom w:val="nil"/>
              <w:right w:val="nil"/>
            </w:tcBorders>
            <w:shd w:val="clear" w:color="auto" w:fill="auto"/>
            <w:noWrap/>
            <w:vAlign w:val="bottom"/>
            <w:hideMark/>
          </w:tcPr>
          <w:p w14:paraId="3372C22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51BCB355"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20FA803F"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Other mental and behavioural problems</w:t>
            </w:r>
          </w:p>
        </w:tc>
        <w:tc>
          <w:tcPr>
            <w:tcW w:w="1437" w:type="dxa"/>
            <w:tcBorders>
              <w:top w:val="nil"/>
              <w:left w:val="single" w:sz="4" w:space="0" w:color="auto"/>
              <w:bottom w:val="nil"/>
              <w:right w:val="nil"/>
            </w:tcBorders>
            <w:shd w:val="clear" w:color="auto" w:fill="auto"/>
            <w:noWrap/>
            <w:vAlign w:val="bottom"/>
            <w:hideMark/>
          </w:tcPr>
          <w:p w14:paraId="4516A21D"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10561957"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5216DA2C"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32C0D7D3" w14:textId="77777777" w:rsidTr="00FD7C19">
        <w:trPr>
          <w:trHeight w:val="214"/>
        </w:trPr>
        <w:tc>
          <w:tcPr>
            <w:tcW w:w="236" w:type="dxa"/>
            <w:tcBorders>
              <w:top w:val="nil"/>
              <w:left w:val="nil"/>
              <w:bottom w:val="nil"/>
              <w:right w:val="nil"/>
            </w:tcBorders>
            <w:shd w:val="clear" w:color="auto" w:fill="auto"/>
            <w:noWrap/>
            <w:vAlign w:val="bottom"/>
            <w:hideMark/>
          </w:tcPr>
          <w:p w14:paraId="4F38AC8E"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4C4093E9"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647720B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0.81</w:t>
            </w:r>
          </w:p>
        </w:tc>
        <w:tc>
          <w:tcPr>
            <w:tcW w:w="1438" w:type="dxa"/>
            <w:tcBorders>
              <w:top w:val="nil"/>
              <w:left w:val="nil"/>
              <w:bottom w:val="nil"/>
              <w:right w:val="nil"/>
            </w:tcBorders>
            <w:shd w:val="clear" w:color="000000" w:fill="F2F2F2"/>
            <w:noWrap/>
            <w:vAlign w:val="bottom"/>
            <w:hideMark/>
          </w:tcPr>
          <w:p w14:paraId="492E185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0.03</w:t>
            </w:r>
          </w:p>
        </w:tc>
        <w:tc>
          <w:tcPr>
            <w:tcW w:w="1438" w:type="dxa"/>
            <w:tcBorders>
              <w:top w:val="nil"/>
              <w:left w:val="nil"/>
              <w:bottom w:val="nil"/>
              <w:right w:val="nil"/>
            </w:tcBorders>
            <w:shd w:val="clear" w:color="000000" w:fill="F2F2F2"/>
            <w:noWrap/>
            <w:vAlign w:val="bottom"/>
            <w:hideMark/>
          </w:tcPr>
          <w:p w14:paraId="0868ACFB"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69D12BC3" w14:textId="77777777" w:rsidTr="00FD7C19">
        <w:trPr>
          <w:trHeight w:val="214"/>
        </w:trPr>
        <w:tc>
          <w:tcPr>
            <w:tcW w:w="236" w:type="dxa"/>
            <w:tcBorders>
              <w:top w:val="nil"/>
              <w:left w:val="nil"/>
              <w:bottom w:val="nil"/>
              <w:right w:val="nil"/>
            </w:tcBorders>
            <w:shd w:val="clear" w:color="auto" w:fill="auto"/>
            <w:noWrap/>
            <w:vAlign w:val="bottom"/>
            <w:hideMark/>
          </w:tcPr>
          <w:p w14:paraId="2B248DCC"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3460A446"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7A8AF11C"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1.87</w:t>
            </w:r>
          </w:p>
        </w:tc>
        <w:tc>
          <w:tcPr>
            <w:tcW w:w="1438" w:type="dxa"/>
            <w:tcBorders>
              <w:top w:val="nil"/>
              <w:left w:val="nil"/>
              <w:bottom w:val="nil"/>
              <w:right w:val="nil"/>
            </w:tcBorders>
            <w:shd w:val="clear" w:color="auto" w:fill="auto"/>
            <w:noWrap/>
            <w:vAlign w:val="bottom"/>
            <w:hideMark/>
          </w:tcPr>
          <w:p w14:paraId="3F50BDA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0.10</w:t>
            </w:r>
          </w:p>
        </w:tc>
        <w:tc>
          <w:tcPr>
            <w:tcW w:w="1438" w:type="dxa"/>
            <w:tcBorders>
              <w:top w:val="nil"/>
              <w:left w:val="nil"/>
              <w:bottom w:val="nil"/>
              <w:right w:val="nil"/>
            </w:tcBorders>
            <w:shd w:val="clear" w:color="auto" w:fill="auto"/>
            <w:noWrap/>
            <w:vAlign w:val="bottom"/>
            <w:hideMark/>
          </w:tcPr>
          <w:p w14:paraId="17887A86"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4835F70D"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1888C3D0"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Problems with relationships:</w:t>
            </w:r>
          </w:p>
        </w:tc>
        <w:tc>
          <w:tcPr>
            <w:tcW w:w="1437" w:type="dxa"/>
            <w:tcBorders>
              <w:top w:val="nil"/>
              <w:left w:val="single" w:sz="4" w:space="0" w:color="auto"/>
              <w:bottom w:val="nil"/>
              <w:right w:val="nil"/>
            </w:tcBorders>
            <w:shd w:val="clear" w:color="auto" w:fill="auto"/>
            <w:noWrap/>
            <w:vAlign w:val="bottom"/>
            <w:hideMark/>
          </w:tcPr>
          <w:p w14:paraId="51CCD296"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39B79E08"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54367511"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79C34C78" w14:textId="77777777" w:rsidTr="00FD7C19">
        <w:trPr>
          <w:trHeight w:val="214"/>
        </w:trPr>
        <w:tc>
          <w:tcPr>
            <w:tcW w:w="236" w:type="dxa"/>
            <w:tcBorders>
              <w:top w:val="nil"/>
              <w:left w:val="nil"/>
              <w:bottom w:val="nil"/>
              <w:right w:val="nil"/>
            </w:tcBorders>
            <w:shd w:val="clear" w:color="auto" w:fill="auto"/>
            <w:noWrap/>
            <w:vAlign w:val="bottom"/>
            <w:hideMark/>
          </w:tcPr>
          <w:p w14:paraId="59537A73"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728D679D"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35CCEA12"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0.61</w:t>
            </w:r>
          </w:p>
        </w:tc>
        <w:tc>
          <w:tcPr>
            <w:tcW w:w="1438" w:type="dxa"/>
            <w:tcBorders>
              <w:top w:val="nil"/>
              <w:left w:val="nil"/>
              <w:bottom w:val="nil"/>
              <w:right w:val="nil"/>
            </w:tcBorders>
            <w:shd w:val="clear" w:color="000000" w:fill="F2F2F2"/>
            <w:noWrap/>
            <w:vAlign w:val="bottom"/>
            <w:hideMark/>
          </w:tcPr>
          <w:p w14:paraId="113C8E1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0.04</w:t>
            </w:r>
          </w:p>
        </w:tc>
        <w:tc>
          <w:tcPr>
            <w:tcW w:w="1438" w:type="dxa"/>
            <w:tcBorders>
              <w:top w:val="nil"/>
              <w:left w:val="nil"/>
              <w:bottom w:val="nil"/>
              <w:right w:val="nil"/>
            </w:tcBorders>
            <w:shd w:val="clear" w:color="000000" w:fill="F2F2F2"/>
            <w:noWrap/>
            <w:vAlign w:val="bottom"/>
            <w:hideMark/>
          </w:tcPr>
          <w:p w14:paraId="5B23716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3A87903D" w14:textId="77777777" w:rsidTr="00FD7C19">
        <w:trPr>
          <w:trHeight w:val="214"/>
        </w:trPr>
        <w:tc>
          <w:tcPr>
            <w:tcW w:w="236" w:type="dxa"/>
            <w:tcBorders>
              <w:top w:val="nil"/>
              <w:left w:val="nil"/>
              <w:bottom w:val="nil"/>
              <w:right w:val="nil"/>
            </w:tcBorders>
            <w:shd w:val="clear" w:color="auto" w:fill="auto"/>
            <w:noWrap/>
            <w:vAlign w:val="bottom"/>
            <w:hideMark/>
          </w:tcPr>
          <w:p w14:paraId="54598AAF"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0A2A356B"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104FF52F"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1.19</w:t>
            </w:r>
          </w:p>
        </w:tc>
        <w:tc>
          <w:tcPr>
            <w:tcW w:w="1438" w:type="dxa"/>
            <w:tcBorders>
              <w:top w:val="nil"/>
              <w:left w:val="nil"/>
              <w:bottom w:val="nil"/>
              <w:right w:val="nil"/>
            </w:tcBorders>
            <w:shd w:val="clear" w:color="auto" w:fill="auto"/>
            <w:noWrap/>
            <w:vAlign w:val="bottom"/>
            <w:hideMark/>
          </w:tcPr>
          <w:p w14:paraId="667DBF1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0.12</w:t>
            </w:r>
          </w:p>
        </w:tc>
        <w:tc>
          <w:tcPr>
            <w:tcW w:w="1438" w:type="dxa"/>
            <w:tcBorders>
              <w:top w:val="nil"/>
              <w:left w:val="nil"/>
              <w:bottom w:val="nil"/>
              <w:right w:val="nil"/>
            </w:tcBorders>
            <w:shd w:val="clear" w:color="auto" w:fill="auto"/>
            <w:noWrap/>
            <w:vAlign w:val="bottom"/>
            <w:hideMark/>
          </w:tcPr>
          <w:p w14:paraId="011916A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7EA81C3C"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7DB54023"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Problems with activities of daily living</w:t>
            </w:r>
          </w:p>
        </w:tc>
        <w:tc>
          <w:tcPr>
            <w:tcW w:w="1437" w:type="dxa"/>
            <w:tcBorders>
              <w:top w:val="nil"/>
              <w:left w:val="single" w:sz="4" w:space="0" w:color="auto"/>
              <w:bottom w:val="nil"/>
              <w:right w:val="nil"/>
            </w:tcBorders>
            <w:shd w:val="clear" w:color="auto" w:fill="auto"/>
            <w:noWrap/>
            <w:vAlign w:val="bottom"/>
            <w:hideMark/>
          </w:tcPr>
          <w:p w14:paraId="2D6A6B10"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669A1176"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3F9CD51A"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2008D6E8" w14:textId="77777777" w:rsidTr="00FD7C19">
        <w:trPr>
          <w:trHeight w:val="214"/>
        </w:trPr>
        <w:tc>
          <w:tcPr>
            <w:tcW w:w="236" w:type="dxa"/>
            <w:tcBorders>
              <w:top w:val="nil"/>
              <w:left w:val="nil"/>
              <w:bottom w:val="nil"/>
              <w:right w:val="nil"/>
            </w:tcBorders>
            <w:shd w:val="clear" w:color="auto" w:fill="auto"/>
            <w:noWrap/>
            <w:vAlign w:val="bottom"/>
            <w:hideMark/>
          </w:tcPr>
          <w:p w14:paraId="1250292E"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28487519"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7EC0FA13"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0.55</w:t>
            </w:r>
          </w:p>
        </w:tc>
        <w:tc>
          <w:tcPr>
            <w:tcW w:w="1438" w:type="dxa"/>
            <w:tcBorders>
              <w:top w:val="nil"/>
              <w:left w:val="nil"/>
              <w:bottom w:val="nil"/>
              <w:right w:val="nil"/>
            </w:tcBorders>
            <w:shd w:val="clear" w:color="000000" w:fill="F2F2F2"/>
            <w:noWrap/>
            <w:vAlign w:val="bottom"/>
            <w:hideMark/>
          </w:tcPr>
          <w:p w14:paraId="4C469B5F"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0.05</w:t>
            </w:r>
          </w:p>
        </w:tc>
        <w:tc>
          <w:tcPr>
            <w:tcW w:w="1438" w:type="dxa"/>
            <w:tcBorders>
              <w:top w:val="nil"/>
              <w:left w:val="nil"/>
              <w:bottom w:val="nil"/>
              <w:right w:val="nil"/>
            </w:tcBorders>
            <w:shd w:val="clear" w:color="000000" w:fill="F2F2F2"/>
            <w:noWrap/>
            <w:vAlign w:val="bottom"/>
            <w:hideMark/>
          </w:tcPr>
          <w:p w14:paraId="4BC357B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171953C9" w14:textId="77777777" w:rsidTr="00FD7C19">
        <w:trPr>
          <w:trHeight w:val="214"/>
        </w:trPr>
        <w:tc>
          <w:tcPr>
            <w:tcW w:w="236" w:type="dxa"/>
            <w:tcBorders>
              <w:top w:val="nil"/>
              <w:left w:val="nil"/>
              <w:bottom w:val="nil"/>
              <w:right w:val="nil"/>
            </w:tcBorders>
            <w:shd w:val="clear" w:color="auto" w:fill="auto"/>
            <w:noWrap/>
            <w:vAlign w:val="bottom"/>
            <w:hideMark/>
          </w:tcPr>
          <w:p w14:paraId="0E294A71"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61198174"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2A88260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1.07</w:t>
            </w:r>
          </w:p>
        </w:tc>
        <w:tc>
          <w:tcPr>
            <w:tcW w:w="1438" w:type="dxa"/>
            <w:tcBorders>
              <w:top w:val="nil"/>
              <w:left w:val="nil"/>
              <w:bottom w:val="nil"/>
              <w:right w:val="nil"/>
            </w:tcBorders>
            <w:shd w:val="clear" w:color="auto" w:fill="auto"/>
            <w:noWrap/>
            <w:vAlign w:val="bottom"/>
            <w:hideMark/>
          </w:tcPr>
          <w:p w14:paraId="4427505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0.12</w:t>
            </w:r>
          </w:p>
        </w:tc>
        <w:tc>
          <w:tcPr>
            <w:tcW w:w="1438" w:type="dxa"/>
            <w:tcBorders>
              <w:top w:val="nil"/>
              <w:left w:val="nil"/>
              <w:bottom w:val="nil"/>
              <w:right w:val="nil"/>
            </w:tcBorders>
            <w:shd w:val="clear" w:color="auto" w:fill="auto"/>
            <w:noWrap/>
            <w:vAlign w:val="bottom"/>
            <w:hideMark/>
          </w:tcPr>
          <w:p w14:paraId="334271E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261D731B"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41B012D2"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Problems with living conditions</w:t>
            </w:r>
          </w:p>
        </w:tc>
        <w:tc>
          <w:tcPr>
            <w:tcW w:w="1437" w:type="dxa"/>
            <w:tcBorders>
              <w:top w:val="nil"/>
              <w:left w:val="single" w:sz="4" w:space="0" w:color="auto"/>
              <w:bottom w:val="nil"/>
              <w:right w:val="nil"/>
            </w:tcBorders>
            <w:shd w:val="clear" w:color="auto" w:fill="auto"/>
            <w:noWrap/>
            <w:vAlign w:val="bottom"/>
            <w:hideMark/>
          </w:tcPr>
          <w:p w14:paraId="1ACEE319"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0DEB03A3"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0BF7379F"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05D7B102" w14:textId="77777777" w:rsidTr="00FD7C19">
        <w:trPr>
          <w:trHeight w:val="214"/>
        </w:trPr>
        <w:tc>
          <w:tcPr>
            <w:tcW w:w="236" w:type="dxa"/>
            <w:tcBorders>
              <w:top w:val="nil"/>
              <w:left w:val="nil"/>
              <w:bottom w:val="nil"/>
              <w:right w:val="nil"/>
            </w:tcBorders>
            <w:shd w:val="clear" w:color="auto" w:fill="auto"/>
            <w:noWrap/>
            <w:vAlign w:val="bottom"/>
            <w:hideMark/>
          </w:tcPr>
          <w:p w14:paraId="52D589F4"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651A49DA"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3C9025D5"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0.27</w:t>
            </w:r>
          </w:p>
        </w:tc>
        <w:tc>
          <w:tcPr>
            <w:tcW w:w="1438" w:type="dxa"/>
            <w:tcBorders>
              <w:top w:val="nil"/>
              <w:left w:val="nil"/>
              <w:bottom w:val="nil"/>
              <w:right w:val="nil"/>
            </w:tcBorders>
            <w:shd w:val="clear" w:color="000000" w:fill="F2F2F2"/>
            <w:noWrap/>
            <w:vAlign w:val="bottom"/>
            <w:hideMark/>
          </w:tcPr>
          <w:p w14:paraId="01083CF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0.04</w:t>
            </w:r>
          </w:p>
        </w:tc>
        <w:tc>
          <w:tcPr>
            <w:tcW w:w="1438" w:type="dxa"/>
            <w:tcBorders>
              <w:top w:val="nil"/>
              <w:left w:val="nil"/>
              <w:bottom w:val="nil"/>
              <w:right w:val="nil"/>
            </w:tcBorders>
            <w:shd w:val="clear" w:color="000000" w:fill="F2F2F2"/>
            <w:noWrap/>
            <w:vAlign w:val="bottom"/>
            <w:hideMark/>
          </w:tcPr>
          <w:p w14:paraId="34178861"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5F0F0D8F" w14:textId="77777777" w:rsidTr="00FD7C19">
        <w:trPr>
          <w:trHeight w:val="214"/>
        </w:trPr>
        <w:tc>
          <w:tcPr>
            <w:tcW w:w="236" w:type="dxa"/>
            <w:tcBorders>
              <w:top w:val="nil"/>
              <w:left w:val="nil"/>
              <w:bottom w:val="nil"/>
              <w:right w:val="nil"/>
            </w:tcBorders>
            <w:shd w:val="clear" w:color="auto" w:fill="auto"/>
            <w:noWrap/>
            <w:vAlign w:val="bottom"/>
            <w:hideMark/>
          </w:tcPr>
          <w:p w14:paraId="3EAE4872"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3F1E0DC6"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7F034AA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0.49</w:t>
            </w:r>
          </w:p>
        </w:tc>
        <w:tc>
          <w:tcPr>
            <w:tcW w:w="1438" w:type="dxa"/>
            <w:tcBorders>
              <w:top w:val="nil"/>
              <w:left w:val="nil"/>
              <w:bottom w:val="nil"/>
              <w:right w:val="nil"/>
            </w:tcBorders>
            <w:shd w:val="clear" w:color="auto" w:fill="auto"/>
            <w:noWrap/>
            <w:vAlign w:val="bottom"/>
            <w:hideMark/>
          </w:tcPr>
          <w:p w14:paraId="3C54E8A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0.08</w:t>
            </w:r>
          </w:p>
        </w:tc>
        <w:tc>
          <w:tcPr>
            <w:tcW w:w="1438" w:type="dxa"/>
            <w:tcBorders>
              <w:top w:val="nil"/>
              <w:left w:val="nil"/>
              <w:bottom w:val="nil"/>
              <w:right w:val="nil"/>
            </w:tcBorders>
            <w:shd w:val="clear" w:color="auto" w:fill="auto"/>
            <w:noWrap/>
            <w:vAlign w:val="bottom"/>
            <w:hideMark/>
          </w:tcPr>
          <w:p w14:paraId="206F0B3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5652D033" w14:textId="77777777" w:rsidTr="00FD7C19">
        <w:trPr>
          <w:trHeight w:val="214"/>
        </w:trPr>
        <w:tc>
          <w:tcPr>
            <w:tcW w:w="4398" w:type="dxa"/>
            <w:gridSpan w:val="2"/>
            <w:tcBorders>
              <w:top w:val="nil"/>
              <w:left w:val="nil"/>
              <w:bottom w:val="nil"/>
              <w:right w:val="nil"/>
            </w:tcBorders>
            <w:shd w:val="clear" w:color="auto" w:fill="auto"/>
            <w:noWrap/>
            <w:vAlign w:val="bottom"/>
            <w:hideMark/>
          </w:tcPr>
          <w:p w14:paraId="5F87FE17"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Problems with occupation and activities</w:t>
            </w:r>
          </w:p>
        </w:tc>
        <w:tc>
          <w:tcPr>
            <w:tcW w:w="1437" w:type="dxa"/>
            <w:tcBorders>
              <w:top w:val="nil"/>
              <w:left w:val="single" w:sz="4" w:space="0" w:color="auto"/>
              <w:bottom w:val="nil"/>
              <w:right w:val="nil"/>
            </w:tcBorders>
            <w:shd w:val="clear" w:color="auto" w:fill="auto"/>
            <w:noWrap/>
            <w:vAlign w:val="bottom"/>
            <w:hideMark/>
          </w:tcPr>
          <w:p w14:paraId="7F2B9BB5"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nil"/>
              <w:right w:val="nil"/>
            </w:tcBorders>
            <w:shd w:val="clear" w:color="auto" w:fill="auto"/>
            <w:noWrap/>
            <w:vAlign w:val="bottom"/>
            <w:hideMark/>
          </w:tcPr>
          <w:p w14:paraId="47016969" w14:textId="77777777" w:rsidR="00CE566D" w:rsidRPr="005C090E" w:rsidRDefault="00CE566D" w:rsidP="00CE566D">
            <w:pPr>
              <w:spacing w:after="0" w:line="240" w:lineRule="auto"/>
              <w:jc w:val="left"/>
              <w:rPr>
                <w:rFonts w:eastAsia="Times New Roman"/>
                <w:sz w:val="16"/>
                <w:szCs w:val="16"/>
                <w:lang w:eastAsia="en-GB"/>
              </w:rPr>
            </w:pPr>
          </w:p>
        </w:tc>
        <w:tc>
          <w:tcPr>
            <w:tcW w:w="1438" w:type="dxa"/>
            <w:tcBorders>
              <w:top w:val="nil"/>
              <w:left w:val="nil"/>
              <w:bottom w:val="nil"/>
              <w:right w:val="nil"/>
            </w:tcBorders>
            <w:shd w:val="clear" w:color="auto" w:fill="auto"/>
            <w:noWrap/>
            <w:vAlign w:val="bottom"/>
            <w:hideMark/>
          </w:tcPr>
          <w:p w14:paraId="1C35C853" w14:textId="77777777" w:rsidR="00CE566D" w:rsidRPr="005C090E" w:rsidRDefault="00CE566D" w:rsidP="00CE566D">
            <w:pPr>
              <w:spacing w:after="0" w:line="240" w:lineRule="auto"/>
              <w:jc w:val="left"/>
              <w:rPr>
                <w:rFonts w:eastAsia="Times New Roman"/>
                <w:sz w:val="16"/>
                <w:szCs w:val="16"/>
                <w:lang w:eastAsia="en-GB"/>
              </w:rPr>
            </w:pPr>
          </w:p>
        </w:tc>
      </w:tr>
      <w:tr w:rsidR="00CE566D" w:rsidRPr="005C090E" w14:paraId="49F28464" w14:textId="77777777" w:rsidTr="00FD7C19">
        <w:trPr>
          <w:trHeight w:val="214"/>
        </w:trPr>
        <w:tc>
          <w:tcPr>
            <w:tcW w:w="236" w:type="dxa"/>
            <w:tcBorders>
              <w:top w:val="nil"/>
              <w:left w:val="nil"/>
              <w:bottom w:val="nil"/>
              <w:right w:val="nil"/>
            </w:tcBorders>
            <w:shd w:val="clear" w:color="auto" w:fill="auto"/>
            <w:noWrap/>
            <w:vAlign w:val="bottom"/>
            <w:hideMark/>
          </w:tcPr>
          <w:p w14:paraId="420A0945"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1612869E"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Any problems</w:t>
            </w:r>
          </w:p>
        </w:tc>
        <w:tc>
          <w:tcPr>
            <w:tcW w:w="1437" w:type="dxa"/>
            <w:tcBorders>
              <w:top w:val="nil"/>
              <w:left w:val="single" w:sz="4" w:space="0" w:color="auto"/>
              <w:bottom w:val="nil"/>
              <w:right w:val="nil"/>
            </w:tcBorders>
            <w:shd w:val="clear" w:color="000000" w:fill="F2F2F2"/>
            <w:noWrap/>
            <w:vAlign w:val="bottom"/>
            <w:hideMark/>
          </w:tcPr>
          <w:p w14:paraId="5FC31A1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0.53</w:t>
            </w:r>
          </w:p>
        </w:tc>
        <w:tc>
          <w:tcPr>
            <w:tcW w:w="1438" w:type="dxa"/>
            <w:tcBorders>
              <w:top w:val="nil"/>
              <w:left w:val="nil"/>
              <w:bottom w:val="nil"/>
              <w:right w:val="nil"/>
            </w:tcBorders>
            <w:shd w:val="clear" w:color="000000" w:fill="F2F2F2"/>
            <w:noWrap/>
            <w:vAlign w:val="bottom"/>
            <w:hideMark/>
          </w:tcPr>
          <w:p w14:paraId="5ACDA5A6"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0.05</w:t>
            </w:r>
          </w:p>
        </w:tc>
        <w:tc>
          <w:tcPr>
            <w:tcW w:w="1438" w:type="dxa"/>
            <w:tcBorders>
              <w:top w:val="nil"/>
              <w:left w:val="nil"/>
              <w:bottom w:val="nil"/>
              <w:right w:val="nil"/>
            </w:tcBorders>
            <w:shd w:val="clear" w:color="000000" w:fill="F2F2F2"/>
            <w:noWrap/>
            <w:vAlign w:val="bottom"/>
            <w:hideMark/>
          </w:tcPr>
          <w:p w14:paraId="1E58A65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6F9B675C" w14:textId="77777777" w:rsidTr="00FD7C19">
        <w:trPr>
          <w:trHeight w:val="214"/>
        </w:trPr>
        <w:tc>
          <w:tcPr>
            <w:tcW w:w="236" w:type="dxa"/>
            <w:tcBorders>
              <w:top w:val="nil"/>
              <w:left w:val="nil"/>
              <w:bottom w:val="nil"/>
              <w:right w:val="nil"/>
            </w:tcBorders>
            <w:shd w:val="clear" w:color="auto" w:fill="auto"/>
            <w:noWrap/>
            <w:vAlign w:val="bottom"/>
            <w:hideMark/>
          </w:tcPr>
          <w:p w14:paraId="77CDC4EB"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2C086E59"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w:t>
            </w:r>
          </w:p>
        </w:tc>
        <w:tc>
          <w:tcPr>
            <w:tcW w:w="1437" w:type="dxa"/>
            <w:tcBorders>
              <w:top w:val="nil"/>
              <w:left w:val="single" w:sz="4" w:space="0" w:color="auto"/>
              <w:bottom w:val="nil"/>
              <w:right w:val="nil"/>
            </w:tcBorders>
            <w:shd w:val="clear" w:color="auto" w:fill="auto"/>
            <w:noWrap/>
            <w:vAlign w:val="bottom"/>
            <w:hideMark/>
          </w:tcPr>
          <w:p w14:paraId="5A7E134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1.01</w:t>
            </w:r>
          </w:p>
        </w:tc>
        <w:tc>
          <w:tcPr>
            <w:tcW w:w="1438" w:type="dxa"/>
            <w:tcBorders>
              <w:top w:val="nil"/>
              <w:left w:val="nil"/>
              <w:bottom w:val="nil"/>
              <w:right w:val="nil"/>
            </w:tcBorders>
            <w:shd w:val="clear" w:color="auto" w:fill="auto"/>
            <w:noWrap/>
            <w:vAlign w:val="bottom"/>
            <w:hideMark/>
          </w:tcPr>
          <w:p w14:paraId="31B6D83F"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0.12</w:t>
            </w:r>
          </w:p>
        </w:tc>
        <w:tc>
          <w:tcPr>
            <w:tcW w:w="1438" w:type="dxa"/>
            <w:tcBorders>
              <w:top w:val="nil"/>
              <w:left w:val="nil"/>
              <w:bottom w:val="nil"/>
              <w:right w:val="nil"/>
            </w:tcBorders>
            <w:shd w:val="clear" w:color="auto" w:fill="auto"/>
            <w:noWrap/>
            <w:vAlign w:val="bottom"/>
            <w:hideMark/>
          </w:tcPr>
          <w:p w14:paraId="4E92C4F9"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68BC013E" w14:textId="77777777" w:rsidTr="00FD7C19">
        <w:trPr>
          <w:trHeight w:val="214"/>
        </w:trPr>
        <w:tc>
          <w:tcPr>
            <w:tcW w:w="4398" w:type="dxa"/>
            <w:gridSpan w:val="2"/>
            <w:tcBorders>
              <w:top w:val="nil"/>
              <w:left w:val="nil"/>
              <w:bottom w:val="single" w:sz="4" w:space="0" w:color="auto"/>
              <w:right w:val="nil"/>
            </w:tcBorders>
            <w:shd w:val="clear" w:color="auto" w:fill="auto"/>
            <w:noWrap/>
            <w:vAlign w:val="bottom"/>
            <w:hideMark/>
          </w:tcPr>
          <w:p w14:paraId="37D92BA2"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HoNOS repeated assessments (within 12 weeks)</w:t>
            </w:r>
          </w:p>
        </w:tc>
        <w:tc>
          <w:tcPr>
            <w:tcW w:w="1437" w:type="dxa"/>
            <w:tcBorders>
              <w:top w:val="nil"/>
              <w:left w:val="single" w:sz="4" w:space="0" w:color="auto"/>
              <w:bottom w:val="single" w:sz="4" w:space="0" w:color="auto"/>
              <w:right w:val="nil"/>
            </w:tcBorders>
            <w:shd w:val="clear" w:color="auto" w:fill="auto"/>
            <w:noWrap/>
            <w:vAlign w:val="bottom"/>
            <w:hideMark/>
          </w:tcPr>
          <w:p w14:paraId="216BBF65"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3D9A3B7E"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c>
          <w:tcPr>
            <w:tcW w:w="1438" w:type="dxa"/>
            <w:tcBorders>
              <w:top w:val="nil"/>
              <w:left w:val="nil"/>
              <w:bottom w:val="single" w:sz="4" w:space="0" w:color="auto"/>
              <w:right w:val="nil"/>
            </w:tcBorders>
            <w:shd w:val="clear" w:color="auto" w:fill="auto"/>
            <w:noWrap/>
            <w:vAlign w:val="bottom"/>
            <w:hideMark/>
          </w:tcPr>
          <w:p w14:paraId="60E91448" w14:textId="77777777" w:rsidR="00CE566D" w:rsidRPr="005C090E" w:rsidRDefault="00CE566D" w:rsidP="00CE566D">
            <w:pPr>
              <w:spacing w:after="0" w:line="240" w:lineRule="auto"/>
              <w:jc w:val="left"/>
              <w:rPr>
                <w:rFonts w:eastAsia="Times New Roman"/>
                <w:sz w:val="16"/>
                <w:szCs w:val="16"/>
                <w:lang w:eastAsia="en-GB"/>
              </w:rPr>
            </w:pPr>
            <w:r w:rsidRPr="005C090E">
              <w:rPr>
                <w:rFonts w:eastAsia="Times New Roman"/>
                <w:sz w:val="16"/>
                <w:szCs w:val="16"/>
                <w:lang w:eastAsia="en-GB"/>
              </w:rPr>
              <w:t> </w:t>
            </w:r>
          </w:p>
        </w:tc>
      </w:tr>
      <w:tr w:rsidR="00CE566D" w:rsidRPr="005C090E" w14:paraId="5477D433" w14:textId="77777777" w:rsidTr="00FD7C19">
        <w:trPr>
          <w:trHeight w:val="214"/>
        </w:trPr>
        <w:tc>
          <w:tcPr>
            <w:tcW w:w="236" w:type="dxa"/>
            <w:tcBorders>
              <w:top w:val="nil"/>
              <w:left w:val="nil"/>
              <w:bottom w:val="nil"/>
              <w:right w:val="nil"/>
            </w:tcBorders>
            <w:shd w:val="clear" w:color="auto" w:fill="auto"/>
            <w:noWrap/>
            <w:vAlign w:val="bottom"/>
            <w:hideMark/>
          </w:tcPr>
          <w:p w14:paraId="0F88A7BB" w14:textId="77777777" w:rsidR="00CE566D" w:rsidRPr="005C090E" w:rsidRDefault="00CE566D" w:rsidP="00CE566D">
            <w:pPr>
              <w:spacing w:after="0" w:line="240" w:lineRule="auto"/>
              <w:jc w:val="lef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08975C3F"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Mean score change</w:t>
            </w:r>
          </w:p>
        </w:tc>
        <w:tc>
          <w:tcPr>
            <w:tcW w:w="1437" w:type="dxa"/>
            <w:tcBorders>
              <w:top w:val="nil"/>
              <w:left w:val="single" w:sz="4" w:space="0" w:color="auto"/>
              <w:bottom w:val="nil"/>
              <w:right w:val="nil"/>
            </w:tcBorders>
            <w:shd w:val="clear" w:color="000000" w:fill="F2F2F2"/>
            <w:noWrap/>
            <w:vAlign w:val="bottom"/>
            <w:hideMark/>
          </w:tcPr>
          <w:p w14:paraId="31BA8FEA"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-1.34</w:t>
            </w:r>
          </w:p>
        </w:tc>
        <w:tc>
          <w:tcPr>
            <w:tcW w:w="1438" w:type="dxa"/>
            <w:tcBorders>
              <w:top w:val="nil"/>
              <w:left w:val="nil"/>
              <w:bottom w:val="nil"/>
              <w:right w:val="nil"/>
            </w:tcBorders>
            <w:shd w:val="clear" w:color="000000" w:fill="F2F2F2"/>
            <w:noWrap/>
            <w:vAlign w:val="bottom"/>
            <w:hideMark/>
          </w:tcPr>
          <w:p w14:paraId="5D2FD23B"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1.75</w:t>
            </w:r>
          </w:p>
        </w:tc>
        <w:tc>
          <w:tcPr>
            <w:tcW w:w="1438" w:type="dxa"/>
            <w:tcBorders>
              <w:top w:val="nil"/>
              <w:left w:val="nil"/>
              <w:bottom w:val="nil"/>
              <w:right w:val="nil"/>
            </w:tcBorders>
            <w:shd w:val="clear" w:color="000000" w:fill="F2F2F2"/>
            <w:noWrap/>
            <w:vAlign w:val="bottom"/>
            <w:hideMark/>
          </w:tcPr>
          <w:p w14:paraId="0EA1138D"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01CCA921" w14:textId="77777777" w:rsidTr="00FD7C19">
        <w:trPr>
          <w:trHeight w:val="214"/>
        </w:trPr>
        <w:tc>
          <w:tcPr>
            <w:tcW w:w="236" w:type="dxa"/>
            <w:tcBorders>
              <w:top w:val="nil"/>
              <w:left w:val="nil"/>
              <w:bottom w:val="nil"/>
              <w:right w:val="nil"/>
            </w:tcBorders>
            <w:shd w:val="clear" w:color="auto" w:fill="auto"/>
            <w:noWrap/>
            <w:vAlign w:val="bottom"/>
            <w:hideMark/>
          </w:tcPr>
          <w:p w14:paraId="1414896A"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auto" w:fill="auto"/>
            <w:noWrap/>
            <w:vAlign w:val="bottom"/>
            <w:hideMark/>
          </w:tcPr>
          <w:p w14:paraId="72E855A9"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 with overall deterioration</w:t>
            </w:r>
          </w:p>
        </w:tc>
        <w:tc>
          <w:tcPr>
            <w:tcW w:w="1437" w:type="dxa"/>
            <w:tcBorders>
              <w:top w:val="nil"/>
              <w:left w:val="single" w:sz="4" w:space="0" w:color="auto"/>
              <w:bottom w:val="nil"/>
              <w:right w:val="nil"/>
            </w:tcBorders>
            <w:shd w:val="clear" w:color="auto" w:fill="auto"/>
            <w:noWrap/>
            <w:vAlign w:val="bottom"/>
            <w:hideMark/>
          </w:tcPr>
          <w:p w14:paraId="562B3066"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0.35</w:t>
            </w:r>
          </w:p>
        </w:tc>
        <w:tc>
          <w:tcPr>
            <w:tcW w:w="1438" w:type="dxa"/>
            <w:tcBorders>
              <w:top w:val="nil"/>
              <w:left w:val="nil"/>
              <w:bottom w:val="nil"/>
              <w:right w:val="nil"/>
            </w:tcBorders>
            <w:shd w:val="clear" w:color="auto" w:fill="auto"/>
            <w:noWrap/>
            <w:vAlign w:val="bottom"/>
            <w:hideMark/>
          </w:tcPr>
          <w:p w14:paraId="51ECAA92"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0.13</w:t>
            </w:r>
          </w:p>
        </w:tc>
        <w:tc>
          <w:tcPr>
            <w:tcW w:w="1438" w:type="dxa"/>
            <w:tcBorders>
              <w:top w:val="nil"/>
              <w:left w:val="nil"/>
              <w:bottom w:val="nil"/>
              <w:right w:val="nil"/>
            </w:tcBorders>
            <w:shd w:val="clear" w:color="auto" w:fill="auto"/>
            <w:noWrap/>
            <w:vAlign w:val="bottom"/>
            <w:hideMark/>
          </w:tcPr>
          <w:p w14:paraId="7F5883FE"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r w:rsidR="00CE566D" w:rsidRPr="005C090E" w14:paraId="2BF777B7" w14:textId="77777777" w:rsidTr="00FD7C19">
        <w:trPr>
          <w:trHeight w:val="214"/>
        </w:trPr>
        <w:tc>
          <w:tcPr>
            <w:tcW w:w="236" w:type="dxa"/>
            <w:tcBorders>
              <w:top w:val="nil"/>
              <w:left w:val="nil"/>
              <w:bottom w:val="nil"/>
              <w:right w:val="nil"/>
            </w:tcBorders>
            <w:shd w:val="clear" w:color="auto" w:fill="auto"/>
            <w:noWrap/>
            <w:vAlign w:val="bottom"/>
            <w:hideMark/>
          </w:tcPr>
          <w:p w14:paraId="23810239" w14:textId="77777777" w:rsidR="00CE566D" w:rsidRPr="005C090E" w:rsidRDefault="00CE566D" w:rsidP="00CE566D">
            <w:pPr>
              <w:spacing w:after="0" w:line="240" w:lineRule="auto"/>
              <w:jc w:val="right"/>
              <w:rPr>
                <w:rFonts w:eastAsia="Times New Roman"/>
                <w:sz w:val="16"/>
                <w:szCs w:val="16"/>
                <w:lang w:eastAsia="en-GB"/>
              </w:rPr>
            </w:pPr>
          </w:p>
        </w:tc>
        <w:tc>
          <w:tcPr>
            <w:tcW w:w="4162" w:type="dxa"/>
            <w:tcBorders>
              <w:top w:val="nil"/>
              <w:left w:val="nil"/>
              <w:bottom w:val="nil"/>
              <w:right w:val="nil"/>
            </w:tcBorders>
            <w:shd w:val="clear" w:color="000000" w:fill="F2F2F2"/>
            <w:noWrap/>
            <w:vAlign w:val="bottom"/>
            <w:hideMark/>
          </w:tcPr>
          <w:p w14:paraId="273F1722" w14:textId="77777777" w:rsidR="00CE566D" w:rsidRPr="005C090E" w:rsidRDefault="00CE566D" w:rsidP="00CE566D">
            <w:pPr>
              <w:spacing w:after="0" w:line="240" w:lineRule="auto"/>
              <w:jc w:val="left"/>
              <w:rPr>
                <w:rFonts w:eastAsia="Times New Roman"/>
                <w:iCs/>
                <w:sz w:val="16"/>
                <w:szCs w:val="16"/>
                <w:lang w:eastAsia="en-GB"/>
              </w:rPr>
            </w:pPr>
            <w:r w:rsidRPr="005C090E">
              <w:rPr>
                <w:rFonts w:eastAsia="Times New Roman"/>
                <w:iCs/>
                <w:sz w:val="16"/>
                <w:szCs w:val="16"/>
                <w:lang w:eastAsia="en-GB"/>
              </w:rPr>
              <w:t>% with overall improvement</w:t>
            </w:r>
          </w:p>
        </w:tc>
        <w:tc>
          <w:tcPr>
            <w:tcW w:w="1437" w:type="dxa"/>
            <w:tcBorders>
              <w:top w:val="nil"/>
              <w:left w:val="single" w:sz="4" w:space="0" w:color="auto"/>
              <w:bottom w:val="nil"/>
              <w:right w:val="nil"/>
            </w:tcBorders>
            <w:shd w:val="clear" w:color="000000" w:fill="F2F2F2"/>
            <w:noWrap/>
            <w:vAlign w:val="bottom"/>
            <w:hideMark/>
          </w:tcPr>
          <w:p w14:paraId="3A673657"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0.53</w:t>
            </w:r>
          </w:p>
        </w:tc>
        <w:tc>
          <w:tcPr>
            <w:tcW w:w="1438" w:type="dxa"/>
            <w:tcBorders>
              <w:top w:val="nil"/>
              <w:left w:val="nil"/>
              <w:bottom w:val="nil"/>
              <w:right w:val="nil"/>
            </w:tcBorders>
            <w:shd w:val="clear" w:color="000000" w:fill="F2F2F2"/>
            <w:noWrap/>
            <w:vAlign w:val="bottom"/>
            <w:hideMark/>
          </w:tcPr>
          <w:p w14:paraId="249C69EB" w14:textId="77777777"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0.13</w:t>
            </w:r>
          </w:p>
        </w:tc>
        <w:tc>
          <w:tcPr>
            <w:tcW w:w="1438" w:type="dxa"/>
            <w:tcBorders>
              <w:top w:val="nil"/>
              <w:left w:val="nil"/>
              <w:bottom w:val="nil"/>
              <w:right w:val="nil"/>
            </w:tcBorders>
            <w:shd w:val="clear" w:color="000000" w:fill="F2F2F2"/>
            <w:noWrap/>
            <w:vAlign w:val="bottom"/>
            <w:hideMark/>
          </w:tcPr>
          <w:p w14:paraId="1F982CB2" w14:textId="0113F906" w:rsidR="00CE566D" w:rsidRPr="005C090E" w:rsidRDefault="00CE566D" w:rsidP="00CE566D">
            <w:pPr>
              <w:spacing w:after="0" w:line="240" w:lineRule="auto"/>
              <w:jc w:val="right"/>
              <w:rPr>
                <w:rFonts w:eastAsia="Times New Roman"/>
                <w:sz w:val="16"/>
                <w:szCs w:val="16"/>
                <w:lang w:eastAsia="en-GB"/>
              </w:rPr>
            </w:pPr>
            <w:r w:rsidRPr="005C090E">
              <w:rPr>
                <w:rFonts w:eastAsia="Times New Roman"/>
                <w:sz w:val="16"/>
                <w:szCs w:val="16"/>
                <w:lang w:eastAsia="en-GB"/>
              </w:rPr>
              <w:t>226</w:t>
            </w:r>
          </w:p>
        </w:tc>
      </w:tr>
    </w:tbl>
    <w:p w14:paraId="6E08F37D" w14:textId="77777777" w:rsidR="00E7396F" w:rsidRPr="00E7396F" w:rsidRDefault="00E7396F" w:rsidP="00682538"/>
    <w:p w14:paraId="0846B001" w14:textId="7C53FE60" w:rsidR="0070205A" w:rsidRDefault="00944CE6" w:rsidP="006C05EE">
      <w:pPr>
        <w:pStyle w:val="Heading3"/>
      </w:pPr>
      <w:r>
        <w:t xml:space="preserve">Appendix </w:t>
      </w:r>
      <w:r w:rsidR="008D4B22">
        <w:t>2</w:t>
      </w:r>
      <w:r>
        <w:t>.</w:t>
      </w:r>
      <w:r w:rsidR="008D4B22">
        <w:t>3</w:t>
      </w:r>
      <w:r>
        <w:t xml:space="preserve"> – </w:t>
      </w:r>
      <w:r w:rsidR="0070205A">
        <w:t>Health</w:t>
      </w:r>
      <w:r>
        <w:t xml:space="preserve"> </w:t>
      </w:r>
      <w:r w:rsidR="0070205A">
        <w:t>of the Nation Outcome Scales (HoNOS)</w:t>
      </w:r>
    </w:p>
    <w:p w14:paraId="74F1E9DE" w14:textId="77777777" w:rsidR="0070205A" w:rsidRDefault="0070205A" w:rsidP="00682538">
      <w:r>
        <w:t xml:space="preserve">The HoNOS sub-scales are: </w:t>
      </w:r>
    </w:p>
    <w:p w14:paraId="7FA5E188" w14:textId="77777777" w:rsidR="0070205A" w:rsidRPr="00D85F66" w:rsidRDefault="0070205A" w:rsidP="00682538">
      <w:pPr>
        <w:pStyle w:val="ListParagraph"/>
        <w:numPr>
          <w:ilvl w:val="0"/>
          <w:numId w:val="8"/>
        </w:numPr>
      </w:pPr>
      <w:r>
        <w:t>Overactive, aggressive, disruptive or agitated behaviour</w:t>
      </w:r>
    </w:p>
    <w:p w14:paraId="19CA103A" w14:textId="77777777" w:rsidR="0070205A" w:rsidRPr="00D85F66" w:rsidRDefault="0070205A" w:rsidP="00682538">
      <w:pPr>
        <w:pStyle w:val="ListParagraph"/>
        <w:numPr>
          <w:ilvl w:val="0"/>
          <w:numId w:val="8"/>
        </w:numPr>
      </w:pPr>
      <w:r>
        <w:t>Non-accidental self-injury</w:t>
      </w:r>
    </w:p>
    <w:p w14:paraId="77DD313F" w14:textId="77777777" w:rsidR="0070205A" w:rsidRPr="00D85F66" w:rsidRDefault="0070205A" w:rsidP="00682538">
      <w:pPr>
        <w:pStyle w:val="ListParagraph"/>
        <w:numPr>
          <w:ilvl w:val="0"/>
          <w:numId w:val="8"/>
        </w:numPr>
      </w:pPr>
      <w:r>
        <w:t>Problems with drinking or drug-taking</w:t>
      </w:r>
    </w:p>
    <w:p w14:paraId="7BB73638" w14:textId="77777777" w:rsidR="0070205A" w:rsidRPr="00D85F66" w:rsidRDefault="0070205A" w:rsidP="00682538">
      <w:pPr>
        <w:pStyle w:val="ListParagraph"/>
        <w:numPr>
          <w:ilvl w:val="0"/>
          <w:numId w:val="8"/>
        </w:numPr>
      </w:pPr>
      <w:r>
        <w:t>Cognitive problems</w:t>
      </w:r>
    </w:p>
    <w:p w14:paraId="3EA7F7C2" w14:textId="77777777" w:rsidR="0070205A" w:rsidRPr="00D85F66" w:rsidRDefault="0070205A" w:rsidP="00682538">
      <w:pPr>
        <w:pStyle w:val="ListParagraph"/>
        <w:numPr>
          <w:ilvl w:val="0"/>
          <w:numId w:val="8"/>
        </w:numPr>
      </w:pPr>
      <w:r>
        <w:t>Physical illness or disability</w:t>
      </w:r>
    </w:p>
    <w:p w14:paraId="4CD8993B" w14:textId="77777777" w:rsidR="0070205A" w:rsidRPr="00D85F66" w:rsidRDefault="0070205A" w:rsidP="00682538">
      <w:pPr>
        <w:pStyle w:val="ListParagraph"/>
        <w:numPr>
          <w:ilvl w:val="0"/>
          <w:numId w:val="8"/>
        </w:numPr>
      </w:pPr>
      <w:r>
        <w:t>Problems associated with hallucinations or delusions</w:t>
      </w:r>
    </w:p>
    <w:p w14:paraId="2C7B386A" w14:textId="77777777" w:rsidR="0070205A" w:rsidRPr="00D85F66" w:rsidRDefault="0070205A" w:rsidP="00682538">
      <w:pPr>
        <w:pStyle w:val="ListParagraph"/>
        <w:numPr>
          <w:ilvl w:val="0"/>
          <w:numId w:val="8"/>
        </w:numPr>
      </w:pPr>
      <w:r>
        <w:t>Problems with depressed mood</w:t>
      </w:r>
    </w:p>
    <w:p w14:paraId="0E2FF508" w14:textId="77777777" w:rsidR="0070205A" w:rsidRDefault="0070205A" w:rsidP="00682538">
      <w:pPr>
        <w:pStyle w:val="ListParagraph"/>
        <w:numPr>
          <w:ilvl w:val="0"/>
          <w:numId w:val="8"/>
        </w:numPr>
      </w:pPr>
      <w:r>
        <w:t>Other mental and behavioural problems (most commonly anxiety)</w:t>
      </w:r>
    </w:p>
    <w:p w14:paraId="60D7E20F" w14:textId="77777777" w:rsidR="0070205A" w:rsidRPr="00AA019A" w:rsidRDefault="0070205A" w:rsidP="00682538">
      <w:pPr>
        <w:pStyle w:val="ListParagraph"/>
        <w:numPr>
          <w:ilvl w:val="0"/>
          <w:numId w:val="8"/>
        </w:numPr>
      </w:pPr>
      <w:r>
        <w:t>Problems with relationships</w:t>
      </w:r>
    </w:p>
    <w:p w14:paraId="55085574" w14:textId="77777777" w:rsidR="0070205A" w:rsidRPr="00AA019A" w:rsidRDefault="0070205A" w:rsidP="00682538">
      <w:pPr>
        <w:pStyle w:val="ListParagraph"/>
        <w:numPr>
          <w:ilvl w:val="0"/>
          <w:numId w:val="8"/>
        </w:numPr>
      </w:pPr>
      <w:r>
        <w:t>Problems with activities of daily living</w:t>
      </w:r>
    </w:p>
    <w:p w14:paraId="3BC33495" w14:textId="77777777" w:rsidR="0070205A" w:rsidRPr="00AA019A" w:rsidRDefault="0070205A" w:rsidP="00682538">
      <w:pPr>
        <w:pStyle w:val="ListParagraph"/>
        <w:numPr>
          <w:ilvl w:val="0"/>
          <w:numId w:val="8"/>
        </w:numPr>
      </w:pPr>
      <w:r>
        <w:t>Problems with living conditions</w:t>
      </w:r>
    </w:p>
    <w:p w14:paraId="68052539" w14:textId="3F4872F3" w:rsidR="009609FB" w:rsidRDefault="0070205A" w:rsidP="00682538">
      <w:pPr>
        <w:pStyle w:val="ListParagraph"/>
        <w:numPr>
          <w:ilvl w:val="0"/>
          <w:numId w:val="8"/>
        </w:numPr>
      </w:pPr>
      <w:r>
        <w:t>Problems with occupations and activities</w:t>
      </w:r>
    </w:p>
    <w:p w14:paraId="3683DAB5" w14:textId="77777777" w:rsidR="009609FB" w:rsidRDefault="009609FB" w:rsidP="00682538">
      <w:pPr>
        <w:rPr>
          <w:rFonts w:asciiTheme="majorHAnsi" w:eastAsiaTheme="majorEastAsia" w:hAnsiTheme="majorHAnsi" w:cstheme="majorBidi"/>
          <w:sz w:val="26"/>
          <w:szCs w:val="26"/>
        </w:rPr>
      </w:pPr>
      <w:r>
        <w:br w:type="page"/>
      </w:r>
    </w:p>
    <w:p w14:paraId="0C35F769" w14:textId="2871F2FF" w:rsidR="009609FB" w:rsidRDefault="009609FB" w:rsidP="00682538">
      <w:pPr>
        <w:pStyle w:val="Heading2"/>
      </w:pPr>
      <w:r>
        <w:lastRenderedPageBreak/>
        <w:t>Appendix 3 - Methodology</w:t>
      </w:r>
    </w:p>
    <w:p w14:paraId="50F167A0" w14:textId="3DB90DB7" w:rsidR="00FE3601" w:rsidRDefault="001C7252" w:rsidP="006C05EE">
      <w:pPr>
        <w:pStyle w:val="Heading3"/>
      </w:pPr>
      <w:r>
        <w:t xml:space="preserve">Appendix </w:t>
      </w:r>
      <w:r w:rsidR="009609FB">
        <w:t>3</w:t>
      </w:r>
      <w:r>
        <w:t>.</w:t>
      </w:r>
      <w:r w:rsidR="009609FB">
        <w:t>1</w:t>
      </w:r>
      <w:r>
        <w:t xml:space="preserve"> - </w:t>
      </w:r>
      <w:r w:rsidR="006C34AB">
        <w:t xml:space="preserve">Correcting for censoring in </w:t>
      </w:r>
      <w:r w:rsidR="00FE3601">
        <w:t xml:space="preserve">duration </w:t>
      </w:r>
      <w:r w:rsidR="006C34AB">
        <w:t>outcomes</w:t>
      </w:r>
    </w:p>
    <w:p w14:paraId="71EA5A4F" w14:textId="369335D0" w:rsidR="003B0449" w:rsidRDefault="003B0449" w:rsidP="00682538">
      <w:r>
        <w:t>A number of outcome variables in our analysis are measures of duration, specifically length of stay, and waiting times. As with other variables, these are analysed not at a patient level but as a weekly mean, to allow for the use of interrupted time series analysis. Unlike other weekly summary variables (e.g. mean HoNOS scores or inpatient admission counts), the duration variables are impacted by the right-censoring of observations that remain “open” (i.e. not yet discharged or still waiting for a contact) at the time of the data extract. Weeks earlier in the sample period will contain full, uncensored observations while weeks at the end of the sample will contain more censored observations, biasing our estimate of the impact of COVID-19 downward. However, the durations recorded later in the sample do contain information about the mean length of stay, as relatively higher or lower levels of uncensored observations indicate relatively shorter or longer mean durations respectively.</w:t>
      </w:r>
    </w:p>
    <w:p w14:paraId="46978D06" w14:textId="77777777" w:rsidR="003B0449" w:rsidRDefault="003B0449" w:rsidP="00682538">
      <w:r>
        <w:t>For example, the equation shows how the observed mean length of stay for each week is calculated:</w:t>
      </w:r>
    </w:p>
    <w:p w14:paraId="3F09F0A1" w14:textId="77777777" w:rsidR="003B0449" w:rsidRDefault="001B5F6E" w:rsidP="00682538">
      <m:oMathPara>
        <m:oMath>
          <m:sSubSup>
            <m:sSubSupPr>
              <m:ctrlPr>
                <w:rPr>
                  <w:rFonts w:ascii="Cambria Math" w:hAnsi="Cambria Math" w:cs="Calibri"/>
                  <w:iCs/>
                </w:rPr>
              </m:ctrlPr>
            </m:sSubSupPr>
            <m:e>
              <m:r>
                <m:rPr>
                  <m:sty m:val="p"/>
                </m:rPr>
                <w:rPr>
                  <w:rFonts w:ascii="Cambria Math" w:hAnsi="Cambria Math"/>
                </w:rPr>
                <m:t> </m:t>
              </m:r>
              <m:acc>
                <m:accPr>
                  <m:ctrlPr>
                    <w:rPr>
                      <w:rFonts w:ascii="Cambria Math" w:hAnsi="Cambria Math" w:cs="Calibri"/>
                      <w:iCs/>
                    </w:rPr>
                  </m:ctrlPr>
                </m:accPr>
                <m:e>
                  <m:r>
                    <m:rPr>
                      <m:sty m:val="p"/>
                    </m:rPr>
                    <w:rPr>
                      <w:rFonts w:ascii="Cambria Math" w:hAnsi="Cambria Math"/>
                    </w:rPr>
                    <m:t>LoS</m:t>
                  </m:r>
                </m:e>
              </m:acc>
            </m:e>
            <m:sub>
              <m:r>
                <w:rPr>
                  <w:rFonts w:ascii="Cambria Math" w:hAnsi="Cambria Math"/>
                </w:rPr>
                <m:t>t</m:t>
              </m:r>
            </m:sub>
            <m:sup>
              <m:r>
                <m:rPr>
                  <m:sty m:val="p"/>
                </m:rPr>
                <w:rPr>
                  <w:rFonts w:ascii="Cambria Math" w:hAnsi="Cambria Math"/>
                </w:rPr>
                <m:t>obs</m:t>
              </m:r>
            </m:sup>
          </m:sSubSup>
          <m:r>
            <m:rPr>
              <m:sty m:val="p"/>
            </m:rPr>
            <w:rPr>
              <w:rFonts w:ascii="Cambria Math" w:hAnsi="Cambria Math"/>
            </w:rPr>
            <m:t>=</m:t>
          </m:r>
          <m:f>
            <m:fPr>
              <m:ctrlPr>
                <w:rPr>
                  <w:rFonts w:ascii="Cambria Math" w:hAnsi="Cambria Math" w:cs="Calibri"/>
                  <w:iCs/>
                </w:rPr>
              </m:ctrlPr>
            </m:fPr>
            <m:num>
              <m:r>
                <m:rPr>
                  <m:sty m:val="p"/>
                </m:rPr>
                <w:rPr>
                  <w:rFonts w:ascii="Cambria Math" w:hAnsi="Cambria Math"/>
                </w:rPr>
                <m:t>1</m:t>
              </m:r>
            </m:num>
            <m:den>
              <m:sSub>
                <m:sSubPr>
                  <m:ctrlPr>
                    <w:rPr>
                      <w:rFonts w:ascii="Cambria Math" w:hAnsi="Cambria Math" w:cs="Calibri"/>
                      <w:iCs/>
                    </w:rPr>
                  </m:ctrlPr>
                </m:sSubPr>
                <m:e>
                  <m:r>
                    <w:rPr>
                      <w:rFonts w:ascii="Cambria Math" w:hAnsi="Cambria Math"/>
                    </w:rPr>
                    <m:t>n</m:t>
                  </m:r>
                </m:e>
                <m:sub>
                  <m:r>
                    <w:rPr>
                      <w:rFonts w:ascii="Cambria Math" w:hAnsi="Cambria Math"/>
                    </w:rPr>
                    <m:t>t</m:t>
                  </m:r>
                </m:sub>
              </m:sSub>
            </m:den>
          </m:f>
          <m:sSub>
            <m:sSubPr>
              <m:ctrlPr>
                <w:rPr>
                  <w:rFonts w:ascii="Cambria Math" w:hAnsi="Cambria Math" w:cs="Calibri"/>
                  <w:iCs/>
                </w:rPr>
              </m:ctrlPr>
            </m:sSubPr>
            <m:e>
              <m:r>
                <m:rPr>
                  <m:sty m:val="p"/>
                </m:rPr>
                <w:rPr>
                  <w:rFonts w:ascii="Cambria Math" w:hAnsi="Cambria Math"/>
                </w:rPr>
                <m:t>Σ</m:t>
              </m:r>
              <m:ctrlPr>
                <w:rPr>
                  <w:rFonts w:ascii="Cambria Math" w:hAnsi="Cambria Math" w:cs="Calibri"/>
                </w:rPr>
              </m:ctrlPr>
            </m:e>
            <m:sub>
              <m:r>
                <w:rPr>
                  <w:rFonts w:ascii="Cambria Math" w:hAnsi="Cambria Math"/>
                </w:rPr>
                <m:t>i</m:t>
              </m:r>
            </m:sub>
          </m:sSub>
          <m:sSubSup>
            <m:sSubSupPr>
              <m:ctrlPr>
                <w:rPr>
                  <w:rFonts w:ascii="Cambria Math" w:hAnsi="Cambria Math" w:cs="Calibri"/>
                  <w:iCs/>
                </w:rPr>
              </m:ctrlPr>
            </m:sSubSupPr>
            <m:e>
              <m:r>
                <m:rPr>
                  <m:sty m:val="p"/>
                </m:rPr>
                <w:rPr>
                  <w:rFonts w:ascii="Cambria Math" w:hAnsi="Cambria Math"/>
                </w:rPr>
                <m:t>LoS</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obs</m:t>
              </m:r>
            </m:sup>
          </m:sSubSup>
        </m:oMath>
      </m:oMathPara>
    </w:p>
    <w:p w14:paraId="7B6114F8" w14:textId="77777777" w:rsidR="003B0449" w:rsidRDefault="003B0449" w:rsidP="00682538">
      <w:r>
        <w:t>where  </w:t>
      </w:r>
      <m:oMath>
        <m:sSubSup>
          <m:sSubSupPr>
            <m:ctrlPr>
              <w:rPr>
                <w:rFonts w:ascii="Cambria Math" w:hAnsi="Cambria Math" w:cs="Calibri"/>
                <w:i/>
                <w:iCs/>
              </w:rPr>
            </m:ctrlPr>
          </m:sSubSupPr>
          <m:e>
            <m:acc>
              <m:accPr>
                <m:ctrlPr>
                  <w:rPr>
                    <w:rFonts w:ascii="Cambria Math" w:hAnsi="Cambria Math" w:cs="Calibri"/>
                    <w:i/>
                    <w:iCs/>
                  </w:rPr>
                </m:ctrlPr>
              </m:accPr>
              <m:e>
                <m:r>
                  <m:rPr>
                    <m:sty m:val="p"/>
                  </m:rPr>
                  <w:rPr>
                    <w:rFonts w:ascii="Cambria Math" w:hAnsi="Cambria Math"/>
                  </w:rPr>
                  <m:t>LoS</m:t>
                </m:r>
              </m:e>
            </m:acc>
          </m:e>
          <m:sub>
            <m:r>
              <w:rPr>
                <w:rFonts w:ascii="Cambria Math" w:hAnsi="Cambria Math"/>
              </w:rPr>
              <m:t>t</m:t>
            </m:r>
          </m:sub>
          <m:sup>
            <m:r>
              <m:rPr>
                <m:sty m:val="p"/>
              </m:rPr>
              <w:rPr>
                <w:rFonts w:ascii="Cambria Math" w:hAnsi="Cambria Math"/>
              </w:rPr>
              <m:t>obs</m:t>
            </m:r>
          </m:sup>
        </m:sSubSup>
      </m:oMath>
      <w:r>
        <w:t xml:space="preserve"> is the observed mean length of stay (not accounting for censoring) in week </w:t>
      </w:r>
      <m:oMath>
        <m:r>
          <w:rPr>
            <w:rFonts w:ascii="Cambria Math" w:hAnsi="Cambria Math"/>
          </w:rPr>
          <m:t>t</m:t>
        </m:r>
      </m:oMath>
      <w:r>
        <w:t xml:space="preserve">, equal to the sum of observed lengths of stay for each individual admission </w:t>
      </w:r>
      <m:oMath>
        <m:r>
          <w:rPr>
            <w:rFonts w:ascii="Cambria Math" w:hAnsi="Cambria Math"/>
          </w:rPr>
          <m:t>i</m:t>
        </m:r>
      </m:oMath>
      <w:r>
        <w:t xml:space="preserve">, divided by the total number of admissions </w:t>
      </w:r>
      <m:oMath>
        <m:r>
          <w:rPr>
            <w:rFonts w:ascii="Cambria Math" w:hAnsi="Cambria Math"/>
          </w:rPr>
          <m:t>n</m:t>
        </m:r>
      </m:oMath>
      <w:r>
        <w:t xml:space="preserve">. </w:t>
      </w:r>
    </w:p>
    <w:p w14:paraId="566E6F0B" w14:textId="77777777" w:rsidR="003B0449" w:rsidRDefault="001B5F6E" w:rsidP="00682538">
      <m:oMathPara>
        <m:oMath>
          <m:sSubSup>
            <m:sSubSupPr>
              <m:ctrlPr>
                <w:rPr>
                  <w:rFonts w:ascii="Cambria Math" w:hAnsi="Cambria Math" w:cs="Calibri"/>
                  <w:iCs/>
                </w:rPr>
              </m:ctrlPr>
            </m:sSubSupPr>
            <m:e>
              <m:r>
                <m:rPr>
                  <m:sty m:val="p"/>
                </m:rPr>
                <w:rPr>
                  <w:rFonts w:ascii="Cambria Math" w:hAnsi="Cambria Math"/>
                </w:rPr>
                <m:t> </m:t>
              </m:r>
              <m:acc>
                <m:accPr>
                  <m:ctrlPr>
                    <w:rPr>
                      <w:rFonts w:ascii="Cambria Math" w:hAnsi="Cambria Math" w:cs="Calibri"/>
                      <w:iCs/>
                    </w:rPr>
                  </m:ctrlPr>
                </m:accPr>
                <m:e>
                  <m:r>
                    <m:rPr>
                      <m:sty m:val="p"/>
                    </m:rPr>
                    <w:rPr>
                      <w:rFonts w:ascii="Cambria Math" w:hAnsi="Cambria Math"/>
                    </w:rPr>
                    <m:t>LoS</m:t>
                  </m:r>
                </m:e>
              </m:acc>
            </m:e>
            <m:sub>
              <m:r>
                <w:rPr>
                  <w:rFonts w:ascii="Cambria Math" w:hAnsi="Cambria Math"/>
                </w:rPr>
                <m:t>t</m:t>
              </m:r>
            </m:sub>
            <m:sup>
              <m:r>
                <m:rPr>
                  <m:sty m:val="p"/>
                </m:rPr>
                <w:rPr>
                  <w:rFonts w:ascii="Cambria Math" w:hAnsi="Cambria Math"/>
                </w:rPr>
                <m:t>est</m:t>
              </m:r>
            </m:sup>
          </m:sSubSup>
          <m:r>
            <m:rPr>
              <m:sty m:val="p"/>
            </m:rPr>
            <w:rPr>
              <w:rFonts w:ascii="Cambria Math" w:hAnsi="Cambria Math"/>
            </w:rPr>
            <m:t>=</m:t>
          </m:r>
          <m:f>
            <m:fPr>
              <m:ctrlPr>
                <w:rPr>
                  <w:rFonts w:ascii="Cambria Math" w:hAnsi="Cambria Math" w:cs="Calibri"/>
                  <w:iCs/>
                </w:rPr>
              </m:ctrlPr>
            </m:fPr>
            <m:num>
              <m:r>
                <m:rPr>
                  <m:sty m:val="p"/>
                </m:rPr>
                <w:rPr>
                  <w:rFonts w:ascii="Cambria Math" w:hAnsi="Cambria Math"/>
                </w:rPr>
                <m:t>1</m:t>
              </m:r>
            </m:num>
            <m:den>
              <m:sSub>
                <m:sSubPr>
                  <m:ctrlPr>
                    <w:rPr>
                      <w:rFonts w:ascii="Cambria Math" w:hAnsi="Cambria Math" w:cs="Calibri"/>
                      <w:iCs/>
                    </w:rPr>
                  </m:ctrlPr>
                </m:sSubPr>
                <m:e>
                  <m:r>
                    <w:rPr>
                      <w:rFonts w:ascii="Cambria Math" w:hAnsi="Cambria Math"/>
                    </w:rPr>
                    <m:t>n</m:t>
                  </m:r>
                </m:e>
                <m:sub>
                  <m:r>
                    <w:rPr>
                      <w:rFonts w:ascii="Cambria Math" w:hAnsi="Cambria Math"/>
                    </w:rPr>
                    <m:t>t</m:t>
                  </m:r>
                </m:sub>
              </m:sSub>
            </m:den>
          </m:f>
          <m:sSub>
            <m:sSubPr>
              <m:ctrlPr>
                <w:rPr>
                  <w:rFonts w:ascii="Cambria Math" w:hAnsi="Cambria Math" w:cs="Calibri"/>
                  <w:iCs/>
                </w:rPr>
              </m:ctrlPr>
            </m:sSubPr>
            <m:e>
              <m:r>
                <m:rPr>
                  <m:sty m:val="p"/>
                </m:rPr>
                <w:rPr>
                  <w:rFonts w:ascii="Cambria Math" w:hAnsi="Cambria Math"/>
                </w:rPr>
                <m:t>Σ</m:t>
              </m:r>
              <m:ctrlPr>
                <w:rPr>
                  <w:rFonts w:ascii="Cambria Math" w:hAnsi="Cambria Math" w:cs="Calibri"/>
                </w:rPr>
              </m:ctrlPr>
            </m:e>
            <m:sub>
              <m:r>
                <w:rPr>
                  <w:rFonts w:ascii="Cambria Math" w:hAnsi="Cambria Math"/>
                </w:rPr>
                <m:t>i</m:t>
              </m:r>
            </m:sub>
          </m:sSub>
          <m:d>
            <m:dPr>
              <m:ctrlPr>
                <w:rPr>
                  <w:rFonts w:ascii="Cambria Math" w:hAnsi="Cambria Math" w:cs="Calibri"/>
                  <w:iCs/>
                </w:rPr>
              </m:ctrlPr>
            </m:dPr>
            <m:e>
              <m:sSubSup>
                <m:sSubSupPr>
                  <m:ctrlPr>
                    <w:rPr>
                      <w:rFonts w:ascii="Cambria Math" w:hAnsi="Cambria Math" w:cs="Calibri"/>
                      <w:iCs/>
                    </w:rPr>
                  </m:ctrlPr>
                </m:sSubSupPr>
                <m:e>
                  <m:r>
                    <m:rPr>
                      <m:sty m:val="p"/>
                    </m:rPr>
                    <w:rPr>
                      <w:rFonts w:ascii="Cambria Math" w:hAnsi="Cambria Math"/>
                    </w:rPr>
                    <m:t>LoS</m:t>
                  </m:r>
                </m:e>
                <m:sub>
                  <m:r>
                    <w:rPr>
                      <w:rFonts w:ascii="Cambria Math" w:hAnsi="Cambria Math"/>
                    </w:rPr>
                    <m:t>i</m:t>
                  </m:r>
                  <m:r>
                    <m:rPr>
                      <m:sty m:val="p"/>
                    </m:rPr>
                    <w:rPr>
                      <w:rFonts w:ascii="Cambria Math" w:hAnsi="Cambria Math"/>
                    </w:rPr>
                    <m:t>,</m:t>
                  </m:r>
                  <m:r>
                    <w:rPr>
                      <w:rFonts w:ascii="Cambria Math" w:hAnsi="Cambria Math"/>
                    </w:rPr>
                    <m:t>t</m:t>
                  </m:r>
                </m:sub>
                <m:sup>
                  <m:r>
                    <m:rPr>
                      <m:sty m:val="p"/>
                    </m:rPr>
                    <w:rPr>
                      <w:rFonts w:ascii="Cambria Math" w:hAnsi="Cambria Math"/>
                    </w:rPr>
                    <m:t>obs</m:t>
                  </m:r>
                </m:sup>
              </m:sSubSup>
              <m:r>
                <m:rPr>
                  <m:sty m:val="p"/>
                </m:rPr>
                <w:rPr>
                  <w:rFonts w:ascii="Cambria Math" w:hAnsi="Cambria Math"/>
                </w:rPr>
                <m:t>+</m:t>
              </m:r>
              <m:d>
                <m:dPr>
                  <m:ctrlPr>
                    <w:rPr>
                      <w:rFonts w:ascii="Cambria Math" w:hAnsi="Cambria Math" w:cs="Calibri"/>
                      <w:iCs/>
                    </w:rPr>
                  </m:ctrlPr>
                </m:dPr>
                <m:e>
                  <m:sSub>
                    <m:sSubPr>
                      <m:ctrlPr>
                        <w:rPr>
                          <w:rFonts w:ascii="Cambria Math" w:hAnsi="Cambria Math" w:cs="Calibri"/>
                        </w:rPr>
                      </m:ctrlPr>
                    </m:sSubPr>
                    <m:e>
                      <m:r>
                        <m:rPr>
                          <m:sty m:val="p"/>
                        </m:rPr>
                        <w:rPr>
                          <w:rFonts w:ascii="Cambria Math" w:hAnsi="Cambria Math"/>
                        </w:rPr>
                        <m:t>C</m:t>
                      </m:r>
                    </m:e>
                    <m:sub>
                      <m:r>
                        <w:rPr>
                          <w:rFonts w:ascii="Cambria Math" w:hAnsi="Cambria Math"/>
                        </w:rPr>
                        <m:t>i</m:t>
                      </m:r>
                    </m:sub>
                  </m:sSub>
                  <m:r>
                    <m:rPr>
                      <m:sty m:val="p"/>
                    </m:rPr>
                    <w:rPr>
                      <w:rFonts w:ascii="Cambria Math" w:hAnsi="Cambria Math"/>
                    </w:rPr>
                    <m:t>×</m:t>
                  </m:r>
                  <m:nary>
                    <m:naryPr>
                      <m:ctrlPr>
                        <w:rPr>
                          <w:rFonts w:ascii="Cambria Math" w:hAnsi="Cambria Math" w:cs="Calibri"/>
                        </w:rPr>
                      </m:ctrlPr>
                    </m:naryPr>
                    <m:sub>
                      <m:sSup>
                        <m:sSupPr>
                          <m:ctrlPr>
                            <w:rPr>
                              <w:rFonts w:ascii="Cambria Math" w:hAnsi="Cambria Math" w:cs="Calibri"/>
                            </w:rPr>
                          </m:ctrlPr>
                        </m:sSupPr>
                        <m:e>
                          <m:r>
                            <m:rPr>
                              <m:sty m:val="p"/>
                            </m:rPr>
                            <w:rPr>
                              <w:rFonts w:ascii="Cambria Math" w:hAnsi="Cambria Math"/>
                            </w:rPr>
                            <m:t>LoS</m:t>
                          </m:r>
                        </m:e>
                        <m:sup>
                          <m:r>
                            <m:rPr>
                              <m:sty m:val="p"/>
                            </m:rPr>
                            <w:rPr>
                              <w:rFonts w:ascii="Cambria Math" w:hAnsi="Cambria Math"/>
                            </w:rPr>
                            <m:t>obs</m:t>
                          </m:r>
                        </m:sup>
                      </m:sSup>
                    </m:sub>
                    <m:sup>
                      <m:r>
                        <m:rPr>
                          <m:sty m:val="p"/>
                        </m:rPr>
                        <w:rPr>
                          <w:rFonts w:ascii="Cambria Math" w:hAnsi="Cambria Math"/>
                        </w:rPr>
                        <m:t>∞</m:t>
                      </m:r>
                    </m:sup>
                    <m:e>
                      <m:sSub>
                        <m:sSubPr>
                          <m:ctrlPr>
                            <w:rPr>
                              <w:rFonts w:ascii="Cambria Math" w:hAnsi="Cambria Math" w:cs="Calibri"/>
                              <w:iCs/>
                            </w:rPr>
                          </m:ctrlPr>
                        </m:sSubPr>
                        <m:e>
                          <m:r>
                            <w:rPr>
                              <w:rFonts w:ascii="Cambria Math" w:hAnsi="Cambria Math"/>
                            </w:rPr>
                            <m:t>S</m:t>
                          </m:r>
                        </m:e>
                        <m:sub>
                          <m:r>
                            <w:rPr>
                              <w:rFonts w:ascii="Cambria Math" w:hAnsi="Cambria Math"/>
                            </w:rPr>
                            <m:t>i</m:t>
                          </m:r>
                        </m:sub>
                      </m:sSub>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dt</m:t>
                      </m:r>
                    </m:e>
                  </m:nary>
                </m:e>
              </m:d>
            </m:e>
          </m:d>
        </m:oMath>
      </m:oMathPara>
    </w:p>
    <w:p w14:paraId="023E9264" w14:textId="77777777" w:rsidR="008D4354" w:rsidRDefault="003B0449" w:rsidP="00682538">
      <w:r>
        <w:t>By contrast, the above equation shows how the estimated length of stay (correcting for censoring is calculated). In cases where the length of stay is censored (</w:t>
      </w:r>
      <m:oMath>
        <m:sSub>
          <m:sSubPr>
            <m:ctrlPr>
              <w:rPr>
                <w:rFonts w:ascii="Cambria Math" w:hAnsi="Cambria Math" w:cs="Calibri"/>
              </w:rPr>
            </m:ctrlPr>
          </m:sSubPr>
          <m:e>
            <m:r>
              <m:rPr>
                <m:sty m:val="p"/>
              </m:rPr>
              <w:rPr>
                <w:rFonts w:ascii="Cambria Math" w:hAnsi="Cambria Math"/>
              </w:rPr>
              <m:t>C</m:t>
            </m:r>
          </m:e>
          <m:sub>
            <m:r>
              <w:rPr>
                <w:rFonts w:ascii="Cambria Math" w:hAnsi="Cambria Math"/>
              </w:rPr>
              <m:t>i</m:t>
            </m:r>
          </m:sub>
        </m:sSub>
        <m:r>
          <w:rPr>
            <w:rFonts w:ascii="Cambria Math" w:hAnsi="Cambria Math"/>
          </w:rPr>
          <m:t>=1)</m:t>
        </m:r>
      </m:oMath>
      <w:r>
        <w:t xml:space="preserve">, the observed length of stay is added to the conditional expected survival time (from the point of censoring), and the mean of the combined variable is taken. In weeks where a greater proportion of admissions are censored, a greater proportion of the expected length of stay will be determined by expected conditional mean survival team. The estimate of true mean length of stay will be unbiased so long as the estimated survival function is accurate. </w:t>
      </w:r>
    </w:p>
    <w:p w14:paraId="5CC2FDEC" w14:textId="439811A8" w:rsidR="00B65F29" w:rsidRDefault="008D4354" w:rsidP="00682538">
      <w:r>
        <w:t xml:space="preserve">The survival function for each censored observation is estimated </w:t>
      </w:r>
      <w:r w:rsidR="00B65F29">
        <w:t xml:space="preserve">by fitting a parametric survival model to the full population of duration episodes (e.g. all inpatient stays). The functional form for each type of duration has </w:t>
      </w:r>
      <w:r w:rsidR="003B0449">
        <w:t xml:space="preserve">been selected by visually inspecting goodness of fit </w:t>
      </w:r>
      <w:r w:rsidR="00B65F29">
        <w:t xml:space="preserve">of the survival function </w:t>
      </w:r>
      <w:r w:rsidR="003B0449">
        <w:t xml:space="preserve">against common parametric survival functions (exponential, Weibull, normal, lognormal, log-logistic and gamma). </w:t>
      </w:r>
      <w:r w:rsidR="00B65F29">
        <w:t xml:space="preserve">In practice, all of the survival functions most closely followed a lognormal distribution, so the remaining imputed time </w:t>
      </w:r>
      <w:r w:rsidR="002230B3">
        <w:t xml:space="preserve">for a censored duration is calculated </w:t>
      </w:r>
      <w:r w:rsidR="00842996">
        <w:t>with estimated log-mean and log-sd parameters.</w:t>
      </w:r>
    </w:p>
    <w:p w14:paraId="0A9EC200" w14:textId="05BF6A2E" w:rsidR="003B0449" w:rsidRDefault="003B0449" w:rsidP="00682538">
      <w:r>
        <w:t>An alternative approach to check the accuracy of effects found through changes in estimated length of stay is to analyse the proportion of observations exceeding a specific length threshold (e.g. 30 days). Since the data extract was taken at the end of August and our analysis only covers to the start of July, this does not restrict our sample. It is however possible that the mean duration could change without any impact around the 30 day threshold (e.g. due to a small increase in very long inpatient stays or outpatient waits) which would nonetheless be important to understanding service provision.</w:t>
      </w:r>
    </w:p>
    <w:p w14:paraId="2C343C23" w14:textId="659CFC9B" w:rsidR="00FE3601" w:rsidRDefault="001C7252" w:rsidP="006C05EE">
      <w:pPr>
        <w:pStyle w:val="Heading3"/>
      </w:pPr>
      <w:r>
        <w:t xml:space="preserve">Appendix </w:t>
      </w:r>
      <w:r w:rsidR="009609FB">
        <w:t>3</w:t>
      </w:r>
      <w:r>
        <w:t>.2 – Time series specification</w:t>
      </w:r>
    </w:p>
    <w:p w14:paraId="4B797560" w14:textId="5F1B8179" w:rsidR="00A1055B" w:rsidRDefault="002A5647" w:rsidP="00682538">
      <w:r>
        <w:t>Failing to account for serial correlation in the interrupted time series analysis of outcome variables has potential to bias the estimated impacts of interest. To account for this we followed a step-wise procedure for selecting</w:t>
      </w:r>
      <w:r w:rsidR="00601EF6">
        <w:t xml:space="preserve"> Autoregressive Integrated Moving Average</w:t>
      </w:r>
      <w:r>
        <w:t xml:space="preserve"> </w:t>
      </w:r>
      <w:r w:rsidR="00601EF6">
        <w:t>(</w:t>
      </w:r>
      <w:r>
        <w:t>ARIMA</w:t>
      </w:r>
      <w:r w:rsidR="00601EF6">
        <w:t>)</w:t>
      </w:r>
      <w:r>
        <w:t xml:space="preserve"> models following </w:t>
      </w:r>
      <w:r>
        <w:fldChar w:fldCharType="begin"/>
      </w:r>
      <w:r w:rsidR="00031878">
        <w:instrText xml:space="preserve"> ADDIN EN.CITE &lt;EndNote&gt;&lt;Cite AuthorYear="1"&gt;&lt;Author&gt;Schaffer&lt;/Author&gt;&lt;Year&gt;2021&lt;/Year&gt;&lt;RecNum&gt;66&lt;/RecNum&gt;&lt;DisplayText&gt;Schaffer, Dobbins (1)&lt;/DisplayText&gt;&lt;record&gt;&lt;rec-number&gt;66&lt;/rec-number&gt;&lt;foreign-keys&gt;&lt;key app="EN" db-id="9550d0fs6v0fpnew2d9x2wspzdw2ra2eazxt" timestamp="1631274678"&gt;66&lt;/key&gt;&lt;/foreign-keys&gt;&lt;ref-type name="Journal Article"&gt;17&lt;/ref-type&gt;&lt;contributors&gt;&lt;authors&gt;&lt;author&gt;Schaffer, Andrea L&lt;/author&gt;&lt;author&gt;Dobbins, Timothy A&lt;/author&gt;&lt;author&gt;Pearson, Sallie-Anne&lt;/author&gt;&lt;/authors&gt;&lt;/contributors&gt;&lt;titles&gt;&lt;title&gt;Interrupted time series analysis using autoregressive integrated moving average (ARIMA) models: a guide for evaluating large-scale health interventions&lt;/title&gt;&lt;secondary-title&gt;BMC medical research methodology&lt;/secondary-title&gt;&lt;/titles&gt;&lt;periodical&gt;&lt;full-title&gt;BMC medical research methodology&lt;/full-title&gt;&lt;/periodical&gt;&lt;pages&gt;1-12&lt;/pages&gt;&lt;volume&gt;21&lt;/volume&gt;&lt;number&gt;1&lt;/number&gt;&lt;dates&gt;&lt;year&gt;2021&lt;/year&gt;&lt;/dates&gt;&lt;isbn&gt;1471-2288&lt;/isbn&gt;&lt;urls&gt;&lt;/urls&gt;&lt;/record&gt;&lt;/Cite&gt;&lt;/EndNote&gt;</w:instrText>
      </w:r>
      <w:r>
        <w:fldChar w:fldCharType="separate"/>
      </w:r>
      <w:r w:rsidR="00031878">
        <w:rPr>
          <w:noProof/>
        </w:rPr>
        <w:t>Schaffer, Dobbins (1)</w:t>
      </w:r>
      <w:r>
        <w:fldChar w:fldCharType="end"/>
      </w:r>
      <w:r w:rsidR="00A1055B">
        <w:t>.</w:t>
      </w:r>
    </w:p>
    <w:p w14:paraId="01BA96ED" w14:textId="48844FEB" w:rsidR="0085755B" w:rsidRDefault="00A1055B" w:rsidP="00682538">
      <w:r>
        <w:t>For each outcome variable, we first test for the presence of a unit-root</w:t>
      </w:r>
      <w:r w:rsidR="00A83EE0">
        <w:t xml:space="preserve"> using a Dickey-Fuller test (with a constant, a linear trend and 5 autoregressive lags). In practice, all </w:t>
      </w:r>
      <w:r w:rsidR="00F84F92">
        <w:t>the tests were able to reject the null hypothesis of a unit root, meaning all of the models used were ARMA rather than ARIMA.</w:t>
      </w:r>
    </w:p>
    <w:p w14:paraId="54827330" w14:textId="371DEFD4" w:rsidR="00601EF6" w:rsidRPr="00682538" w:rsidRDefault="00F84F92" w:rsidP="00E92544">
      <w:r>
        <w:t>Once the order of difference had been established (</w:t>
      </w:r>
      <w:r>
        <w:rPr>
          <w:i/>
        </w:rPr>
        <w:t>d</w:t>
      </w:r>
      <w:r>
        <w:t xml:space="preserve">=0), </w:t>
      </w:r>
      <w:r w:rsidR="00255449">
        <w:t>the residuals from an OLS specification of the ITS model were tested for autocorrelation and partial autocorrelation.</w:t>
      </w:r>
      <w:r w:rsidR="005334BD">
        <w:t xml:space="preserve"> An AR model</w:t>
      </w:r>
      <w:r w:rsidR="00C519B1">
        <w:t xml:space="preserve"> of an order equal to t</w:t>
      </w:r>
      <w:r w:rsidR="00255449">
        <w:t xml:space="preserve">he lowest order of statistically significant autocorrelation (Ljung-Box test rejects the null hypothesis of independent distribution at the level of </w:t>
      </w:r>
      <m:oMath>
        <m:r>
          <w:rPr>
            <w:rFonts w:ascii="Cambria Math" w:hAnsi="Cambria Math"/>
          </w:rPr>
          <m:t>p&lt;0.05</m:t>
        </m:r>
      </m:oMath>
      <w:r w:rsidR="00255449">
        <w:rPr>
          <w:rFonts w:eastAsiaTheme="minorEastAsia"/>
        </w:rPr>
        <w:t xml:space="preserve">) </w:t>
      </w:r>
      <w:r w:rsidR="005334BD">
        <w:rPr>
          <w:rFonts w:eastAsiaTheme="minorEastAsia"/>
        </w:rPr>
        <w:t xml:space="preserve">was used as a starting point for the algorithmic selection of an ARIMA model. The </w:t>
      </w:r>
      <w:r w:rsidR="00C519B1">
        <w:rPr>
          <w:rFonts w:eastAsiaTheme="minorEastAsia"/>
        </w:rPr>
        <w:t xml:space="preserve">algorithm would then test for stepwise improvement </w:t>
      </w:r>
      <w:r w:rsidR="00F820F0">
        <w:rPr>
          <w:rFonts w:eastAsiaTheme="minorEastAsia"/>
        </w:rPr>
        <w:t xml:space="preserve">(as measured by AIC) </w:t>
      </w:r>
      <w:r w:rsidR="00C519B1">
        <w:rPr>
          <w:rFonts w:eastAsiaTheme="minorEastAsia"/>
        </w:rPr>
        <w:t xml:space="preserve">on the starting model </w:t>
      </w:r>
      <w:r w:rsidR="00F820F0">
        <w:rPr>
          <w:rFonts w:eastAsiaTheme="minorEastAsia"/>
        </w:rPr>
        <w:t xml:space="preserve">by adding and </w:t>
      </w:r>
      <w:r w:rsidR="00F820F0">
        <w:rPr>
          <w:rFonts w:eastAsiaTheme="minorEastAsia"/>
        </w:rPr>
        <w:lastRenderedPageBreak/>
        <w:t xml:space="preserve">removing AR and MA terms (of no higher order than the highest order of serial correlation exhibited in </w:t>
      </w:r>
      <w:r w:rsidR="00C20636">
        <w:rPr>
          <w:rFonts w:eastAsiaTheme="minorEastAsia"/>
        </w:rPr>
        <w:t>the initial OLS estimates) until no improvement was possible. This specification of the form ARIMA(</w:t>
      </w:r>
      <w:r w:rsidR="00C20636">
        <w:rPr>
          <w:rFonts w:eastAsiaTheme="minorEastAsia"/>
          <w:i/>
        </w:rPr>
        <w:t xml:space="preserve">p, </w:t>
      </w:r>
      <w:r w:rsidR="00C20636">
        <w:rPr>
          <w:rFonts w:eastAsiaTheme="minorEastAsia"/>
        </w:rPr>
        <w:t>0</w:t>
      </w:r>
      <w:r w:rsidR="00C20636">
        <w:rPr>
          <w:rFonts w:eastAsiaTheme="minorEastAsia"/>
          <w:i/>
        </w:rPr>
        <w:t>, q</w:t>
      </w:r>
      <w:r w:rsidR="00C20636">
        <w:rPr>
          <w:rFonts w:eastAsiaTheme="minorEastAsia"/>
        </w:rPr>
        <w:t xml:space="preserve">) where </w:t>
      </w:r>
      <w:r w:rsidR="00C20636">
        <w:rPr>
          <w:rFonts w:eastAsiaTheme="minorEastAsia"/>
          <w:i/>
        </w:rPr>
        <w:t xml:space="preserve">p </w:t>
      </w:r>
      <w:r w:rsidR="00C20636">
        <w:rPr>
          <w:rFonts w:eastAsiaTheme="minorEastAsia"/>
        </w:rPr>
        <w:t xml:space="preserve">is equal to the number of AR terms, 0 is the </w:t>
      </w:r>
      <w:r w:rsidR="00601EF6">
        <w:rPr>
          <w:rFonts w:eastAsiaTheme="minorEastAsia"/>
        </w:rPr>
        <w:t xml:space="preserve">order of integration and </w:t>
      </w:r>
      <w:r w:rsidR="00601EF6">
        <w:rPr>
          <w:rFonts w:eastAsiaTheme="minorEastAsia"/>
          <w:i/>
        </w:rPr>
        <w:t xml:space="preserve">q </w:t>
      </w:r>
      <w:r w:rsidR="00601EF6">
        <w:rPr>
          <w:rFonts w:eastAsiaTheme="minorEastAsia"/>
        </w:rPr>
        <w:t>is the number of MA terms is shown next to the results of each outcome.</w:t>
      </w:r>
    </w:p>
    <w:p w14:paraId="274D10DB" w14:textId="21717D1C" w:rsidR="00FE3601" w:rsidRDefault="001C7252" w:rsidP="006C05EE">
      <w:pPr>
        <w:pStyle w:val="Heading3"/>
      </w:pPr>
      <w:r>
        <w:t xml:space="preserve">Appendix </w:t>
      </w:r>
      <w:r w:rsidR="009609FB">
        <w:t>3</w:t>
      </w:r>
      <w:r>
        <w:t xml:space="preserve">.3 - </w:t>
      </w:r>
      <w:r w:rsidR="00BF3B5F">
        <w:t>Propensity score weighting</w:t>
      </w:r>
    </w:p>
    <w:p w14:paraId="275B8010" w14:textId="16FABEAB" w:rsidR="0085755B" w:rsidRDefault="001F132F" w:rsidP="00682538">
      <w:r>
        <w:t xml:space="preserve">Variables measuring mean outcomes or durations for patients assessed, admitted or referred in a given week were influenced not only by the effects of COVID-19 but also by the composition of patients. </w:t>
      </w:r>
      <w:r w:rsidR="002A4E96">
        <w:t xml:space="preserve">Since our analysis is at the level of weekly aggregates, incorporating compositional measures (e.g. proportion of patients from deprived areas) directly into the regressions as independent variables would significantly reduce the degrees of </w:t>
      </w:r>
      <w:r w:rsidR="00C20CA2">
        <w:t>freedom of our final models. Instead, we have used two adapted forms of propensity scores to minimise the bias of compositional changes on the estimated true impact of COVID-19.</w:t>
      </w:r>
    </w:p>
    <w:p w14:paraId="6F070E12" w14:textId="4D31AB5C" w:rsidR="00C20CA2" w:rsidRDefault="00C20CA2" w:rsidP="00682538">
      <w:r>
        <w:t xml:space="preserve">For </w:t>
      </w:r>
      <w:r w:rsidR="000573CC">
        <w:t xml:space="preserve">each time series of weekly patients (e.g. patients undergoing HoNOS assessments or patients referred to outpatient services) we estimated the following </w:t>
      </w:r>
      <w:r w:rsidR="00F26444">
        <w:t>relationship:</w:t>
      </w:r>
    </w:p>
    <w:p w14:paraId="0587B8E6" w14:textId="1ADB6235" w:rsidR="00F26444" w:rsidRPr="00CD3E77" w:rsidRDefault="001B5F6E" w:rsidP="00682538">
      <w:pPr>
        <w:rPr>
          <w:rFonts w:eastAsiaTheme="minorEastAsia"/>
        </w:rPr>
      </w:pPr>
      <m:oMathPara>
        <m:oMath>
          <m:func>
            <m:funcPr>
              <m:ctrlPr>
                <w:rPr>
                  <w:rFonts w:ascii="Cambria Math" w:hAnsi="Cambria Math"/>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rPr>
                      </m:ctrlPr>
                    </m:sSubPr>
                    <m:e>
                      <m:r>
                        <m:rPr>
                          <m:sty m:val="p"/>
                        </m:rPr>
                        <w:rPr>
                          <w:rFonts w:ascii="Cambria Math" w:hAnsi="Cambria Math"/>
                        </w:rPr>
                        <m:t>W</m:t>
                      </m:r>
                      <m:ctrlPr>
                        <w:rPr>
                          <w:rFonts w:ascii="Cambria Math" w:hAnsi="Cambria Math"/>
                          <w:i/>
                        </w:rPr>
                      </m:ctrlPr>
                    </m:e>
                    <m:sub>
                      <m:r>
                        <m:rPr>
                          <m:sty m:val="p"/>
                        </m:rPr>
                        <w:rPr>
                          <w:rFonts w:ascii="Cambria Math" w:hAnsi="Cambria Math"/>
                        </w:rPr>
                        <m:t>t</m:t>
                      </m:r>
                    </m:sub>
                  </m:sSub>
                  <m:r>
                    <w:rPr>
                      <w:rFonts w:ascii="Cambria Math" w:hAnsi="Cambria Math"/>
                    </w:rPr>
                    <m:t>≥</m:t>
                  </m:r>
                  <m:r>
                    <m:rPr>
                      <m:sty m:val="p"/>
                    </m:rPr>
                    <w:rPr>
                      <w:rFonts w:ascii="Cambria Math" w:hAnsi="Cambria Math"/>
                    </w:rPr>
                    <m:t xml:space="preserve">March </m:t>
                  </m:r>
                  <m:sSup>
                    <m:sSupPr>
                      <m:ctrlPr>
                        <w:rPr>
                          <w:rFonts w:ascii="Cambria Math" w:hAnsi="Cambria Math"/>
                        </w:rPr>
                      </m:ctrlPr>
                    </m:sSupPr>
                    <m:e>
                      <m:r>
                        <m:rPr>
                          <m:sty m:val="p"/>
                        </m:rPr>
                        <w:rPr>
                          <w:rFonts w:ascii="Cambria Math" w:hAnsi="Cambria Math"/>
                        </w:rPr>
                        <m:t>23</m:t>
                      </m:r>
                    </m:e>
                    <m:sup>
                      <m:r>
                        <m:rPr>
                          <m:sty m:val="p"/>
                        </m:rPr>
                        <w:rPr>
                          <w:rFonts w:ascii="Cambria Math" w:hAnsi="Cambria Math"/>
                        </w:rPr>
                        <m:t>rd</m:t>
                      </m:r>
                    </m:sup>
                  </m:sSup>
                  <m:r>
                    <w:rPr>
                      <w:rFonts w:ascii="Cambria Math" w:hAnsi="Cambria Math"/>
                    </w:rPr>
                    <m:t>, 2020</m:t>
                  </m:r>
                </m:e>
              </m:d>
            </m:e>
          </m:func>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oMath>
      </m:oMathPara>
    </w:p>
    <w:p w14:paraId="6D5354E8" w14:textId="369C4B25" w:rsidR="00CD3E77" w:rsidRDefault="00CD3E77" w:rsidP="00682538">
      <w:r>
        <w:t xml:space="preserve">Where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t</m:t>
            </m:r>
          </m:sub>
        </m:sSub>
      </m:oMath>
      <w:r>
        <w:t xml:space="preserve"> is the starting date of week </w:t>
      </w:r>
      <m:oMath>
        <m:r>
          <w:rPr>
            <w:rFonts w:ascii="Cambria Math" w:hAnsi="Cambria Math"/>
          </w:rPr>
          <m:t>t</m:t>
        </m:r>
      </m:oMath>
      <w:r>
        <w:t xml:space="preserve"> and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t xml:space="preserve"> is a vector of </w:t>
      </w:r>
      <w:r w:rsidR="00182E10">
        <w:t xml:space="preserve">summary statistics for week </w:t>
      </w:r>
      <m:oMath>
        <m:r>
          <w:rPr>
            <w:rFonts w:ascii="Cambria Math" w:hAnsi="Cambria Math"/>
          </w:rPr>
          <m:t>t</m:t>
        </m:r>
      </m:oMath>
      <w:r w:rsidR="00182E10">
        <w:t xml:space="preserve">, including the proportion of patients from an ethnic minority, who are female and with a </w:t>
      </w:r>
      <w:r w:rsidR="00924693">
        <w:t xml:space="preserve">specific </w:t>
      </w:r>
      <w:r w:rsidR="00182E10">
        <w:t>recorded diagnosis</w:t>
      </w:r>
      <w:r w:rsidR="00924693">
        <w:t xml:space="preserve"> (statistics of which for the whole sample are in </w:t>
      </w:r>
      <w:r w:rsidR="00924693">
        <w:fldChar w:fldCharType="begin"/>
      </w:r>
      <w:r w:rsidR="00924693">
        <w:instrText xml:space="preserve"> REF _Ref87607122 \h </w:instrText>
      </w:r>
      <w:r w:rsidR="00924693">
        <w:fldChar w:fldCharType="separate"/>
      </w:r>
      <w:r w:rsidR="00924693">
        <w:t xml:space="preserve">Table </w:t>
      </w:r>
      <w:r w:rsidR="00924693">
        <w:rPr>
          <w:noProof/>
        </w:rPr>
        <w:t>1</w:t>
      </w:r>
      <w:r w:rsidR="00924693">
        <w:fldChar w:fldCharType="end"/>
      </w:r>
      <w:r w:rsidR="00924693">
        <w:t>).</w:t>
      </w:r>
      <w:r w:rsidR="00587524">
        <w:t xml:space="preserve"> The relationship was estimated in each case using a logistic regression.</w:t>
      </w:r>
    </w:p>
    <w:p w14:paraId="6A74AEB2" w14:textId="63446998" w:rsidR="00924693" w:rsidRDefault="00924693" w:rsidP="00682538">
      <w:r>
        <w:t xml:space="preserve">The estimated propensity score for each week </w:t>
      </w:r>
      <w:r w:rsidR="00587524">
        <w:t>(interpreted as the likelihood of a week appearing in the post-COVID period based on its composition of patients) is then used twice in the final modelling process:</w:t>
      </w:r>
    </w:p>
    <w:p w14:paraId="5293D80A" w14:textId="374A54FD" w:rsidR="00587524" w:rsidRPr="00682538" w:rsidRDefault="00587524" w:rsidP="00682538">
      <w:pPr>
        <w:pStyle w:val="ListParagraph"/>
        <w:numPr>
          <w:ilvl w:val="0"/>
          <w:numId w:val="8"/>
        </w:numPr>
      </w:pPr>
      <w:r>
        <w:t xml:space="preserve">Each </w:t>
      </w:r>
      <w:r w:rsidR="00941A98">
        <w:t xml:space="preserve">weekly </w:t>
      </w:r>
      <w:r>
        <w:t xml:space="preserve">observation is </w:t>
      </w:r>
      <w:r w:rsidRPr="00682538">
        <w:t>weighted</w:t>
      </w:r>
      <w:r>
        <w:rPr>
          <w:i/>
        </w:rPr>
        <w:t xml:space="preserve"> </w:t>
      </w:r>
      <w:r w:rsidR="00941A98">
        <w:rPr>
          <w:i/>
        </w:rPr>
        <w:t>proportional</w:t>
      </w:r>
      <w:r>
        <w:t xml:space="preserve"> to its propensity score </w:t>
      </w:r>
      <w:r w:rsidR="00941A98">
        <w:t xml:space="preserve">if it occurs before the COVID-19 period </w:t>
      </w:r>
      <w:r w:rsidR="00CE6673">
        <w:t>(</w:t>
      </w:r>
      <m:oMath>
        <m:r>
          <w:rPr>
            <w:rFonts w:ascii="Cambria Math" w:hAnsi="Cambria Math"/>
          </w:rPr>
          <m:t>1/(1-pscore)</m:t>
        </m:r>
        <m:r>
          <w:rPr>
            <w:rFonts w:ascii="Cambria Math" w:eastAsiaTheme="minorEastAsia" w:hAnsi="Cambria Math"/>
          </w:rPr>
          <m:t>)</m:t>
        </m:r>
      </m:oMath>
      <w:r w:rsidR="00CE6673">
        <w:rPr>
          <w:rFonts w:eastAsiaTheme="minorEastAsia"/>
        </w:rPr>
        <w:t xml:space="preserve"> </w:t>
      </w:r>
      <w:r w:rsidR="00941A98">
        <w:t xml:space="preserve">and </w:t>
      </w:r>
      <w:r w:rsidR="00941A98">
        <w:rPr>
          <w:i/>
        </w:rPr>
        <w:t xml:space="preserve">inversely proportional </w:t>
      </w:r>
      <w:r w:rsidR="00941A98">
        <w:t xml:space="preserve">to its </w:t>
      </w:r>
      <w:r w:rsidR="00CE6673">
        <w:t>propensity score if it occurs after the COVID-19 cutoff (</w:t>
      </w:r>
      <m:oMath>
        <m:r>
          <w:rPr>
            <w:rFonts w:ascii="Cambria Math" w:hAnsi="Cambria Math"/>
          </w:rPr>
          <m:t>1/pscore</m:t>
        </m:r>
      </m:oMath>
      <w:r w:rsidR="00CE6673">
        <w:rPr>
          <w:rFonts w:eastAsiaTheme="minorEastAsia"/>
        </w:rPr>
        <w:t>). This upwardly weights “control” weeks that are compositionally similar to “treatment” weeks and downwardly weights less compositionally similar treatment weeks.</w:t>
      </w:r>
    </w:p>
    <w:p w14:paraId="39AB3A7D" w14:textId="7CBB84DE" w:rsidR="00CE6673" w:rsidRPr="00682538" w:rsidRDefault="00CE6673" w:rsidP="00682538">
      <w:pPr>
        <w:pStyle w:val="ListParagraph"/>
        <w:numPr>
          <w:ilvl w:val="0"/>
          <w:numId w:val="8"/>
        </w:numPr>
      </w:pPr>
      <w:r>
        <w:t xml:space="preserve">The propensity score itself is included as an independent variable in the final ARIMA model specification, to control for any remaining impact of compositional changes on </w:t>
      </w:r>
      <w:r w:rsidR="002578AA">
        <w:t>the outcome of interest.</w:t>
      </w:r>
    </w:p>
    <w:p w14:paraId="40E5351B" w14:textId="38946679" w:rsidR="002578AA" w:rsidRPr="008E2485" w:rsidRDefault="002578AA" w:rsidP="00682538">
      <w:r>
        <w:t xml:space="preserve">None of these adjustments are used for variables that do not depend on compositional changes in patients, </w:t>
      </w:r>
      <w:r w:rsidR="00106A50">
        <w:t xml:space="preserve">for example those </w:t>
      </w:r>
      <w:r>
        <w:t xml:space="preserve">which are simply measures of the volume of patients accessing a specific service. </w:t>
      </w:r>
    </w:p>
    <w:p w14:paraId="651CFDBB" w14:textId="77777777" w:rsidR="0085755B" w:rsidRDefault="0086341F" w:rsidP="006C05EE">
      <w:pPr>
        <w:pStyle w:val="Heading3"/>
      </w:pPr>
      <w:r>
        <w:t>Appendix 3.4 - Normal approximation of count variables</w:t>
      </w:r>
    </w:p>
    <w:p w14:paraId="29982F48" w14:textId="77777777" w:rsidR="008D5635" w:rsidRDefault="00106A50" w:rsidP="00682538">
      <w:r>
        <w:t xml:space="preserve">A number of outcome variables are counts of a number of patients, for example the number of inpatient admissions in a given week. </w:t>
      </w:r>
      <w:r w:rsidR="00D863F7">
        <w:t xml:space="preserve">While it may be more appropriate to model these variables explicitly with count distributions (e.g. Poisson), this would have impacted our ability to conduct and test the ARIMA specification used consistently across all outcomes. </w:t>
      </w:r>
    </w:p>
    <w:p w14:paraId="378BC282" w14:textId="77777777" w:rsidR="00FD2D20" w:rsidRDefault="00D863F7" w:rsidP="00682538">
      <w:r>
        <w:t>Since the normal distribution is a</w:t>
      </w:r>
      <w:r w:rsidR="009F52E9">
        <w:t>n approximation for the binomial distribution at sufficiently high numbers, we tested count specifications</w:t>
      </w:r>
      <w:r w:rsidR="006B1BF5">
        <w:t xml:space="preserve"> (specifically</w:t>
      </w:r>
      <w:r w:rsidR="00EF7815">
        <w:t xml:space="preserve"> negative binomial and Poisson regressions)</w:t>
      </w:r>
      <w:r w:rsidR="004A5246">
        <w:t xml:space="preserve"> of</w:t>
      </w:r>
      <w:r w:rsidR="00F62909">
        <w:t xml:space="preserve"> each outcome against equivalent</w:t>
      </w:r>
      <w:r w:rsidR="004A5246">
        <w:t xml:space="preserve"> </w:t>
      </w:r>
      <w:r w:rsidR="00F62909">
        <w:t>OLS</w:t>
      </w:r>
      <w:r w:rsidR="00F259EA">
        <w:t xml:space="preserve"> ITSA models (with no ARIMA specification)</w:t>
      </w:r>
      <w:r w:rsidR="00F62909">
        <w:t>. A</w:t>
      </w:r>
      <w:r w:rsidR="00C65751">
        <w:t xml:space="preserve"> variable was considered to</w:t>
      </w:r>
      <w:r w:rsidR="008C1661">
        <w:t xml:space="preserve"> not</w:t>
      </w:r>
      <w:r w:rsidR="00C65751">
        <w:t xml:space="preserve"> approximate the normal distribution</w:t>
      </w:r>
      <w:r w:rsidR="008C1661">
        <w:t xml:space="preserve"> and therefore excluded</w:t>
      </w:r>
      <w:r w:rsidR="00C65751">
        <w:t xml:space="preserve"> </w:t>
      </w:r>
      <w:r w:rsidR="008D37BE">
        <w:t xml:space="preserve">if the </w:t>
      </w:r>
      <w:r w:rsidR="00487443">
        <w:t>AIC for a count model was lower than for the OLS model, and the proportional probability of minimizing information loss (</w:t>
      </w:r>
      <m:oMath>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sSub>
                  <m:sSubPr>
                    <m:ctrlPr>
                      <w:rPr>
                        <w:rFonts w:ascii="Cambria Math" w:eastAsiaTheme="minorEastAsia" w:hAnsi="Cambria Math"/>
                        <w:i/>
                      </w:rPr>
                    </m:ctrlPr>
                  </m:sSubPr>
                  <m:e>
                    <m:r>
                      <m:rPr>
                        <m:nor/>
                      </m:rPr>
                      <w:rPr>
                        <w:rFonts w:ascii="Cambria Math" w:hAnsi="Cambria Math"/>
                      </w:rPr>
                      <m:t>AIC</m:t>
                    </m:r>
                    <m:ctrlPr>
                      <w:rPr>
                        <w:rFonts w:ascii="Cambria Math" w:hAnsi="Cambria Math"/>
                        <w:i/>
                      </w:rPr>
                    </m:ctrlPr>
                  </m:e>
                  <m:sub>
                    <m:r>
                      <m:rPr>
                        <m:nor/>
                      </m:rPr>
                      <w:rPr>
                        <w:rFonts w:ascii="Cambria Math" w:eastAsiaTheme="minorEastAsia" w:hAnsi="Cambria Math"/>
                      </w:rPr>
                      <m:t>count</m:t>
                    </m:r>
                  </m:sub>
                </m:sSub>
                <m:r>
                  <w:rPr>
                    <w:rFonts w:ascii="Cambria Math" w:eastAsiaTheme="minorEastAsia" w:hAnsi="Cambria Math"/>
                  </w:rPr>
                  <m:t>-</m:t>
                </m:r>
                <m:sSub>
                  <m:sSubPr>
                    <m:ctrlPr>
                      <w:rPr>
                        <w:rFonts w:ascii="Cambria Math" w:eastAsiaTheme="minorEastAsia" w:hAnsi="Cambria Math"/>
                        <w:i/>
                      </w:rPr>
                    </m:ctrlPr>
                  </m:sSubPr>
                  <m:e>
                    <m:r>
                      <m:rPr>
                        <m:nor/>
                      </m:rPr>
                      <w:rPr>
                        <w:rFonts w:ascii="Cambria Math" w:eastAsiaTheme="minorEastAsia" w:hAnsi="Cambria Math"/>
                      </w:rPr>
                      <m:t>AIC</m:t>
                    </m:r>
                  </m:e>
                  <m:sub>
                    <m:r>
                      <m:rPr>
                        <m:nor/>
                      </m:rPr>
                      <w:rPr>
                        <w:rFonts w:ascii="Cambria Math" w:eastAsiaTheme="minorEastAsia" w:hAnsi="Cambria Math"/>
                      </w:rPr>
                      <m:t>OLS</m:t>
                    </m:r>
                  </m:sub>
                </m:sSub>
                <m:ctrlPr>
                  <w:rPr>
                    <w:rFonts w:ascii="Cambria Math" w:eastAsiaTheme="minorEastAsia" w:hAnsi="Cambria Math"/>
                    <w:i/>
                  </w:rPr>
                </m:ctrlPr>
              </m:e>
            </m:d>
          </m:e>
        </m:func>
        <m:r>
          <w:rPr>
            <w:rFonts w:ascii="Cambria Math" w:eastAsiaTheme="minorEastAsia" w:hAnsi="Cambria Math"/>
          </w:rPr>
          <m:t>/2)</m:t>
        </m:r>
      </m:oMath>
      <w:r w:rsidR="00F62909">
        <w:t xml:space="preserve"> </w:t>
      </w:r>
      <w:r w:rsidR="004A042F">
        <w:t>was less than 0.05, or a difference in AIC of around 6.</w:t>
      </w:r>
      <w:r w:rsidR="008000C1">
        <w:t xml:space="preserve"> For simplicity, outcome variables with a </w:t>
      </w:r>
      <w:r w:rsidR="009C35D8">
        <w:t>lower</w:t>
      </w:r>
      <w:r w:rsidR="008000C1">
        <w:t xml:space="preserve"> mean and minimum than another </w:t>
      </w:r>
      <w:r w:rsidR="009C35D8">
        <w:t xml:space="preserve">excluded </w:t>
      </w:r>
      <w:r w:rsidR="008000C1">
        <w:t>variable</w:t>
      </w:r>
      <w:r w:rsidR="009C35D8">
        <w:t xml:space="preserve"> were also excluded due to not approximating the normal distribution, and the opposite was done for variables with a higher mean and minimum that had not been excluded. </w:t>
      </w:r>
    </w:p>
    <w:p w14:paraId="60135B5E" w14:textId="74B0A3E0" w:rsidR="00005A02" w:rsidRPr="00E525D4" w:rsidRDefault="009C35D8" w:rsidP="00682538">
      <w:pPr>
        <w:rPr>
          <w:color w:val="2E74B5" w:themeColor="accent1" w:themeShade="BF"/>
          <w:sz w:val="32"/>
          <w:szCs w:val="32"/>
        </w:rPr>
      </w:pPr>
      <w:r>
        <w:t>None of the outcome variables for the full population were excluded</w:t>
      </w:r>
      <w:r w:rsidR="00584BFC">
        <w:t>, with the largest difference in AIC for first inpatient admissions</w:t>
      </w:r>
      <w:r w:rsidR="00455F68">
        <w:t xml:space="preserve"> (</w:t>
      </w:r>
      <m:oMath>
        <m:sSub>
          <m:sSubPr>
            <m:ctrlPr>
              <w:rPr>
                <w:rFonts w:ascii="Cambria Math" w:eastAsiaTheme="minorEastAsia" w:hAnsi="Cambria Math"/>
                <w:i/>
              </w:rPr>
            </m:ctrlPr>
          </m:sSubPr>
          <m:e>
            <m:r>
              <m:rPr>
                <m:nor/>
              </m:rPr>
              <w:rPr>
                <w:rFonts w:ascii="Cambria Math" w:hAnsi="Cambria Math"/>
              </w:rPr>
              <m:t>AIC</m:t>
            </m:r>
            <m:ctrlPr>
              <w:rPr>
                <w:rFonts w:ascii="Cambria Math" w:hAnsi="Cambria Math"/>
                <w:i/>
              </w:rPr>
            </m:ctrlPr>
          </m:e>
          <m:sub>
            <m:r>
              <m:rPr>
                <m:nor/>
              </m:rPr>
              <w:rPr>
                <w:rFonts w:ascii="Cambria Math" w:eastAsiaTheme="minorEastAsia" w:hAnsi="Cambria Math"/>
              </w:rPr>
              <m:t>count</m:t>
            </m:r>
          </m:sub>
        </m:sSub>
        <m:r>
          <w:rPr>
            <w:rFonts w:ascii="Cambria Math" w:eastAsiaTheme="minorEastAsia" w:hAnsi="Cambria Math"/>
          </w:rPr>
          <m:t>-</m:t>
        </m:r>
        <m:sSub>
          <m:sSubPr>
            <m:ctrlPr>
              <w:rPr>
                <w:rFonts w:ascii="Cambria Math" w:eastAsiaTheme="minorEastAsia" w:hAnsi="Cambria Math"/>
                <w:i/>
              </w:rPr>
            </m:ctrlPr>
          </m:sSubPr>
          <m:e>
            <m:r>
              <m:rPr>
                <m:nor/>
              </m:rPr>
              <w:rPr>
                <w:rFonts w:ascii="Cambria Math" w:eastAsiaTheme="minorEastAsia" w:hAnsi="Cambria Math"/>
              </w:rPr>
              <m:t>AIC</m:t>
            </m:r>
          </m:e>
          <m:sub>
            <m:r>
              <m:rPr>
                <m:nor/>
              </m:rPr>
              <w:rPr>
                <w:rFonts w:ascii="Cambria Math" w:eastAsiaTheme="minorEastAsia" w:hAnsi="Cambria Math"/>
              </w:rPr>
              <m:t>OLS</m:t>
            </m:r>
          </m:sub>
        </m:sSub>
        <m:r>
          <w:rPr>
            <w:rFonts w:ascii="Cambria Math" w:eastAsiaTheme="minorEastAsia" w:hAnsi="Cambria Math"/>
          </w:rPr>
          <m:t>=-4.27</m:t>
        </m:r>
      </m:oMath>
      <w:r w:rsidR="00584BFC">
        <w:t xml:space="preserve"> </w:t>
      </w:r>
      <w:r w:rsidR="00455F68">
        <w:t xml:space="preserve">). </w:t>
      </w:r>
      <w:r w:rsidR="00584BFC">
        <w:t>However f</w:t>
      </w:r>
      <w:r w:rsidR="00A25F1A">
        <w:t>or</w:t>
      </w:r>
      <w:r w:rsidR="009B5E24">
        <w:t xml:space="preserve"> the</w:t>
      </w:r>
      <w:r w:rsidR="00A25F1A">
        <w:t xml:space="preserve"> </w:t>
      </w:r>
      <w:r w:rsidR="007843F3">
        <w:t>sub-grou</w:t>
      </w:r>
      <w:r w:rsidR="009B5E24">
        <w:t>p analysis</w:t>
      </w:r>
      <w:r w:rsidR="007843F3">
        <w:t xml:space="preserve">, </w:t>
      </w:r>
      <w:r w:rsidR="00705703">
        <w:t>a number of outcomes</w:t>
      </w:r>
      <w:r w:rsidR="009B5E24">
        <w:t xml:space="preserve"> (including inpatient admissions, referrals and contacts with specific services, and types of </w:t>
      </w:r>
      <w:r w:rsidR="00FD2D20">
        <w:t>HoNOS assessment)</w:t>
      </w:r>
      <w:r w:rsidR="00705703">
        <w:t xml:space="preserve"> were excluded from the analysis as they </w:t>
      </w:r>
      <w:r w:rsidR="007843F3">
        <w:t xml:space="preserve">did not pass the same test due to </w:t>
      </w:r>
      <w:r w:rsidR="009B5E24">
        <w:t xml:space="preserve">the </w:t>
      </w:r>
      <w:r w:rsidR="007843F3">
        <w:t>lower sample sizes.</w:t>
      </w:r>
    </w:p>
    <w:p w14:paraId="37F55C0A" w14:textId="0F268187" w:rsidR="00005A02" w:rsidRDefault="00005A02" w:rsidP="00682538"/>
    <w:p w14:paraId="5343BFE7" w14:textId="00136883" w:rsidR="00005A02" w:rsidRDefault="00005A02" w:rsidP="00682538"/>
    <w:p w14:paraId="056F3712" w14:textId="77777777" w:rsidR="005F5769" w:rsidRDefault="005F5769" w:rsidP="00682538"/>
    <w:p w14:paraId="20E7B170" w14:textId="77777777" w:rsidR="005F5769" w:rsidRDefault="005F5769" w:rsidP="00682538"/>
    <w:p w14:paraId="5B91BCE3" w14:textId="77777777" w:rsidR="00031878" w:rsidRPr="00031878" w:rsidRDefault="005F5769" w:rsidP="00031878">
      <w:pPr>
        <w:pStyle w:val="EndNoteBibliography"/>
      </w:pPr>
      <w:r>
        <w:rPr>
          <w:rFonts w:asciiTheme="majorHAnsi" w:eastAsiaTheme="majorEastAsia" w:hAnsiTheme="majorHAnsi" w:cstheme="majorBidi"/>
          <w:color w:val="2E74B5" w:themeColor="accent1" w:themeShade="BF"/>
          <w:sz w:val="32"/>
          <w:szCs w:val="32"/>
        </w:rPr>
        <w:fldChar w:fldCharType="begin"/>
      </w:r>
      <w:r>
        <w:rPr>
          <w:rFonts w:asciiTheme="majorHAnsi" w:eastAsiaTheme="majorEastAsia" w:hAnsiTheme="majorHAnsi" w:cstheme="majorBidi"/>
          <w:color w:val="2E74B5" w:themeColor="accent1" w:themeShade="BF"/>
          <w:sz w:val="32"/>
          <w:szCs w:val="32"/>
        </w:rPr>
        <w:instrText xml:space="preserve"> ADDIN EN.REFLIST </w:instrText>
      </w:r>
      <w:r>
        <w:rPr>
          <w:rFonts w:asciiTheme="majorHAnsi" w:eastAsiaTheme="majorEastAsia" w:hAnsiTheme="majorHAnsi" w:cstheme="majorBidi"/>
          <w:color w:val="2E74B5" w:themeColor="accent1" w:themeShade="BF"/>
          <w:sz w:val="32"/>
          <w:szCs w:val="32"/>
        </w:rPr>
        <w:fldChar w:fldCharType="separate"/>
      </w:r>
      <w:r w:rsidR="00031878" w:rsidRPr="00031878">
        <w:t>1.</w:t>
      </w:r>
      <w:r w:rsidR="00031878" w:rsidRPr="00031878">
        <w:tab/>
        <w:t>Schaffer AL, Dobbins TA, Pearson S-A. Interrupted time series analysis using autoregressive integrated moving average (ARIMA) models: a guide for evaluating large-scale health interventions. BMC medical research methodology. 2021;21(1):1-12.</w:t>
      </w:r>
    </w:p>
    <w:p w14:paraId="039D0A30" w14:textId="4C6F0EA5" w:rsidR="00005A02" w:rsidRDefault="005F5769" w:rsidP="00682538">
      <w:r>
        <w:fldChar w:fldCharType="end"/>
      </w:r>
      <w:r w:rsidR="00C6393B">
        <w:fldChar w:fldCharType="begin"/>
      </w:r>
      <w:r w:rsidR="00C6393B">
        <w:instrText xml:space="preserve"> ADDIN </w:instrText>
      </w:r>
      <w:r w:rsidR="00C6393B">
        <w:fldChar w:fldCharType="end"/>
      </w:r>
    </w:p>
    <w:p w14:paraId="0350DC6B" w14:textId="79E955A5" w:rsidR="001B125F" w:rsidRDefault="001B125F" w:rsidP="00682538"/>
    <w:p w14:paraId="0787838C" w14:textId="79A07B99" w:rsidR="00CC4212" w:rsidRDefault="00CC4212" w:rsidP="00682538"/>
    <w:p w14:paraId="1CB2996A" w14:textId="5DF50E2E" w:rsidR="00CC4212" w:rsidRDefault="00CC4212" w:rsidP="00682538"/>
    <w:p w14:paraId="1D2DF299" w14:textId="508C554E" w:rsidR="00CC4212" w:rsidRDefault="00CC4212" w:rsidP="00682538"/>
    <w:p w14:paraId="32B16CAD" w14:textId="77777777" w:rsidR="00DD5815" w:rsidRDefault="00DD5815" w:rsidP="00682538"/>
    <w:sectPr w:rsidR="00DD5815" w:rsidSect="00C813F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1B22" w14:textId="77777777" w:rsidR="008D5635" w:rsidRDefault="008D5635" w:rsidP="00C61537">
      <w:r>
        <w:separator/>
      </w:r>
    </w:p>
  </w:endnote>
  <w:endnote w:type="continuationSeparator" w:id="0">
    <w:p w14:paraId="61017524" w14:textId="77777777" w:rsidR="008D5635" w:rsidRDefault="008D5635" w:rsidP="00C6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D155" w14:textId="77777777" w:rsidR="008D5635" w:rsidRDefault="008D5635" w:rsidP="00C61537">
      <w:r>
        <w:separator/>
      </w:r>
    </w:p>
  </w:footnote>
  <w:footnote w:type="continuationSeparator" w:id="0">
    <w:p w14:paraId="5018C7AC" w14:textId="77777777" w:rsidR="008D5635" w:rsidRDefault="008D5635" w:rsidP="00C6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0B4F"/>
    <w:multiLevelType w:val="hybridMultilevel"/>
    <w:tmpl w:val="4FD4F8B4"/>
    <w:lvl w:ilvl="0" w:tplc="71985AC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B33B6"/>
    <w:multiLevelType w:val="hybridMultilevel"/>
    <w:tmpl w:val="D8560FC2"/>
    <w:lvl w:ilvl="0" w:tplc="73643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02224"/>
    <w:multiLevelType w:val="hybridMultilevel"/>
    <w:tmpl w:val="BAC46208"/>
    <w:lvl w:ilvl="0" w:tplc="5A527F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B722A"/>
    <w:multiLevelType w:val="hybridMultilevel"/>
    <w:tmpl w:val="80A4ADF2"/>
    <w:lvl w:ilvl="0" w:tplc="D012DCA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65215"/>
    <w:multiLevelType w:val="hybridMultilevel"/>
    <w:tmpl w:val="B9FEC1AE"/>
    <w:lvl w:ilvl="0" w:tplc="A33249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40096"/>
    <w:multiLevelType w:val="hybridMultilevel"/>
    <w:tmpl w:val="645EC3E2"/>
    <w:lvl w:ilvl="0" w:tplc="2A6CD0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B4792"/>
    <w:multiLevelType w:val="multilevel"/>
    <w:tmpl w:val="7CA66E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DF079E6"/>
    <w:multiLevelType w:val="hybridMultilevel"/>
    <w:tmpl w:val="BB82F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2E7A5A"/>
    <w:multiLevelType w:val="hybridMultilevel"/>
    <w:tmpl w:val="FCBE91CA"/>
    <w:lvl w:ilvl="0" w:tplc="C70A41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14764F"/>
    <w:multiLevelType w:val="hybridMultilevel"/>
    <w:tmpl w:val="0C2A2AC2"/>
    <w:lvl w:ilvl="0" w:tplc="A8DEBD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0"/>
  </w:num>
  <w:num w:numId="6">
    <w:abstractNumId w:val="9"/>
  </w:num>
  <w:num w:numId="7">
    <w:abstractNumId w:val="3"/>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 Light&lt;/FontName&gt;&lt;FontSize&gt;13&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50d0fs6v0fpnew2d9x2wspzdw2ra2eazxt&quot;&gt;Ed Penington&lt;record-ids&gt;&lt;item&gt;66&lt;/item&gt;&lt;/record-ids&gt;&lt;/item&gt;&lt;/Libraries&gt;"/>
  </w:docVars>
  <w:rsids>
    <w:rsidRoot w:val="00BC4557"/>
    <w:rsid w:val="0000080E"/>
    <w:rsid w:val="00000B92"/>
    <w:rsid w:val="00003B60"/>
    <w:rsid w:val="00005A02"/>
    <w:rsid w:val="000102E6"/>
    <w:rsid w:val="00011369"/>
    <w:rsid w:val="00011814"/>
    <w:rsid w:val="00015B5B"/>
    <w:rsid w:val="000161C1"/>
    <w:rsid w:val="0001776D"/>
    <w:rsid w:val="00020AE3"/>
    <w:rsid w:val="00024717"/>
    <w:rsid w:val="00031878"/>
    <w:rsid w:val="00032C85"/>
    <w:rsid w:val="00034FD8"/>
    <w:rsid w:val="000366BF"/>
    <w:rsid w:val="00036B09"/>
    <w:rsid w:val="00037A11"/>
    <w:rsid w:val="000420F6"/>
    <w:rsid w:val="00042138"/>
    <w:rsid w:val="00044A49"/>
    <w:rsid w:val="00046441"/>
    <w:rsid w:val="0004760B"/>
    <w:rsid w:val="00047741"/>
    <w:rsid w:val="0004795E"/>
    <w:rsid w:val="00047C66"/>
    <w:rsid w:val="00050AFC"/>
    <w:rsid w:val="00051265"/>
    <w:rsid w:val="00051D72"/>
    <w:rsid w:val="00052E07"/>
    <w:rsid w:val="00053BDE"/>
    <w:rsid w:val="000573CC"/>
    <w:rsid w:val="000575D2"/>
    <w:rsid w:val="00061D71"/>
    <w:rsid w:val="000620B4"/>
    <w:rsid w:val="00066990"/>
    <w:rsid w:val="00070AA6"/>
    <w:rsid w:val="00070DFF"/>
    <w:rsid w:val="00075603"/>
    <w:rsid w:val="0007747F"/>
    <w:rsid w:val="00083797"/>
    <w:rsid w:val="00086295"/>
    <w:rsid w:val="00086915"/>
    <w:rsid w:val="00087399"/>
    <w:rsid w:val="00087489"/>
    <w:rsid w:val="00095E1F"/>
    <w:rsid w:val="00096783"/>
    <w:rsid w:val="00096CC1"/>
    <w:rsid w:val="000A1F5D"/>
    <w:rsid w:val="000A249D"/>
    <w:rsid w:val="000A28E0"/>
    <w:rsid w:val="000A4C46"/>
    <w:rsid w:val="000A6D84"/>
    <w:rsid w:val="000B2341"/>
    <w:rsid w:val="000B3A6A"/>
    <w:rsid w:val="000B4DA5"/>
    <w:rsid w:val="000B54EE"/>
    <w:rsid w:val="000B59E4"/>
    <w:rsid w:val="000B6952"/>
    <w:rsid w:val="000B7866"/>
    <w:rsid w:val="000C4560"/>
    <w:rsid w:val="000C5894"/>
    <w:rsid w:val="000C7CD7"/>
    <w:rsid w:val="000D4464"/>
    <w:rsid w:val="000D7A16"/>
    <w:rsid w:val="000E18AD"/>
    <w:rsid w:val="000E355C"/>
    <w:rsid w:val="0010011E"/>
    <w:rsid w:val="001007EC"/>
    <w:rsid w:val="00101B48"/>
    <w:rsid w:val="00105006"/>
    <w:rsid w:val="00106A50"/>
    <w:rsid w:val="001107CA"/>
    <w:rsid w:val="00113CF1"/>
    <w:rsid w:val="00113DA2"/>
    <w:rsid w:val="001140E4"/>
    <w:rsid w:val="001162CC"/>
    <w:rsid w:val="0011678F"/>
    <w:rsid w:val="0011750C"/>
    <w:rsid w:val="00120468"/>
    <w:rsid w:val="0012308D"/>
    <w:rsid w:val="0012675E"/>
    <w:rsid w:val="001307AB"/>
    <w:rsid w:val="00133649"/>
    <w:rsid w:val="001338E7"/>
    <w:rsid w:val="001340CA"/>
    <w:rsid w:val="00134AAA"/>
    <w:rsid w:val="00134BDB"/>
    <w:rsid w:val="001453B2"/>
    <w:rsid w:val="001466E1"/>
    <w:rsid w:val="00146E9E"/>
    <w:rsid w:val="00150CA4"/>
    <w:rsid w:val="001521A4"/>
    <w:rsid w:val="00153A0C"/>
    <w:rsid w:val="001568B0"/>
    <w:rsid w:val="00165776"/>
    <w:rsid w:val="00166A21"/>
    <w:rsid w:val="00167E4C"/>
    <w:rsid w:val="0017295B"/>
    <w:rsid w:val="00172B8E"/>
    <w:rsid w:val="00177CFA"/>
    <w:rsid w:val="00180D8D"/>
    <w:rsid w:val="00182929"/>
    <w:rsid w:val="00182E10"/>
    <w:rsid w:val="00185680"/>
    <w:rsid w:val="0019337A"/>
    <w:rsid w:val="00193CC3"/>
    <w:rsid w:val="001967FA"/>
    <w:rsid w:val="00196EFB"/>
    <w:rsid w:val="001A3A7B"/>
    <w:rsid w:val="001A503B"/>
    <w:rsid w:val="001A7720"/>
    <w:rsid w:val="001A782D"/>
    <w:rsid w:val="001A7C51"/>
    <w:rsid w:val="001B125F"/>
    <w:rsid w:val="001B1A7D"/>
    <w:rsid w:val="001B1F0B"/>
    <w:rsid w:val="001B337F"/>
    <w:rsid w:val="001B403C"/>
    <w:rsid w:val="001B42A7"/>
    <w:rsid w:val="001B5F6E"/>
    <w:rsid w:val="001C7252"/>
    <w:rsid w:val="001D08CC"/>
    <w:rsid w:val="001D0986"/>
    <w:rsid w:val="001D1B95"/>
    <w:rsid w:val="001D619B"/>
    <w:rsid w:val="001E107B"/>
    <w:rsid w:val="001E12A3"/>
    <w:rsid w:val="001E276B"/>
    <w:rsid w:val="001E31A0"/>
    <w:rsid w:val="001E4655"/>
    <w:rsid w:val="001E4FAE"/>
    <w:rsid w:val="001E5929"/>
    <w:rsid w:val="001E5E85"/>
    <w:rsid w:val="001E654A"/>
    <w:rsid w:val="001E6E59"/>
    <w:rsid w:val="001E6F73"/>
    <w:rsid w:val="001F132F"/>
    <w:rsid w:val="001F13F8"/>
    <w:rsid w:val="001F2136"/>
    <w:rsid w:val="001F326C"/>
    <w:rsid w:val="00200604"/>
    <w:rsid w:val="00203E1A"/>
    <w:rsid w:val="00206478"/>
    <w:rsid w:val="00206B06"/>
    <w:rsid w:val="00207B61"/>
    <w:rsid w:val="002137AE"/>
    <w:rsid w:val="002139D3"/>
    <w:rsid w:val="002143C9"/>
    <w:rsid w:val="002218A9"/>
    <w:rsid w:val="002230B3"/>
    <w:rsid w:val="00224873"/>
    <w:rsid w:val="002251B0"/>
    <w:rsid w:val="0023002E"/>
    <w:rsid w:val="00240727"/>
    <w:rsid w:val="00240DEA"/>
    <w:rsid w:val="00243866"/>
    <w:rsid w:val="00243F75"/>
    <w:rsid w:val="00246812"/>
    <w:rsid w:val="00250C48"/>
    <w:rsid w:val="002519D7"/>
    <w:rsid w:val="00251CCC"/>
    <w:rsid w:val="00251D8D"/>
    <w:rsid w:val="002529F6"/>
    <w:rsid w:val="00252A65"/>
    <w:rsid w:val="00253438"/>
    <w:rsid w:val="00255449"/>
    <w:rsid w:val="00256F91"/>
    <w:rsid w:val="002578AA"/>
    <w:rsid w:val="00261F17"/>
    <w:rsid w:val="0026237D"/>
    <w:rsid w:val="00266236"/>
    <w:rsid w:val="002679FD"/>
    <w:rsid w:val="002703A7"/>
    <w:rsid w:val="00274977"/>
    <w:rsid w:val="002769A4"/>
    <w:rsid w:val="00281C06"/>
    <w:rsid w:val="00282B68"/>
    <w:rsid w:val="00285321"/>
    <w:rsid w:val="00287E20"/>
    <w:rsid w:val="0029179E"/>
    <w:rsid w:val="002939F4"/>
    <w:rsid w:val="00294EAB"/>
    <w:rsid w:val="00295C9E"/>
    <w:rsid w:val="00295F7C"/>
    <w:rsid w:val="002A018A"/>
    <w:rsid w:val="002A118F"/>
    <w:rsid w:val="002A3739"/>
    <w:rsid w:val="002A3FBC"/>
    <w:rsid w:val="002A4E96"/>
    <w:rsid w:val="002A5647"/>
    <w:rsid w:val="002A7C3B"/>
    <w:rsid w:val="002B1280"/>
    <w:rsid w:val="002B18FD"/>
    <w:rsid w:val="002B2C47"/>
    <w:rsid w:val="002B5600"/>
    <w:rsid w:val="002B56A4"/>
    <w:rsid w:val="002B64E2"/>
    <w:rsid w:val="002B74F5"/>
    <w:rsid w:val="002C26A5"/>
    <w:rsid w:val="002D5642"/>
    <w:rsid w:val="002D67E9"/>
    <w:rsid w:val="002E2138"/>
    <w:rsid w:val="002E6E21"/>
    <w:rsid w:val="002F2A20"/>
    <w:rsid w:val="002F37BE"/>
    <w:rsid w:val="002F6FA8"/>
    <w:rsid w:val="002F7E58"/>
    <w:rsid w:val="0030117D"/>
    <w:rsid w:val="003018FB"/>
    <w:rsid w:val="00301AF3"/>
    <w:rsid w:val="00303CD9"/>
    <w:rsid w:val="00305A00"/>
    <w:rsid w:val="00310E0B"/>
    <w:rsid w:val="003119F0"/>
    <w:rsid w:val="00312BA3"/>
    <w:rsid w:val="00313AC6"/>
    <w:rsid w:val="0031558D"/>
    <w:rsid w:val="003164C5"/>
    <w:rsid w:val="00322340"/>
    <w:rsid w:val="003226D9"/>
    <w:rsid w:val="0032496B"/>
    <w:rsid w:val="00330275"/>
    <w:rsid w:val="003302DB"/>
    <w:rsid w:val="00332B24"/>
    <w:rsid w:val="00336E8A"/>
    <w:rsid w:val="00337985"/>
    <w:rsid w:val="003379D0"/>
    <w:rsid w:val="00341669"/>
    <w:rsid w:val="003452DB"/>
    <w:rsid w:val="0034636A"/>
    <w:rsid w:val="00347BA8"/>
    <w:rsid w:val="0035093C"/>
    <w:rsid w:val="00352871"/>
    <w:rsid w:val="003545D6"/>
    <w:rsid w:val="00357093"/>
    <w:rsid w:val="00357BF4"/>
    <w:rsid w:val="0036036C"/>
    <w:rsid w:val="00362175"/>
    <w:rsid w:val="00366DB5"/>
    <w:rsid w:val="00372C22"/>
    <w:rsid w:val="00373B67"/>
    <w:rsid w:val="00374C09"/>
    <w:rsid w:val="00381784"/>
    <w:rsid w:val="00381F3C"/>
    <w:rsid w:val="00383B2C"/>
    <w:rsid w:val="00384FF8"/>
    <w:rsid w:val="00387F6A"/>
    <w:rsid w:val="00392571"/>
    <w:rsid w:val="003B0449"/>
    <w:rsid w:val="003C0320"/>
    <w:rsid w:val="003C1935"/>
    <w:rsid w:val="003C2064"/>
    <w:rsid w:val="003C2293"/>
    <w:rsid w:val="003C31F3"/>
    <w:rsid w:val="003C51BD"/>
    <w:rsid w:val="003C5CC5"/>
    <w:rsid w:val="003D30F4"/>
    <w:rsid w:val="003D3167"/>
    <w:rsid w:val="003D4FB5"/>
    <w:rsid w:val="003D6A6A"/>
    <w:rsid w:val="003E13CF"/>
    <w:rsid w:val="003E27E6"/>
    <w:rsid w:val="003E73F9"/>
    <w:rsid w:val="003F0E6F"/>
    <w:rsid w:val="003F35C7"/>
    <w:rsid w:val="0040114A"/>
    <w:rsid w:val="00402A08"/>
    <w:rsid w:val="00405E3D"/>
    <w:rsid w:val="0041017E"/>
    <w:rsid w:val="004117A6"/>
    <w:rsid w:val="00412DFA"/>
    <w:rsid w:val="00420489"/>
    <w:rsid w:val="00420D2D"/>
    <w:rsid w:val="00423CFC"/>
    <w:rsid w:val="00426391"/>
    <w:rsid w:val="0043361B"/>
    <w:rsid w:val="004341BC"/>
    <w:rsid w:val="00434DD8"/>
    <w:rsid w:val="00442C88"/>
    <w:rsid w:val="00443EA5"/>
    <w:rsid w:val="00444DDF"/>
    <w:rsid w:val="00445C37"/>
    <w:rsid w:val="00451171"/>
    <w:rsid w:val="00455F68"/>
    <w:rsid w:val="00461B76"/>
    <w:rsid w:val="00464430"/>
    <w:rsid w:val="004676DB"/>
    <w:rsid w:val="004678B4"/>
    <w:rsid w:val="00467C56"/>
    <w:rsid w:val="00467EEC"/>
    <w:rsid w:val="004726E9"/>
    <w:rsid w:val="00473AD6"/>
    <w:rsid w:val="00476002"/>
    <w:rsid w:val="00477DAA"/>
    <w:rsid w:val="00477ED5"/>
    <w:rsid w:val="0048042A"/>
    <w:rsid w:val="0048142F"/>
    <w:rsid w:val="00482010"/>
    <w:rsid w:val="0048522A"/>
    <w:rsid w:val="0048554F"/>
    <w:rsid w:val="00487290"/>
    <w:rsid w:val="00487443"/>
    <w:rsid w:val="004919B6"/>
    <w:rsid w:val="00492CAB"/>
    <w:rsid w:val="0049741A"/>
    <w:rsid w:val="00497988"/>
    <w:rsid w:val="004A042F"/>
    <w:rsid w:val="004A242D"/>
    <w:rsid w:val="004A4F39"/>
    <w:rsid w:val="004A5246"/>
    <w:rsid w:val="004A79A8"/>
    <w:rsid w:val="004A79EA"/>
    <w:rsid w:val="004B0BCC"/>
    <w:rsid w:val="004B19A2"/>
    <w:rsid w:val="004B2AB0"/>
    <w:rsid w:val="004B333A"/>
    <w:rsid w:val="004B369F"/>
    <w:rsid w:val="004B785A"/>
    <w:rsid w:val="004C0953"/>
    <w:rsid w:val="004C71E9"/>
    <w:rsid w:val="004D0F0D"/>
    <w:rsid w:val="004D19DD"/>
    <w:rsid w:val="004D2B66"/>
    <w:rsid w:val="004D5646"/>
    <w:rsid w:val="004D57CD"/>
    <w:rsid w:val="004D7489"/>
    <w:rsid w:val="004E04D4"/>
    <w:rsid w:val="004F5504"/>
    <w:rsid w:val="004F6498"/>
    <w:rsid w:val="00503734"/>
    <w:rsid w:val="00504ADA"/>
    <w:rsid w:val="0050701E"/>
    <w:rsid w:val="00511E51"/>
    <w:rsid w:val="00512528"/>
    <w:rsid w:val="00515DE2"/>
    <w:rsid w:val="00522FCD"/>
    <w:rsid w:val="005268C0"/>
    <w:rsid w:val="00526FCF"/>
    <w:rsid w:val="005319D8"/>
    <w:rsid w:val="00532656"/>
    <w:rsid w:val="005334BD"/>
    <w:rsid w:val="0053522F"/>
    <w:rsid w:val="005356B6"/>
    <w:rsid w:val="005360D9"/>
    <w:rsid w:val="005378CA"/>
    <w:rsid w:val="00541C13"/>
    <w:rsid w:val="00545AC9"/>
    <w:rsid w:val="005506E7"/>
    <w:rsid w:val="0055088E"/>
    <w:rsid w:val="005542D0"/>
    <w:rsid w:val="00556C95"/>
    <w:rsid w:val="00557BEB"/>
    <w:rsid w:val="005673EF"/>
    <w:rsid w:val="005725A1"/>
    <w:rsid w:val="00572E9C"/>
    <w:rsid w:val="00575B23"/>
    <w:rsid w:val="005842A8"/>
    <w:rsid w:val="00584BFC"/>
    <w:rsid w:val="00587524"/>
    <w:rsid w:val="00587607"/>
    <w:rsid w:val="005876D7"/>
    <w:rsid w:val="00591AB9"/>
    <w:rsid w:val="00594692"/>
    <w:rsid w:val="00595CAC"/>
    <w:rsid w:val="005A2EDF"/>
    <w:rsid w:val="005A3B35"/>
    <w:rsid w:val="005A4504"/>
    <w:rsid w:val="005A6062"/>
    <w:rsid w:val="005A7C5A"/>
    <w:rsid w:val="005B28FA"/>
    <w:rsid w:val="005C090E"/>
    <w:rsid w:val="005C1EF0"/>
    <w:rsid w:val="005C264D"/>
    <w:rsid w:val="005D1207"/>
    <w:rsid w:val="005D1792"/>
    <w:rsid w:val="005D371B"/>
    <w:rsid w:val="005D7E11"/>
    <w:rsid w:val="005D7E81"/>
    <w:rsid w:val="005E020A"/>
    <w:rsid w:val="005E05AC"/>
    <w:rsid w:val="005E5747"/>
    <w:rsid w:val="005E68B7"/>
    <w:rsid w:val="005F0F0A"/>
    <w:rsid w:val="005F41D4"/>
    <w:rsid w:val="005F56B6"/>
    <w:rsid w:val="005F5769"/>
    <w:rsid w:val="00600689"/>
    <w:rsid w:val="00600766"/>
    <w:rsid w:val="00601EF6"/>
    <w:rsid w:val="00605379"/>
    <w:rsid w:val="00606C2D"/>
    <w:rsid w:val="0061033B"/>
    <w:rsid w:val="00610898"/>
    <w:rsid w:val="006109AB"/>
    <w:rsid w:val="0061125D"/>
    <w:rsid w:val="00611F2B"/>
    <w:rsid w:val="00611FF5"/>
    <w:rsid w:val="006124F2"/>
    <w:rsid w:val="0061639A"/>
    <w:rsid w:val="0062066D"/>
    <w:rsid w:val="006214CD"/>
    <w:rsid w:val="00621E11"/>
    <w:rsid w:val="0062278B"/>
    <w:rsid w:val="00624084"/>
    <w:rsid w:val="00624139"/>
    <w:rsid w:val="00625D7F"/>
    <w:rsid w:val="00626FF0"/>
    <w:rsid w:val="00627F02"/>
    <w:rsid w:val="00631AA0"/>
    <w:rsid w:val="006322F3"/>
    <w:rsid w:val="006327D9"/>
    <w:rsid w:val="006371CA"/>
    <w:rsid w:val="006456F1"/>
    <w:rsid w:val="00646105"/>
    <w:rsid w:val="00646EF8"/>
    <w:rsid w:val="006532D8"/>
    <w:rsid w:val="00654782"/>
    <w:rsid w:val="00656687"/>
    <w:rsid w:val="006639AE"/>
    <w:rsid w:val="00667A17"/>
    <w:rsid w:val="006700A6"/>
    <w:rsid w:val="0067174F"/>
    <w:rsid w:val="00673557"/>
    <w:rsid w:val="00673C8C"/>
    <w:rsid w:val="00674177"/>
    <w:rsid w:val="00674E68"/>
    <w:rsid w:val="00682538"/>
    <w:rsid w:val="00682B55"/>
    <w:rsid w:val="00684AAB"/>
    <w:rsid w:val="00686F7A"/>
    <w:rsid w:val="006905FC"/>
    <w:rsid w:val="00690A73"/>
    <w:rsid w:val="006924F3"/>
    <w:rsid w:val="00692718"/>
    <w:rsid w:val="00695847"/>
    <w:rsid w:val="0069662A"/>
    <w:rsid w:val="006A4AB1"/>
    <w:rsid w:val="006A59DE"/>
    <w:rsid w:val="006B0A0E"/>
    <w:rsid w:val="006B1BF5"/>
    <w:rsid w:val="006B466D"/>
    <w:rsid w:val="006B4A17"/>
    <w:rsid w:val="006B4F37"/>
    <w:rsid w:val="006B5641"/>
    <w:rsid w:val="006C05EE"/>
    <w:rsid w:val="006C2D2A"/>
    <w:rsid w:val="006C34AB"/>
    <w:rsid w:val="006C670C"/>
    <w:rsid w:val="006D0A5D"/>
    <w:rsid w:val="006D0CC5"/>
    <w:rsid w:val="006D1BED"/>
    <w:rsid w:val="006D2004"/>
    <w:rsid w:val="006D4EA9"/>
    <w:rsid w:val="006D5E5C"/>
    <w:rsid w:val="006D777F"/>
    <w:rsid w:val="006E24E0"/>
    <w:rsid w:val="006E369C"/>
    <w:rsid w:val="006E5BF8"/>
    <w:rsid w:val="006F15BA"/>
    <w:rsid w:val="006F57DF"/>
    <w:rsid w:val="00700DBB"/>
    <w:rsid w:val="0070205A"/>
    <w:rsid w:val="00705703"/>
    <w:rsid w:val="00705E29"/>
    <w:rsid w:val="00711C53"/>
    <w:rsid w:val="00723A2B"/>
    <w:rsid w:val="00723E73"/>
    <w:rsid w:val="007249D2"/>
    <w:rsid w:val="007277CE"/>
    <w:rsid w:val="00731780"/>
    <w:rsid w:val="00732282"/>
    <w:rsid w:val="00733640"/>
    <w:rsid w:val="00736473"/>
    <w:rsid w:val="00743EF3"/>
    <w:rsid w:val="00746D01"/>
    <w:rsid w:val="00750776"/>
    <w:rsid w:val="00751DD3"/>
    <w:rsid w:val="007561C7"/>
    <w:rsid w:val="007561F8"/>
    <w:rsid w:val="00757DC1"/>
    <w:rsid w:val="00764F26"/>
    <w:rsid w:val="007711A9"/>
    <w:rsid w:val="007732A0"/>
    <w:rsid w:val="007804BA"/>
    <w:rsid w:val="007843F3"/>
    <w:rsid w:val="007849B6"/>
    <w:rsid w:val="00785794"/>
    <w:rsid w:val="00785F3F"/>
    <w:rsid w:val="00787BD1"/>
    <w:rsid w:val="00787EA0"/>
    <w:rsid w:val="0079122D"/>
    <w:rsid w:val="007918A4"/>
    <w:rsid w:val="0079573E"/>
    <w:rsid w:val="007A0F49"/>
    <w:rsid w:val="007A54B2"/>
    <w:rsid w:val="007A75F5"/>
    <w:rsid w:val="007A78D4"/>
    <w:rsid w:val="007B2499"/>
    <w:rsid w:val="007B6FC6"/>
    <w:rsid w:val="007B77BB"/>
    <w:rsid w:val="007C14C5"/>
    <w:rsid w:val="007C4F6E"/>
    <w:rsid w:val="007C66D9"/>
    <w:rsid w:val="007C7C7B"/>
    <w:rsid w:val="007D0C3A"/>
    <w:rsid w:val="007D2A87"/>
    <w:rsid w:val="007D383C"/>
    <w:rsid w:val="007D6C4E"/>
    <w:rsid w:val="007E27D5"/>
    <w:rsid w:val="007E5096"/>
    <w:rsid w:val="007E660C"/>
    <w:rsid w:val="007F2022"/>
    <w:rsid w:val="007F2A08"/>
    <w:rsid w:val="007F3198"/>
    <w:rsid w:val="007F510C"/>
    <w:rsid w:val="007F57BD"/>
    <w:rsid w:val="007F65B0"/>
    <w:rsid w:val="008000C1"/>
    <w:rsid w:val="00800B77"/>
    <w:rsid w:val="00800DAB"/>
    <w:rsid w:val="008063BA"/>
    <w:rsid w:val="00815790"/>
    <w:rsid w:val="008160D8"/>
    <w:rsid w:val="00816468"/>
    <w:rsid w:val="00827682"/>
    <w:rsid w:val="008338BC"/>
    <w:rsid w:val="00836064"/>
    <w:rsid w:val="00837201"/>
    <w:rsid w:val="00840769"/>
    <w:rsid w:val="008413AB"/>
    <w:rsid w:val="00842996"/>
    <w:rsid w:val="00844101"/>
    <w:rsid w:val="00845645"/>
    <w:rsid w:val="00847ADF"/>
    <w:rsid w:val="0085134A"/>
    <w:rsid w:val="00852D06"/>
    <w:rsid w:val="00854BD5"/>
    <w:rsid w:val="00854CDB"/>
    <w:rsid w:val="008567D6"/>
    <w:rsid w:val="0085755B"/>
    <w:rsid w:val="00857CA4"/>
    <w:rsid w:val="00860808"/>
    <w:rsid w:val="008619F1"/>
    <w:rsid w:val="00861F70"/>
    <w:rsid w:val="0086309E"/>
    <w:rsid w:val="0086341F"/>
    <w:rsid w:val="00866937"/>
    <w:rsid w:val="0087053F"/>
    <w:rsid w:val="00876105"/>
    <w:rsid w:val="0088324D"/>
    <w:rsid w:val="00884EEE"/>
    <w:rsid w:val="008851B4"/>
    <w:rsid w:val="00885DF7"/>
    <w:rsid w:val="00891B7B"/>
    <w:rsid w:val="00893578"/>
    <w:rsid w:val="0089376B"/>
    <w:rsid w:val="0089453D"/>
    <w:rsid w:val="008A45C6"/>
    <w:rsid w:val="008A6ACB"/>
    <w:rsid w:val="008A7113"/>
    <w:rsid w:val="008B2820"/>
    <w:rsid w:val="008B7E48"/>
    <w:rsid w:val="008C1661"/>
    <w:rsid w:val="008C1917"/>
    <w:rsid w:val="008C3F5C"/>
    <w:rsid w:val="008C48AD"/>
    <w:rsid w:val="008D37BE"/>
    <w:rsid w:val="008D3B3A"/>
    <w:rsid w:val="008D4354"/>
    <w:rsid w:val="008D4B22"/>
    <w:rsid w:val="008D5117"/>
    <w:rsid w:val="008D5635"/>
    <w:rsid w:val="008D7C6D"/>
    <w:rsid w:val="008E13A8"/>
    <w:rsid w:val="008E13D1"/>
    <w:rsid w:val="008E2485"/>
    <w:rsid w:val="008E64E1"/>
    <w:rsid w:val="008F29D6"/>
    <w:rsid w:val="008F409D"/>
    <w:rsid w:val="008F70B4"/>
    <w:rsid w:val="00900618"/>
    <w:rsid w:val="00914BBB"/>
    <w:rsid w:val="009239E0"/>
    <w:rsid w:val="00924693"/>
    <w:rsid w:val="00924D9E"/>
    <w:rsid w:val="00925A28"/>
    <w:rsid w:val="009266BB"/>
    <w:rsid w:val="00926F19"/>
    <w:rsid w:val="00941A98"/>
    <w:rsid w:val="009424AB"/>
    <w:rsid w:val="00944617"/>
    <w:rsid w:val="00944CE6"/>
    <w:rsid w:val="00950543"/>
    <w:rsid w:val="00950A7E"/>
    <w:rsid w:val="009609FB"/>
    <w:rsid w:val="00964F08"/>
    <w:rsid w:val="00965852"/>
    <w:rsid w:val="0096650A"/>
    <w:rsid w:val="00967C86"/>
    <w:rsid w:val="00972A37"/>
    <w:rsid w:val="00984F0B"/>
    <w:rsid w:val="00996086"/>
    <w:rsid w:val="009A0A01"/>
    <w:rsid w:val="009A1F03"/>
    <w:rsid w:val="009A3543"/>
    <w:rsid w:val="009A47E9"/>
    <w:rsid w:val="009A4B40"/>
    <w:rsid w:val="009A7509"/>
    <w:rsid w:val="009B0DCF"/>
    <w:rsid w:val="009B5E24"/>
    <w:rsid w:val="009C35D8"/>
    <w:rsid w:val="009C5B97"/>
    <w:rsid w:val="009C6D41"/>
    <w:rsid w:val="009C7579"/>
    <w:rsid w:val="009D094C"/>
    <w:rsid w:val="009D1B21"/>
    <w:rsid w:val="009D263A"/>
    <w:rsid w:val="009D419D"/>
    <w:rsid w:val="009D6C52"/>
    <w:rsid w:val="009D71FB"/>
    <w:rsid w:val="009E0363"/>
    <w:rsid w:val="009E3DF3"/>
    <w:rsid w:val="009E6AC0"/>
    <w:rsid w:val="009F52E9"/>
    <w:rsid w:val="009F5431"/>
    <w:rsid w:val="009F585C"/>
    <w:rsid w:val="009F6E48"/>
    <w:rsid w:val="00A014FE"/>
    <w:rsid w:val="00A06779"/>
    <w:rsid w:val="00A10269"/>
    <w:rsid w:val="00A1055B"/>
    <w:rsid w:val="00A11759"/>
    <w:rsid w:val="00A1201C"/>
    <w:rsid w:val="00A12410"/>
    <w:rsid w:val="00A12C53"/>
    <w:rsid w:val="00A14953"/>
    <w:rsid w:val="00A14E68"/>
    <w:rsid w:val="00A1643E"/>
    <w:rsid w:val="00A169D4"/>
    <w:rsid w:val="00A20956"/>
    <w:rsid w:val="00A24469"/>
    <w:rsid w:val="00A25F1A"/>
    <w:rsid w:val="00A31BDD"/>
    <w:rsid w:val="00A33A4B"/>
    <w:rsid w:val="00A4245D"/>
    <w:rsid w:val="00A45D00"/>
    <w:rsid w:val="00A46A3D"/>
    <w:rsid w:val="00A5401E"/>
    <w:rsid w:val="00A55836"/>
    <w:rsid w:val="00A572E7"/>
    <w:rsid w:val="00A6050B"/>
    <w:rsid w:val="00A60FE1"/>
    <w:rsid w:val="00A633EA"/>
    <w:rsid w:val="00A63E83"/>
    <w:rsid w:val="00A6460B"/>
    <w:rsid w:val="00A646AD"/>
    <w:rsid w:val="00A65513"/>
    <w:rsid w:val="00A65DDC"/>
    <w:rsid w:val="00A664F3"/>
    <w:rsid w:val="00A6756E"/>
    <w:rsid w:val="00A715FD"/>
    <w:rsid w:val="00A72165"/>
    <w:rsid w:val="00A73EF8"/>
    <w:rsid w:val="00A7416D"/>
    <w:rsid w:val="00A778B6"/>
    <w:rsid w:val="00A80562"/>
    <w:rsid w:val="00A81362"/>
    <w:rsid w:val="00A813D2"/>
    <w:rsid w:val="00A834B8"/>
    <w:rsid w:val="00A83EE0"/>
    <w:rsid w:val="00A840EE"/>
    <w:rsid w:val="00A87978"/>
    <w:rsid w:val="00A9065E"/>
    <w:rsid w:val="00A925DE"/>
    <w:rsid w:val="00A933DE"/>
    <w:rsid w:val="00A94EDD"/>
    <w:rsid w:val="00A94F19"/>
    <w:rsid w:val="00AA019A"/>
    <w:rsid w:val="00AA317F"/>
    <w:rsid w:val="00AA5F9A"/>
    <w:rsid w:val="00AA72B0"/>
    <w:rsid w:val="00AB17CF"/>
    <w:rsid w:val="00AB4420"/>
    <w:rsid w:val="00AB691F"/>
    <w:rsid w:val="00AC2432"/>
    <w:rsid w:val="00AD2968"/>
    <w:rsid w:val="00AD2FE9"/>
    <w:rsid w:val="00AD4FEB"/>
    <w:rsid w:val="00AE0516"/>
    <w:rsid w:val="00AE470B"/>
    <w:rsid w:val="00AE5498"/>
    <w:rsid w:val="00AE6696"/>
    <w:rsid w:val="00AE7CBE"/>
    <w:rsid w:val="00AF1D43"/>
    <w:rsid w:val="00AF5039"/>
    <w:rsid w:val="00B00B21"/>
    <w:rsid w:val="00B01820"/>
    <w:rsid w:val="00B01BEE"/>
    <w:rsid w:val="00B02BD2"/>
    <w:rsid w:val="00B039CF"/>
    <w:rsid w:val="00B064F3"/>
    <w:rsid w:val="00B11BF6"/>
    <w:rsid w:val="00B13373"/>
    <w:rsid w:val="00B157D3"/>
    <w:rsid w:val="00B1592D"/>
    <w:rsid w:val="00B1629B"/>
    <w:rsid w:val="00B174AC"/>
    <w:rsid w:val="00B20486"/>
    <w:rsid w:val="00B21F15"/>
    <w:rsid w:val="00B24864"/>
    <w:rsid w:val="00B24A23"/>
    <w:rsid w:val="00B261EC"/>
    <w:rsid w:val="00B267B4"/>
    <w:rsid w:val="00B30E00"/>
    <w:rsid w:val="00B31087"/>
    <w:rsid w:val="00B338B5"/>
    <w:rsid w:val="00B366AA"/>
    <w:rsid w:val="00B41162"/>
    <w:rsid w:val="00B41AC9"/>
    <w:rsid w:val="00B44372"/>
    <w:rsid w:val="00B4441C"/>
    <w:rsid w:val="00B444F9"/>
    <w:rsid w:val="00B45B86"/>
    <w:rsid w:val="00B5345F"/>
    <w:rsid w:val="00B54F24"/>
    <w:rsid w:val="00B5598B"/>
    <w:rsid w:val="00B56E3D"/>
    <w:rsid w:val="00B621FB"/>
    <w:rsid w:val="00B63147"/>
    <w:rsid w:val="00B64524"/>
    <w:rsid w:val="00B65F29"/>
    <w:rsid w:val="00B66E9F"/>
    <w:rsid w:val="00B70B93"/>
    <w:rsid w:val="00B72BC9"/>
    <w:rsid w:val="00B73414"/>
    <w:rsid w:val="00B74793"/>
    <w:rsid w:val="00B764C2"/>
    <w:rsid w:val="00B76E8E"/>
    <w:rsid w:val="00B8013E"/>
    <w:rsid w:val="00B81B1A"/>
    <w:rsid w:val="00B82212"/>
    <w:rsid w:val="00B8245A"/>
    <w:rsid w:val="00B8276A"/>
    <w:rsid w:val="00B850AA"/>
    <w:rsid w:val="00B866C7"/>
    <w:rsid w:val="00B93935"/>
    <w:rsid w:val="00B95609"/>
    <w:rsid w:val="00B96668"/>
    <w:rsid w:val="00B976C6"/>
    <w:rsid w:val="00BA0AE5"/>
    <w:rsid w:val="00BA26BD"/>
    <w:rsid w:val="00BA3B9B"/>
    <w:rsid w:val="00BA46D4"/>
    <w:rsid w:val="00BB176A"/>
    <w:rsid w:val="00BB28CF"/>
    <w:rsid w:val="00BB57FD"/>
    <w:rsid w:val="00BB5C0B"/>
    <w:rsid w:val="00BC2745"/>
    <w:rsid w:val="00BC2CCF"/>
    <w:rsid w:val="00BC4557"/>
    <w:rsid w:val="00BC62CC"/>
    <w:rsid w:val="00BC6830"/>
    <w:rsid w:val="00BD0021"/>
    <w:rsid w:val="00BD1C41"/>
    <w:rsid w:val="00BD34A0"/>
    <w:rsid w:val="00BD3C61"/>
    <w:rsid w:val="00BD3F7B"/>
    <w:rsid w:val="00BD794E"/>
    <w:rsid w:val="00BE46EE"/>
    <w:rsid w:val="00BF3B5F"/>
    <w:rsid w:val="00BF576F"/>
    <w:rsid w:val="00BF779C"/>
    <w:rsid w:val="00C01CF8"/>
    <w:rsid w:val="00C03FA1"/>
    <w:rsid w:val="00C05626"/>
    <w:rsid w:val="00C06053"/>
    <w:rsid w:val="00C07D78"/>
    <w:rsid w:val="00C10769"/>
    <w:rsid w:val="00C130EE"/>
    <w:rsid w:val="00C13603"/>
    <w:rsid w:val="00C1465D"/>
    <w:rsid w:val="00C157FD"/>
    <w:rsid w:val="00C166BE"/>
    <w:rsid w:val="00C17317"/>
    <w:rsid w:val="00C20636"/>
    <w:rsid w:val="00C20772"/>
    <w:rsid w:val="00C20CA2"/>
    <w:rsid w:val="00C243EC"/>
    <w:rsid w:val="00C26ABD"/>
    <w:rsid w:val="00C32C46"/>
    <w:rsid w:val="00C35D6A"/>
    <w:rsid w:val="00C36BFF"/>
    <w:rsid w:val="00C40DF5"/>
    <w:rsid w:val="00C41EA8"/>
    <w:rsid w:val="00C423ED"/>
    <w:rsid w:val="00C42AC7"/>
    <w:rsid w:val="00C43030"/>
    <w:rsid w:val="00C43F5F"/>
    <w:rsid w:val="00C44E81"/>
    <w:rsid w:val="00C465CC"/>
    <w:rsid w:val="00C5043C"/>
    <w:rsid w:val="00C519B1"/>
    <w:rsid w:val="00C608BD"/>
    <w:rsid w:val="00C60F21"/>
    <w:rsid w:val="00C61537"/>
    <w:rsid w:val="00C6393B"/>
    <w:rsid w:val="00C64509"/>
    <w:rsid w:val="00C65751"/>
    <w:rsid w:val="00C6687A"/>
    <w:rsid w:val="00C66EAB"/>
    <w:rsid w:val="00C70593"/>
    <w:rsid w:val="00C71278"/>
    <w:rsid w:val="00C724E6"/>
    <w:rsid w:val="00C7330F"/>
    <w:rsid w:val="00C813F0"/>
    <w:rsid w:val="00C81401"/>
    <w:rsid w:val="00C83E7D"/>
    <w:rsid w:val="00C841C2"/>
    <w:rsid w:val="00C947C2"/>
    <w:rsid w:val="00CA0B51"/>
    <w:rsid w:val="00CB3AE4"/>
    <w:rsid w:val="00CB4E97"/>
    <w:rsid w:val="00CB6DF5"/>
    <w:rsid w:val="00CC2D58"/>
    <w:rsid w:val="00CC2D8D"/>
    <w:rsid w:val="00CC4212"/>
    <w:rsid w:val="00CC6550"/>
    <w:rsid w:val="00CC6CD3"/>
    <w:rsid w:val="00CC6F3D"/>
    <w:rsid w:val="00CC7548"/>
    <w:rsid w:val="00CD2EA3"/>
    <w:rsid w:val="00CD2EF6"/>
    <w:rsid w:val="00CD3468"/>
    <w:rsid w:val="00CD3E77"/>
    <w:rsid w:val="00CE29FE"/>
    <w:rsid w:val="00CE566D"/>
    <w:rsid w:val="00CE6673"/>
    <w:rsid w:val="00CE7D0F"/>
    <w:rsid w:val="00CF0DDE"/>
    <w:rsid w:val="00D0016D"/>
    <w:rsid w:val="00D03110"/>
    <w:rsid w:val="00D06BDD"/>
    <w:rsid w:val="00D0791C"/>
    <w:rsid w:val="00D10190"/>
    <w:rsid w:val="00D10C40"/>
    <w:rsid w:val="00D114BD"/>
    <w:rsid w:val="00D12999"/>
    <w:rsid w:val="00D17D6B"/>
    <w:rsid w:val="00D2360C"/>
    <w:rsid w:val="00D25652"/>
    <w:rsid w:val="00D30050"/>
    <w:rsid w:val="00D310E8"/>
    <w:rsid w:val="00D35C48"/>
    <w:rsid w:val="00D40F88"/>
    <w:rsid w:val="00D410ED"/>
    <w:rsid w:val="00D41619"/>
    <w:rsid w:val="00D4271C"/>
    <w:rsid w:val="00D42997"/>
    <w:rsid w:val="00D42E0E"/>
    <w:rsid w:val="00D465C2"/>
    <w:rsid w:val="00D524B5"/>
    <w:rsid w:val="00D563AC"/>
    <w:rsid w:val="00D6017C"/>
    <w:rsid w:val="00D60B22"/>
    <w:rsid w:val="00D61502"/>
    <w:rsid w:val="00D61E0C"/>
    <w:rsid w:val="00D64637"/>
    <w:rsid w:val="00D67D88"/>
    <w:rsid w:val="00D70C40"/>
    <w:rsid w:val="00D73457"/>
    <w:rsid w:val="00D7615C"/>
    <w:rsid w:val="00D821B6"/>
    <w:rsid w:val="00D83865"/>
    <w:rsid w:val="00D83FE3"/>
    <w:rsid w:val="00D85F66"/>
    <w:rsid w:val="00D863F7"/>
    <w:rsid w:val="00D905E9"/>
    <w:rsid w:val="00D976FE"/>
    <w:rsid w:val="00DA7536"/>
    <w:rsid w:val="00DB058B"/>
    <w:rsid w:val="00DB39B6"/>
    <w:rsid w:val="00DB5DBA"/>
    <w:rsid w:val="00DC0384"/>
    <w:rsid w:val="00DC2878"/>
    <w:rsid w:val="00DC2A23"/>
    <w:rsid w:val="00DC3D3C"/>
    <w:rsid w:val="00DC5222"/>
    <w:rsid w:val="00DD0367"/>
    <w:rsid w:val="00DD098D"/>
    <w:rsid w:val="00DD0C22"/>
    <w:rsid w:val="00DD3FBB"/>
    <w:rsid w:val="00DD502A"/>
    <w:rsid w:val="00DD5815"/>
    <w:rsid w:val="00DE2179"/>
    <w:rsid w:val="00DE43FE"/>
    <w:rsid w:val="00DF544D"/>
    <w:rsid w:val="00DF5937"/>
    <w:rsid w:val="00DF5A1A"/>
    <w:rsid w:val="00DF606B"/>
    <w:rsid w:val="00E01355"/>
    <w:rsid w:val="00E02CE8"/>
    <w:rsid w:val="00E07674"/>
    <w:rsid w:val="00E1490D"/>
    <w:rsid w:val="00E1632F"/>
    <w:rsid w:val="00E22984"/>
    <w:rsid w:val="00E246FE"/>
    <w:rsid w:val="00E2470F"/>
    <w:rsid w:val="00E25920"/>
    <w:rsid w:val="00E30840"/>
    <w:rsid w:val="00E308B0"/>
    <w:rsid w:val="00E30C05"/>
    <w:rsid w:val="00E321F9"/>
    <w:rsid w:val="00E33F1C"/>
    <w:rsid w:val="00E34172"/>
    <w:rsid w:val="00E34B50"/>
    <w:rsid w:val="00E3535C"/>
    <w:rsid w:val="00E36801"/>
    <w:rsid w:val="00E3759D"/>
    <w:rsid w:val="00E42E6E"/>
    <w:rsid w:val="00E510A5"/>
    <w:rsid w:val="00E525D4"/>
    <w:rsid w:val="00E63F64"/>
    <w:rsid w:val="00E64FED"/>
    <w:rsid w:val="00E65D80"/>
    <w:rsid w:val="00E72C23"/>
    <w:rsid w:val="00E733CB"/>
    <w:rsid w:val="00E7396F"/>
    <w:rsid w:val="00E75237"/>
    <w:rsid w:val="00E75570"/>
    <w:rsid w:val="00E76F26"/>
    <w:rsid w:val="00E82E0B"/>
    <w:rsid w:val="00E84F4E"/>
    <w:rsid w:val="00E8560C"/>
    <w:rsid w:val="00E8611C"/>
    <w:rsid w:val="00E90537"/>
    <w:rsid w:val="00E92544"/>
    <w:rsid w:val="00E92D52"/>
    <w:rsid w:val="00E9449A"/>
    <w:rsid w:val="00E9751F"/>
    <w:rsid w:val="00E97A84"/>
    <w:rsid w:val="00EA138A"/>
    <w:rsid w:val="00EB0505"/>
    <w:rsid w:val="00EB2C77"/>
    <w:rsid w:val="00EB6E3E"/>
    <w:rsid w:val="00EC1FEF"/>
    <w:rsid w:val="00EC260E"/>
    <w:rsid w:val="00EC2843"/>
    <w:rsid w:val="00EC6062"/>
    <w:rsid w:val="00EC75CF"/>
    <w:rsid w:val="00ED1E74"/>
    <w:rsid w:val="00ED3D3C"/>
    <w:rsid w:val="00EE352D"/>
    <w:rsid w:val="00EF02B2"/>
    <w:rsid w:val="00EF0358"/>
    <w:rsid w:val="00EF30B3"/>
    <w:rsid w:val="00EF3824"/>
    <w:rsid w:val="00EF4865"/>
    <w:rsid w:val="00EF4B9C"/>
    <w:rsid w:val="00EF5DF8"/>
    <w:rsid w:val="00EF5F82"/>
    <w:rsid w:val="00EF67E0"/>
    <w:rsid w:val="00EF7815"/>
    <w:rsid w:val="00EF7DE2"/>
    <w:rsid w:val="00EF7E23"/>
    <w:rsid w:val="00F01690"/>
    <w:rsid w:val="00F019CE"/>
    <w:rsid w:val="00F02B2D"/>
    <w:rsid w:val="00F03DBF"/>
    <w:rsid w:val="00F10D65"/>
    <w:rsid w:val="00F12CC8"/>
    <w:rsid w:val="00F14121"/>
    <w:rsid w:val="00F169F0"/>
    <w:rsid w:val="00F17C21"/>
    <w:rsid w:val="00F201C6"/>
    <w:rsid w:val="00F239D1"/>
    <w:rsid w:val="00F248EA"/>
    <w:rsid w:val="00F259EA"/>
    <w:rsid w:val="00F26444"/>
    <w:rsid w:val="00F26C9D"/>
    <w:rsid w:val="00F30186"/>
    <w:rsid w:val="00F31911"/>
    <w:rsid w:val="00F32394"/>
    <w:rsid w:val="00F3263B"/>
    <w:rsid w:val="00F43B8A"/>
    <w:rsid w:val="00F47EB6"/>
    <w:rsid w:val="00F51164"/>
    <w:rsid w:val="00F551B4"/>
    <w:rsid w:val="00F62909"/>
    <w:rsid w:val="00F7316A"/>
    <w:rsid w:val="00F736D2"/>
    <w:rsid w:val="00F7511C"/>
    <w:rsid w:val="00F75B7E"/>
    <w:rsid w:val="00F76231"/>
    <w:rsid w:val="00F770E7"/>
    <w:rsid w:val="00F820F0"/>
    <w:rsid w:val="00F82508"/>
    <w:rsid w:val="00F831B8"/>
    <w:rsid w:val="00F8481E"/>
    <w:rsid w:val="00F84F92"/>
    <w:rsid w:val="00F87E4C"/>
    <w:rsid w:val="00F90EC6"/>
    <w:rsid w:val="00F911FA"/>
    <w:rsid w:val="00F93160"/>
    <w:rsid w:val="00F9350E"/>
    <w:rsid w:val="00F94EB1"/>
    <w:rsid w:val="00F95577"/>
    <w:rsid w:val="00FA1A43"/>
    <w:rsid w:val="00FA29B6"/>
    <w:rsid w:val="00FA6F92"/>
    <w:rsid w:val="00FB069B"/>
    <w:rsid w:val="00FB4D92"/>
    <w:rsid w:val="00FC1304"/>
    <w:rsid w:val="00FC2284"/>
    <w:rsid w:val="00FC3E1F"/>
    <w:rsid w:val="00FC4639"/>
    <w:rsid w:val="00FC5F60"/>
    <w:rsid w:val="00FC6253"/>
    <w:rsid w:val="00FC6DE4"/>
    <w:rsid w:val="00FC6F3A"/>
    <w:rsid w:val="00FD2D20"/>
    <w:rsid w:val="00FD6B37"/>
    <w:rsid w:val="00FD7C19"/>
    <w:rsid w:val="00FE3601"/>
    <w:rsid w:val="00FF0032"/>
    <w:rsid w:val="00FF0E78"/>
    <w:rsid w:val="00FF14A2"/>
    <w:rsid w:val="00FF3C33"/>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465EA6"/>
  <w15:chartTrackingRefBased/>
  <w15:docId w15:val="{A1356EC6-C307-4E5B-B3F4-205E790E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1E9"/>
    <w:pPr>
      <w:jc w:val="both"/>
    </w:pPr>
    <w:rPr>
      <w:rFonts w:ascii="Times New Roman" w:hAnsi="Times New Roman" w:cs="Times New Roman"/>
      <w:sz w:val="20"/>
      <w:szCs w:val="20"/>
    </w:rPr>
  </w:style>
  <w:style w:type="paragraph" w:styleId="Heading1">
    <w:name w:val="heading 1"/>
    <w:basedOn w:val="Normal"/>
    <w:next w:val="Normal"/>
    <w:link w:val="Heading1Char"/>
    <w:uiPriority w:val="9"/>
    <w:qFormat/>
    <w:rsid w:val="004C71E9"/>
    <w:pPr>
      <w:keepNext/>
      <w:keepLines/>
      <w:spacing w:before="240" w:after="0"/>
      <w:outlineLvl w:val="0"/>
    </w:pPr>
    <w:rPr>
      <w:rFonts w:eastAsiaTheme="majorEastAsia"/>
      <w:b/>
    </w:rPr>
  </w:style>
  <w:style w:type="paragraph" w:styleId="Heading2">
    <w:name w:val="heading 2"/>
    <w:basedOn w:val="Normal"/>
    <w:next w:val="Normal"/>
    <w:link w:val="Heading2Char"/>
    <w:uiPriority w:val="9"/>
    <w:unhideWhenUsed/>
    <w:qFormat/>
    <w:rsid w:val="00C61537"/>
    <w:pPr>
      <w:keepNext/>
      <w:keepLines/>
      <w:spacing w:before="40" w:after="0"/>
      <w:outlineLvl w:val="1"/>
    </w:pPr>
    <w:rPr>
      <w:rFonts w:eastAsiaTheme="majorEastAsia"/>
      <w:b/>
    </w:rPr>
  </w:style>
  <w:style w:type="paragraph" w:styleId="Heading3">
    <w:name w:val="heading 3"/>
    <w:basedOn w:val="Normal"/>
    <w:next w:val="Normal"/>
    <w:link w:val="Heading3Char"/>
    <w:uiPriority w:val="9"/>
    <w:unhideWhenUsed/>
    <w:qFormat/>
    <w:rsid w:val="006C05EE"/>
    <w:pPr>
      <w:keepNext/>
      <w:keepLines/>
      <w:spacing w:before="40" w:after="0"/>
      <w:ind w:left="720" w:hanging="720"/>
      <w:outlineLvl w:val="2"/>
    </w:pPr>
    <w:rPr>
      <w:rFonts w:eastAsiaTheme="majorEastAsia"/>
      <w:b/>
    </w:rPr>
  </w:style>
  <w:style w:type="paragraph" w:styleId="Heading4">
    <w:name w:val="heading 4"/>
    <w:basedOn w:val="Normal"/>
    <w:next w:val="Normal"/>
    <w:link w:val="Heading4Char"/>
    <w:uiPriority w:val="9"/>
    <w:unhideWhenUsed/>
    <w:qFormat/>
    <w:rsid w:val="00686F7A"/>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711A9"/>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711A9"/>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711A9"/>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711A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11A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71E9"/>
    <w:pPr>
      <w:spacing w:after="0" w:line="240" w:lineRule="auto"/>
      <w:contextualSpacing/>
    </w:pPr>
    <w:rPr>
      <w:rFonts w:eastAsiaTheme="majorEastAsia"/>
      <w:b/>
      <w:spacing w:val="-10"/>
      <w:kern w:val="28"/>
      <w:sz w:val="24"/>
      <w:szCs w:val="24"/>
    </w:rPr>
  </w:style>
  <w:style w:type="character" w:customStyle="1" w:styleId="TitleChar">
    <w:name w:val="Title Char"/>
    <w:basedOn w:val="DefaultParagraphFont"/>
    <w:link w:val="Title"/>
    <w:uiPriority w:val="10"/>
    <w:rsid w:val="004C71E9"/>
    <w:rPr>
      <w:rFonts w:ascii="Times New Roman" w:eastAsiaTheme="majorEastAsia" w:hAnsi="Times New Roman" w:cs="Times New Roman"/>
      <w:b/>
      <w:spacing w:val="-10"/>
      <w:kern w:val="28"/>
      <w:sz w:val="24"/>
      <w:szCs w:val="24"/>
    </w:rPr>
  </w:style>
  <w:style w:type="character" w:customStyle="1" w:styleId="Heading1Char">
    <w:name w:val="Heading 1 Char"/>
    <w:basedOn w:val="DefaultParagraphFont"/>
    <w:link w:val="Heading1"/>
    <w:uiPriority w:val="9"/>
    <w:rsid w:val="004C71E9"/>
    <w:rPr>
      <w:rFonts w:ascii="Times New Roman" w:eastAsiaTheme="majorEastAsia" w:hAnsi="Times New Roman" w:cs="Times New Roman"/>
      <w:b/>
      <w:sz w:val="20"/>
      <w:szCs w:val="20"/>
    </w:rPr>
  </w:style>
  <w:style w:type="character" w:customStyle="1" w:styleId="Heading2Char">
    <w:name w:val="Heading 2 Char"/>
    <w:basedOn w:val="DefaultParagraphFont"/>
    <w:link w:val="Heading2"/>
    <w:uiPriority w:val="9"/>
    <w:rsid w:val="00C61537"/>
    <w:rPr>
      <w:rFonts w:ascii="Times New Roman" w:eastAsiaTheme="majorEastAsia" w:hAnsi="Times New Roman" w:cs="Times New Roman"/>
      <w:b/>
      <w:sz w:val="20"/>
      <w:szCs w:val="20"/>
    </w:rPr>
  </w:style>
  <w:style w:type="character" w:styleId="Hyperlink">
    <w:name w:val="Hyperlink"/>
    <w:basedOn w:val="DefaultParagraphFont"/>
    <w:uiPriority w:val="99"/>
    <w:unhideWhenUsed/>
    <w:rsid w:val="003D30F4"/>
    <w:rPr>
      <w:color w:val="0000FF"/>
      <w:u w:val="single"/>
    </w:rPr>
  </w:style>
  <w:style w:type="paragraph" w:styleId="FootnoteText">
    <w:name w:val="footnote text"/>
    <w:basedOn w:val="Normal"/>
    <w:link w:val="FootnoteTextChar"/>
    <w:uiPriority w:val="99"/>
    <w:semiHidden/>
    <w:unhideWhenUsed/>
    <w:rsid w:val="003D30F4"/>
    <w:pPr>
      <w:spacing w:after="0" w:line="240" w:lineRule="auto"/>
    </w:pPr>
  </w:style>
  <w:style w:type="character" w:customStyle="1" w:styleId="FootnoteTextChar">
    <w:name w:val="Footnote Text Char"/>
    <w:basedOn w:val="DefaultParagraphFont"/>
    <w:link w:val="FootnoteText"/>
    <w:uiPriority w:val="99"/>
    <w:semiHidden/>
    <w:rsid w:val="003D30F4"/>
    <w:rPr>
      <w:sz w:val="20"/>
      <w:szCs w:val="20"/>
    </w:rPr>
  </w:style>
  <w:style w:type="character" w:styleId="FootnoteReference">
    <w:name w:val="footnote reference"/>
    <w:basedOn w:val="DefaultParagraphFont"/>
    <w:uiPriority w:val="99"/>
    <w:semiHidden/>
    <w:unhideWhenUsed/>
    <w:rsid w:val="003D30F4"/>
    <w:rPr>
      <w:vertAlign w:val="superscript"/>
    </w:rPr>
  </w:style>
  <w:style w:type="character" w:styleId="CommentReference">
    <w:name w:val="annotation reference"/>
    <w:basedOn w:val="DefaultParagraphFont"/>
    <w:uiPriority w:val="99"/>
    <w:semiHidden/>
    <w:unhideWhenUsed/>
    <w:rsid w:val="003D30F4"/>
    <w:rPr>
      <w:sz w:val="16"/>
      <w:szCs w:val="16"/>
    </w:rPr>
  </w:style>
  <w:style w:type="paragraph" w:styleId="CommentText">
    <w:name w:val="annotation text"/>
    <w:basedOn w:val="Normal"/>
    <w:link w:val="CommentTextChar"/>
    <w:uiPriority w:val="99"/>
    <w:unhideWhenUsed/>
    <w:rsid w:val="003D30F4"/>
    <w:pPr>
      <w:spacing w:line="240" w:lineRule="auto"/>
    </w:pPr>
  </w:style>
  <w:style w:type="character" w:customStyle="1" w:styleId="CommentTextChar">
    <w:name w:val="Comment Text Char"/>
    <w:basedOn w:val="DefaultParagraphFont"/>
    <w:link w:val="CommentText"/>
    <w:uiPriority w:val="99"/>
    <w:rsid w:val="003D30F4"/>
    <w:rPr>
      <w:sz w:val="20"/>
      <w:szCs w:val="20"/>
    </w:rPr>
  </w:style>
  <w:style w:type="paragraph" w:styleId="CommentSubject">
    <w:name w:val="annotation subject"/>
    <w:basedOn w:val="CommentText"/>
    <w:next w:val="CommentText"/>
    <w:link w:val="CommentSubjectChar"/>
    <w:uiPriority w:val="99"/>
    <w:semiHidden/>
    <w:unhideWhenUsed/>
    <w:rsid w:val="003D30F4"/>
    <w:rPr>
      <w:b/>
      <w:bCs/>
    </w:rPr>
  </w:style>
  <w:style w:type="character" w:customStyle="1" w:styleId="CommentSubjectChar">
    <w:name w:val="Comment Subject Char"/>
    <w:basedOn w:val="CommentTextChar"/>
    <w:link w:val="CommentSubject"/>
    <w:uiPriority w:val="99"/>
    <w:semiHidden/>
    <w:rsid w:val="003D30F4"/>
    <w:rPr>
      <w:b/>
      <w:bCs/>
      <w:sz w:val="20"/>
      <w:szCs w:val="20"/>
    </w:rPr>
  </w:style>
  <w:style w:type="paragraph" w:styleId="BalloonText">
    <w:name w:val="Balloon Text"/>
    <w:basedOn w:val="Normal"/>
    <w:link w:val="BalloonTextChar"/>
    <w:uiPriority w:val="99"/>
    <w:semiHidden/>
    <w:unhideWhenUsed/>
    <w:rsid w:val="003D3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0F4"/>
    <w:rPr>
      <w:rFonts w:ascii="Segoe UI" w:hAnsi="Segoe UI" w:cs="Segoe UI"/>
      <w:sz w:val="18"/>
      <w:szCs w:val="18"/>
    </w:rPr>
  </w:style>
  <w:style w:type="paragraph" w:styleId="ListParagraph">
    <w:name w:val="List Paragraph"/>
    <w:basedOn w:val="Normal"/>
    <w:uiPriority w:val="34"/>
    <w:qFormat/>
    <w:rsid w:val="003D30F4"/>
    <w:pPr>
      <w:ind w:left="720"/>
      <w:contextualSpacing/>
    </w:pPr>
  </w:style>
  <w:style w:type="paragraph" w:customStyle="1" w:styleId="EndNoteBibliographyTitle">
    <w:name w:val="EndNote Bibliography Title"/>
    <w:basedOn w:val="Normal"/>
    <w:link w:val="EndNoteBibliographyTitleChar"/>
    <w:rsid w:val="00F82508"/>
    <w:pPr>
      <w:spacing w:after="0"/>
      <w:jc w:val="center"/>
    </w:pPr>
    <w:rPr>
      <w:rFonts w:ascii="Calibri Light" w:hAnsi="Calibri Light" w:cs="Calibri Light"/>
      <w:noProof/>
      <w:sz w:val="26"/>
      <w:lang w:val="en-US"/>
    </w:rPr>
  </w:style>
  <w:style w:type="character" w:customStyle="1" w:styleId="EndNoteBibliographyTitleChar">
    <w:name w:val="EndNote Bibliography Title Char"/>
    <w:basedOn w:val="DefaultParagraphFont"/>
    <w:link w:val="EndNoteBibliographyTitle"/>
    <w:rsid w:val="00F82508"/>
    <w:rPr>
      <w:rFonts w:ascii="Calibri Light" w:hAnsi="Calibri Light" w:cs="Calibri Light"/>
      <w:noProof/>
      <w:sz w:val="26"/>
      <w:szCs w:val="20"/>
      <w:lang w:val="en-US"/>
    </w:rPr>
  </w:style>
  <w:style w:type="paragraph" w:customStyle="1" w:styleId="EndNoteBibliography">
    <w:name w:val="EndNote Bibliography"/>
    <w:basedOn w:val="Normal"/>
    <w:link w:val="EndNoteBibliographyChar"/>
    <w:rsid w:val="00F82508"/>
    <w:pPr>
      <w:spacing w:line="240" w:lineRule="auto"/>
    </w:pPr>
    <w:rPr>
      <w:rFonts w:ascii="Calibri Light" w:hAnsi="Calibri Light" w:cs="Calibri Light"/>
      <w:noProof/>
      <w:sz w:val="26"/>
      <w:lang w:val="en-US"/>
    </w:rPr>
  </w:style>
  <w:style w:type="character" w:customStyle="1" w:styleId="EndNoteBibliographyChar">
    <w:name w:val="EndNote Bibliography Char"/>
    <w:basedOn w:val="DefaultParagraphFont"/>
    <w:link w:val="EndNoteBibliography"/>
    <w:rsid w:val="00F82508"/>
    <w:rPr>
      <w:rFonts w:ascii="Calibri Light" w:hAnsi="Calibri Light" w:cs="Calibri Light"/>
      <w:noProof/>
      <w:sz w:val="26"/>
      <w:szCs w:val="20"/>
      <w:lang w:val="en-US"/>
    </w:rPr>
  </w:style>
  <w:style w:type="character" w:styleId="FollowedHyperlink">
    <w:name w:val="FollowedHyperlink"/>
    <w:basedOn w:val="DefaultParagraphFont"/>
    <w:uiPriority w:val="99"/>
    <w:semiHidden/>
    <w:unhideWhenUsed/>
    <w:rsid w:val="00C71278"/>
    <w:rPr>
      <w:color w:val="954F72" w:themeColor="followedHyperlink"/>
      <w:u w:val="single"/>
    </w:rPr>
  </w:style>
  <w:style w:type="character" w:styleId="PlaceholderText">
    <w:name w:val="Placeholder Text"/>
    <w:basedOn w:val="DefaultParagraphFont"/>
    <w:uiPriority w:val="99"/>
    <w:semiHidden/>
    <w:rsid w:val="00426391"/>
    <w:rPr>
      <w:color w:val="808080"/>
    </w:rPr>
  </w:style>
  <w:style w:type="table" w:styleId="TableGrid">
    <w:name w:val="Table Grid"/>
    <w:basedOn w:val="TableNormal"/>
    <w:uiPriority w:val="39"/>
    <w:rsid w:val="00B64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4213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6C05EE"/>
    <w:rPr>
      <w:rFonts w:ascii="Times New Roman" w:eastAsiaTheme="majorEastAsia" w:hAnsi="Times New Roman" w:cs="Times New Roman"/>
      <w:b/>
      <w:sz w:val="20"/>
      <w:szCs w:val="20"/>
    </w:rPr>
  </w:style>
  <w:style w:type="character" w:customStyle="1" w:styleId="Heading4Char">
    <w:name w:val="Heading 4 Char"/>
    <w:basedOn w:val="DefaultParagraphFont"/>
    <w:link w:val="Heading4"/>
    <w:uiPriority w:val="9"/>
    <w:rsid w:val="00686F7A"/>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C07D78"/>
    <w:pPr>
      <w:spacing w:before="100" w:beforeAutospacing="1" w:after="100" w:afterAutospacing="1" w:line="240" w:lineRule="auto"/>
    </w:pPr>
    <w:rPr>
      <w:rFonts w:eastAsiaTheme="minorEastAsia"/>
      <w:sz w:val="24"/>
      <w:szCs w:val="24"/>
      <w:lang w:eastAsia="en-GB"/>
    </w:rPr>
  </w:style>
  <w:style w:type="character" w:customStyle="1" w:styleId="Heading5Char">
    <w:name w:val="Heading 5 Char"/>
    <w:basedOn w:val="DefaultParagraphFont"/>
    <w:link w:val="Heading5"/>
    <w:uiPriority w:val="9"/>
    <w:semiHidden/>
    <w:rsid w:val="007711A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711A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711A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711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11A9"/>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unhideWhenUsed/>
    <w:rsid w:val="00692718"/>
    <w:pPr>
      <w:spacing w:after="0" w:line="240" w:lineRule="auto"/>
    </w:pPr>
  </w:style>
  <w:style w:type="character" w:customStyle="1" w:styleId="EndnoteTextChar">
    <w:name w:val="Endnote Text Char"/>
    <w:basedOn w:val="DefaultParagraphFont"/>
    <w:link w:val="EndnoteText"/>
    <w:uiPriority w:val="99"/>
    <w:rsid w:val="00692718"/>
    <w:rPr>
      <w:sz w:val="20"/>
      <w:szCs w:val="20"/>
    </w:rPr>
  </w:style>
  <w:style w:type="character" w:styleId="EndnoteReference">
    <w:name w:val="endnote reference"/>
    <w:basedOn w:val="DefaultParagraphFont"/>
    <w:uiPriority w:val="99"/>
    <w:semiHidden/>
    <w:unhideWhenUsed/>
    <w:rsid w:val="00692718"/>
    <w:rPr>
      <w:vertAlign w:val="superscript"/>
    </w:rPr>
  </w:style>
  <w:style w:type="paragraph" w:styleId="Revision">
    <w:name w:val="Revision"/>
    <w:hidden/>
    <w:uiPriority w:val="99"/>
    <w:semiHidden/>
    <w:rsid w:val="001E4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900">
      <w:bodyDiv w:val="1"/>
      <w:marLeft w:val="0"/>
      <w:marRight w:val="0"/>
      <w:marTop w:val="0"/>
      <w:marBottom w:val="0"/>
      <w:divBdr>
        <w:top w:val="none" w:sz="0" w:space="0" w:color="auto"/>
        <w:left w:val="none" w:sz="0" w:space="0" w:color="auto"/>
        <w:bottom w:val="none" w:sz="0" w:space="0" w:color="auto"/>
        <w:right w:val="none" w:sz="0" w:space="0" w:color="auto"/>
      </w:divBdr>
    </w:div>
    <w:div w:id="12651892">
      <w:bodyDiv w:val="1"/>
      <w:marLeft w:val="0"/>
      <w:marRight w:val="0"/>
      <w:marTop w:val="0"/>
      <w:marBottom w:val="0"/>
      <w:divBdr>
        <w:top w:val="none" w:sz="0" w:space="0" w:color="auto"/>
        <w:left w:val="none" w:sz="0" w:space="0" w:color="auto"/>
        <w:bottom w:val="none" w:sz="0" w:space="0" w:color="auto"/>
        <w:right w:val="none" w:sz="0" w:space="0" w:color="auto"/>
      </w:divBdr>
    </w:div>
    <w:div w:id="63988362">
      <w:bodyDiv w:val="1"/>
      <w:marLeft w:val="0"/>
      <w:marRight w:val="0"/>
      <w:marTop w:val="0"/>
      <w:marBottom w:val="0"/>
      <w:divBdr>
        <w:top w:val="none" w:sz="0" w:space="0" w:color="auto"/>
        <w:left w:val="none" w:sz="0" w:space="0" w:color="auto"/>
        <w:bottom w:val="none" w:sz="0" w:space="0" w:color="auto"/>
        <w:right w:val="none" w:sz="0" w:space="0" w:color="auto"/>
      </w:divBdr>
    </w:div>
    <w:div w:id="74743714">
      <w:bodyDiv w:val="1"/>
      <w:marLeft w:val="0"/>
      <w:marRight w:val="0"/>
      <w:marTop w:val="0"/>
      <w:marBottom w:val="0"/>
      <w:divBdr>
        <w:top w:val="none" w:sz="0" w:space="0" w:color="auto"/>
        <w:left w:val="none" w:sz="0" w:space="0" w:color="auto"/>
        <w:bottom w:val="none" w:sz="0" w:space="0" w:color="auto"/>
        <w:right w:val="none" w:sz="0" w:space="0" w:color="auto"/>
      </w:divBdr>
    </w:div>
    <w:div w:id="79252527">
      <w:bodyDiv w:val="1"/>
      <w:marLeft w:val="0"/>
      <w:marRight w:val="0"/>
      <w:marTop w:val="0"/>
      <w:marBottom w:val="0"/>
      <w:divBdr>
        <w:top w:val="none" w:sz="0" w:space="0" w:color="auto"/>
        <w:left w:val="none" w:sz="0" w:space="0" w:color="auto"/>
        <w:bottom w:val="none" w:sz="0" w:space="0" w:color="auto"/>
        <w:right w:val="none" w:sz="0" w:space="0" w:color="auto"/>
      </w:divBdr>
    </w:div>
    <w:div w:id="107088378">
      <w:bodyDiv w:val="1"/>
      <w:marLeft w:val="0"/>
      <w:marRight w:val="0"/>
      <w:marTop w:val="0"/>
      <w:marBottom w:val="0"/>
      <w:divBdr>
        <w:top w:val="none" w:sz="0" w:space="0" w:color="auto"/>
        <w:left w:val="none" w:sz="0" w:space="0" w:color="auto"/>
        <w:bottom w:val="none" w:sz="0" w:space="0" w:color="auto"/>
        <w:right w:val="none" w:sz="0" w:space="0" w:color="auto"/>
      </w:divBdr>
    </w:div>
    <w:div w:id="119957485">
      <w:bodyDiv w:val="1"/>
      <w:marLeft w:val="0"/>
      <w:marRight w:val="0"/>
      <w:marTop w:val="0"/>
      <w:marBottom w:val="0"/>
      <w:divBdr>
        <w:top w:val="none" w:sz="0" w:space="0" w:color="auto"/>
        <w:left w:val="none" w:sz="0" w:space="0" w:color="auto"/>
        <w:bottom w:val="none" w:sz="0" w:space="0" w:color="auto"/>
        <w:right w:val="none" w:sz="0" w:space="0" w:color="auto"/>
      </w:divBdr>
    </w:div>
    <w:div w:id="149761326">
      <w:bodyDiv w:val="1"/>
      <w:marLeft w:val="0"/>
      <w:marRight w:val="0"/>
      <w:marTop w:val="0"/>
      <w:marBottom w:val="0"/>
      <w:divBdr>
        <w:top w:val="none" w:sz="0" w:space="0" w:color="auto"/>
        <w:left w:val="none" w:sz="0" w:space="0" w:color="auto"/>
        <w:bottom w:val="none" w:sz="0" w:space="0" w:color="auto"/>
        <w:right w:val="none" w:sz="0" w:space="0" w:color="auto"/>
      </w:divBdr>
    </w:div>
    <w:div w:id="269357220">
      <w:bodyDiv w:val="1"/>
      <w:marLeft w:val="0"/>
      <w:marRight w:val="0"/>
      <w:marTop w:val="0"/>
      <w:marBottom w:val="0"/>
      <w:divBdr>
        <w:top w:val="none" w:sz="0" w:space="0" w:color="auto"/>
        <w:left w:val="none" w:sz="0" w:space="0" w:color="auto"/>
        <w:bottom w:val="none" w:sz="0" w:space="0" w:color="auto"/>
        <w:right w:val="none" w:sz="0" w:space="0" w:color="auto"/>
      </w:divBdr>
    </w:div>
    <w:div w:id="273942316">
      <w:bodyDiv w:val="1"/>
      <w:marLeft w:val="0"/>
      <w:marRight w:val="0"/>
      <w:marTop w:val="0"/>
      <w:marBottom w:val="0"/>
      <w:divBdr>
        <w:top w:val="none" w:sz="0" w:space="0" w:color="auto"/>
        <w:left w:val="none" w:sz="0" w:space="0" w:color="auto"/>
        <w:bottom w:val="none" w:sz="0" w:space="0" w:color="auto"/>
        <w:right w:val="none" w:sz="0" w:space="0" w:color="auto"/>
      </w:divBdr>
    </w:div>
    <w:div w:id="312372066">
      <w:bodyDiv w:val="1"/>
      <w:marLeft w:val="0"/>
      <w:marRight w:val="0"/>
      <w:marTop w:val="0"/>
      <w:marBottom w:val="0"/>
      <w:divBdr>
        <w:top w:val="none" w:sz="0" w:space="0" w:color="auto"/>
        <w:left w:val="none" w:sz="0" w:space="0" w:color="auto"/>
        <w:bottom w:val="none" w:sz="0" w:space="0" w:color="auto"/>
        <w:right w:val="none" w:sz="0" w:space="0" w:color="auto"/>
      </w:divBdr>
    </w:div>
    <w:div w:id="451288383">
      <w:bodyDiv w:val="1"/>
      <w:marLeft w:val="0"/>
      <w:marRight w:val="0"/>
      <w:marTop w:val="0"/>
      <w:marBottom w:val="0"/>
      <w:divBdr>
        <w:top w:val="none" w:sz="0" w:space="0" w:color="auto"/>
        <w:left w:val="none" w:sz="0" w:space="0" w:color="auto"/>
        <w:bottom w:val="none" w:sz="0" w:space="0" w:color="auto"/>
        <w:right w:val="none" w:sz="0" w:space="0" w:color="auto"/>
      </w:divBdr>
    </w:div>
    <w:div w:id="526451534">
      <w:bodyDiv w:val="1"/>
      <w:marLeft w:val="0"/>
      <w:marRight w:val="0"/>
      <w:marTop w:val="0"/>
      <w:marBottom w:val="0"/>
      <w:divBdr>
        <w:top w:val="none" w:sz="0" w:space="0" w:color="auto"/>
        <w:left w:val="none" w:sz="0" w:space="0" w:color="auto"/>
        <w:bottom w:val="none" w:sz="0" w:space="0" w:color="auto"/>
        <w:right w:val="none" w:sz="0" w:space="0" w:color="auto"/>
      </w:divBdr>
    </w:div>
    <w:div w:id="542447892">
      <w:bodyDiv w:val="1"/>
      <w:marLeft w:val="0"/>
      <w:marRight w:val="0"/>
      <w:marTop w:val="0"/>
      <w:marBottom w:val="0"/>
      <w:divBdr>
        <w:top w:val="none" w:sz="0" w:space="0" w:color="auto"/>
        <w:left w:val="none" w:sz="0" w:space="0" w:color="auto"/>
        <w:bottom w:val="none" w:sz="0" w:space="0" w:color="auto"/>
        <w:right w:val="none" w:sz="0" w:space="0" w:color="auto"/>
      </w:divBdr>
    </w:div>
    <w:div w:id="572935108">
      <w:bodyDiv w:val="1"/>
      <w:marLeft w:val="0"/>
      <w:marRight w:val="0"/>
      <w:marTop w:val="0"/>
      <w:marBottom w:val="0"/>
      <w:divBdr>
        <w:top w:val="none" w:sz="0" w:space="0" w:color="auto"/>
        <w:left w:val="none" w:sz="0" w:space="0" w:color="auto"/>
        <w:bottom w:val="none" w:sz="0" w:space="0" w:color="auto"/>
        <w:right w:val="none" w:sz="0" w:space="0" w:color="auto"/>
      </w:divBdr>
    </w:div>
    <w:div w:id="584648614">
      <w:bodyDiv w:val="1"/>
      <w:marLeft w:val="0"/>
      <w:marRight w:val="0"/>
      <w:marTop w:val="0"/>
      <w:marBottom w:val="0"/>
      <w:divBdr>
        <w:top w:val="none" w:sz="0" w:space="0" w:color="auto"/>
        <w:left w:val="none" w:sz="0" w:space="0" w:color="auto"/>
        <w:bottom w:val="none" w:sz="0" w:space="0" w:color="auto"/>
        <w:right w:val="none" w:sz="0" w:space="0" w:color="auto"/>
      </w:divBdr>
    </w:div>
    <w:div w:id="608658178">
      <w:bodyDiv w:val="1"/>
      <w:marLeft w:val="0"/>
      <w:marRight w:val="0"/>
      <w:marTop w:val="0"/>
      <w:marBottom w:val="0"/>
      <w:divBdr>
        <w:top w:val="none" w:sz="0" w:space="0" w:color="auto"/>
        <w:left w:val="none" w:sz="0" w:space="0" w:color="auto"/>
        <w:bottom w:val="none" w:sz="0" w:space="0" w:color="auto"/>
        <w:right w:val="none" w:sz="0" w:space="0" w:color="auto"/>
      </w:divBdr>
    </w:div>
    <w:div w:id="635837415">
      <w:bodyDiv w:val="1"/>
      <w:marLeft w:val="0"/>
      <w:marRight w:val="0"/>
      <w:marTop w:val="0"/>
      <w:marBottom w:val="0"/>
      <w:divBdr>
        <w:top w:val="none" w:sz="0" w:space="0" w:color="auto"/>
        <w:left w:val="none" w:sz="0" w:space="0" w:color="auto"/>
        <w:bottom w:val="none" w:sz="0" w:space="0" w:color="auto"/>
        <w:right w:val="none" w:sz="0" w:space="0" w:color="auto"/>
      </w:divBdr>
    </w:div>
    <w:div w:id="736709675">
      <w:bodyDiv w:val="1"/>
      <w:marLeft w:val="0"/>
      <w:marRight w:val="0"/>
      <w:marTop w:val="0"/>
      <w:marBottom w:val="0"/>
      <w:divBdr>
        <w:top w:val="none" w:sz="0" w:space="0" w:color="auto"/>
        <w:left w:val="none" w:sz="0" w:space="0" w:color="auto"/>
        <w:bottom w:val="none" w:sz="0" w:space="0" w:color="auto"/>
        <w:right w:val="none" w:sz="0" w:space="0" w:color="auto"/>
      </w:divBdr>
    </w:div>
    <w:div w:id="746460838">
      <w:bodyDiv w:val="1"/>
      <w:marLeft w:val="0"/>
      <w:marRight w:val="0"/>
      <w:marTop w:val="0"/>
      <w:marBottom w:val="0"/>
      <w:divBdr>
        <w:top w:val="none" w:sz="0" w:space="0" w:color="auto"/>
        <w:left w:val="none" w:sz="0" w:space="0" w:color="auto"/>
        <w:bottom w:val="none" w:sz="0" w:space="0" w:color="auto"/>
        <w:right w:val="none" w:sz="0" w:space="0" w:color="auto"/>
      </w:divBdr>
    </w:div>
    <w:div w:id="769275977">
      <w:bodyDiv w:val="1"/>
      <w:marLeft w:val="0"/>
      <w:marRight w:val="0"/>
      <w:marTop w:val="0"/>
      <w:marBottom w:val="0"/>
      <w:divBdr>
        <w:top w:val="none" w:sz="0" w:space="0" w:color="auto"/>
        <w:left w:val="none" w:sz="0" w:space="0" w:color="auto"/>
        <w:bottom w:val="none" w:sz="0" w:space="0" w:color="auto"/>
        <w:right w:val="none" w:sz="0" w:space="0" w:color="auto"/>
      </w:divBdr>
    </w:div>
    <w:div w:id="840436720">
      <w:bodyDiv w:val="1"/>
      <w:marLeft w:val="0"/>
      <w:marRight w:val="0"/>
      <w:marTop w:val="0"/>
      <w:marBottom w:val="0"/>
      <w:divBdr>
        <w:top w:val="none" w:sz="0" w:space="0" w:color="auto"/>
        <w:left w:val="none" w:sz="0" w:space="0" w:color="auto"/>
        <w:bottom w:val="none" w:sz="0" w:space="0" w:color="auto"/>
        <w:right w:val="none" w:sz="0" w:space="0" w:color="auto"/>
      </w:divBdr>
    </w:div>
    <w:div w:id="922110114">
      <w:bodyDiv w:val="1"/>
      <w:marLeft w:val="0"/>
      <w:marRight w:val="0"/>
      <w:marTop w:val="0"/>
      <w:marBottom w:val="0"/>
      <w:divBdr>
        <w:top w:val="none" w:sz="0" w:space="0" w:color="auto"/>
        <w:left w:val="none" w:sz="0" w:space="0" w:color="auto"/>
        <w:bottom w:val="none" w:sz="0" w:space="0" w:color="auto"/>
        <w:right w:val="none" w:sz="0" w:space="0" w:color="auto"/>
      </w:divBdr>
    </w:div>
    <w:div w:id="928124274">
      <w:bodyDiv w:val="1"/>
      <w:marLeft w:val="0"/>
      <w:marRight w:val="0"/>
      <w:marTop w:val="0"/>
      <w:marBottom w:val="0"/>
      <w:divBdr>
        <w:top w:val="none" w:sz="0" w:space="0" w:color="auto"/>
        <w:left w:val="none" w:sz="0" w:space="0" w:color="auto"/>
        <w:bottom w:val="none" w:sz="0" w:space="0" w:color="auto"/>
        <w:right w:val="none" w:sz="0" w:space="0" w:color="auto"/>
      </w:divBdr>
    </w:div>
    <w:div w:id="957028638">
      <w:bodyDiv w:val="1"/>
      <w:marLeft w:val="0"/>
      <w:marRight w:val="0"/>
      <w:marTop w:val="0"/>
      <w:marBottom w:val="0"/>
      <w:divBdr>
        <w:top w:val="none" w:sz="0" w:space="0" w:color="auto"/>
        <w:left w:val="none" w:sz="0" w:space="0" w:color="auto"/>
        <w:bottom w:val="none" w:sz="0" w:space="0" w:color="auto"/>
        <w:right w:val="none" w:sz="0" w:space="0" w:color="auto"/>
      </w:divBdr>
    </w:div>
    <w:div w:id="960457927">
      <w:bodyDiv w:val="1"/>
      <w:marLeft w:val="0"/>
      <w:marRight w:val="0"/>
      <w:marTop w:val="0"/>
      <w:marBottom w:val="0"/>
      <w:divBdr>
        <w:top w:val="none" w:sz="0" w:space="0" w:color="auto"/>
        <w:left w:val="none" w:sz="0" w:space="0" w:color="auto"/>
        <w:bottom w:val="none" w:sz="0" w:space="0" w:color="auto"/>
        <w:right w:val="none" w:sz="0" w:space="0" w:color="auto"/>
      </w:divBdr>
    </w:div>
    <w:div w:id="1002052076">
      <w:bodyDiv w:val="1"/>
      <w:marLeft w:val="0"/>
      <w:marRight w:val="0"/>
      <w:marTop w:val="0"/>
      <w:marBottom w:val="0"/>
      <w:divBdr>
        <w:top w:val="none" w:sz="0" w:space="0" w:color="auto"/>
        <w:left w:val="none" w:sz="0" w:space="0" w:color="auto"/>
        <w:bottom w:val="none" w:sz="0" w:space="0" w:color="auto"/>
        <w:right w:val="none" w:sz="0" w:space="0" w:color="auto"/>
      </w:divBdr>
    </w:div>
    <w:div w:id="1012729831">
      <w:bodyDiv w:val="1"/>
      <w:marLeft w:val="0"/>
      <w:marRight w:val="0"/>
      <w:marTop w:val="0"/>
      <w:marBottom w:val="0"/>
      <w:divBdr>
        <w:top w:val="none" w:sz="0" w:space="0" w:color="auto"/>
        <w:left w:val="none" w:sz="0" w:space="0" w:color="auto"/>
        <w:bottom w:val="none" w:sz="0" w:space="0" w:color="auto"/>
        <w:right w:val="none" w:sz="0" w:space="0" w:color="auto"/>
      </w:divBdr>
    </w:div>
    <w:div w:id="1078552437">
      <w:bodyDiv w:val="1"/>
      <w:marLeft w:val="0"/>
      <w:marRight w:val="0"/>
      <w:marTop w:val="0"/>
      <w:marBottom w:val="0"/>
      <w:divBdr>
        <w:top w:val="none" w:sz="0" w:space="0" w:color="auto"/>
        <w:left w:val="none" w:sz="0" w:space="0" w:color="auto"/>
        <w:bottom w:val="none" w:sz="0" w:space="0" w:color="auto"/>
        <w:right w:val="none" w:sz="0" w:space="0" w:color="auto"/>
      </w:divBdr>
    </w:div>
    <w:div w:id="1084447807">
      <w:bodyDiv w:val="1"/>
      <w:marLeft w:val="0"/>
      <w:marRight w:val="0"/>
      <w:marTop w:val="0"/>
      <w:marBottom w:val="0"/>
      <w:divBdr>
        <w:top w:val="none" w:sz="0" w:space="0" w:color="auto"/>
        <w:left w:val="none" w:sz="0" w:space="0" w:color="auto"/>
        <w:bottom w:val="none" w:sz="0" w:space="0" w:color="auto"/>
        <w:right w:val="none" w:sz="0" w:space="0" w:color="auto"/>
      </w:divBdr>
    </w:div>
    <w:div w:id="1127579207">
      <w:bodyDiv w:val="1"/>
      <w:marLeft w:val="0"/>
      <w:marRight w:val="0"/>
      <w:marTop w:val="0"/>
      <w:marBottom w:val="0"/>
      <w:divBdr>
        <w:top w:val="none" w:sz="0" w:space="0" w:color="auto"/>
        <w:left w:val="none" w:sz="0" w:space="0" w:color="auto"/>
        <w:bottom w:val="none" w:sz="0" w:space="0" w:color="auto"/>
        <w:right w:val="none" w:sz="0" w:space="0" w:color="auto"/>
      </w:divBdr>
    </w:div>
    <w:div w:id="1132018113">
      <w:bodyDiv w:val="1"/>
      <w:marLeft w:val="0"/>
      <w:marRight w:val="0"/>
      <w:marTop w:val="0"/>
      <w:marBottom w:val="0"/>
      <w:divBdr>
        <w:top w:val="none" w:sz="0" w:space="0" w:color="auto"/>
        <w:left w:val="none" w:sz="0" w:space="0" w:color="auto"/>
        <w:bottom w:val="none" w:sz="0" w:space="0" w:color="auto"/>
        <w:right w:val="none" w:sz="0" w:space="0" w:color="auto"/>
      </w:divBdr>
    </w:div>
    <w:div w:id="1157577997">
      <w:bodyDiv w:val="1"/>
      <w:marLeft w:val="0"/>
      <w:marRight w:val="0"/>
      <w:marTop w:val="0"/>
      <w:marBottom w:val="0"/>
      <w:divBdr>
        <w:top w:val="none" w:sz="0" w:space="0" w:color="auto"/>
        <w:left w:val="none" w:sz="0" w:space="0" w:color="auto"/>
        <w:bottom w:val="none" w:sz="0" w:space="0" w:color="auto"/>
        <w:right w:val="none" w:sz="0" w:space="0" w:color="auto"/>
      </w:divBdr>
    </w:div>
    <w:div w:id="1195341196">
      <w:bodyDiv w:val="1"/>
      <w:marLeft w:val="0"/>
      <w:marRight w:val="0"/>
      <w:marTop w:val="0"/>
      <w:marBottom w:val="0"/>
      <w:divBdr>
        <w:top w:val="none" w:sz="0" w:space="0" w:color="auto"/>
        <w:left w:val="none" w:sz="0" w:space="0" w:color="auto"/>
        <w:bottom w:val="none" w:sz="0" w:space="0" w:color="auto"/>
        <w:right w:val="none" w:sz="0" w:space="0" w:color="auto"/>
      </w:divBdr>
    </w:div>
    <w:div w:id="1281761106">
      <w:bodyDiv w:val="1"/>
      <w:marLeft w:val="0"/>
      <w:marRight w:val="0"/>
      <w:marTop w:val="0"/>
      <w:marBottom w:val="0"/>
      <w:divBdr>
        <w:top w:val="none" w:sz="0" w:space="0" w:color="auto"/>
        <w:left w:val="none" w:sz="0" w:space="0" w:color="auto"/>
        <w:bottom w:val="none" w:sz="0" w:space="0" w:color="auto"/>
        <w:right w:val="none" w:sz="0" w:space="0" w:color="auto"/>
      </w:divBdr>
    </w:div>
    <w:div w:id="1295135228">
      <w:bodyDiv w:val="1"/>
      <w:marLeft w:val="0"/>
      <w:marRight w:val="0"/>
      <w:marTop w:val="0"/>
      <w:marBottom w:val="0"/>
      <w:divBdr>
        <w:top w:val="none" w:sz="0" w:space="0" w:color="auto"/>
        <w:left w:val="none" w:sz="0" w:space="0" w:color="auto"/>
        <w:bottom w:val="none" w:sz="0" w:space="0" w:color="auto"/>
        <w:right w:val="none" w:sz="0" w:space="0" w:color="auto"/>
      </w:divBdr>
    </w:div>
    <w:div w:id="1339114442">
      <w:bodyDiv w:val="1"/>
      <w:marLeft w:val="0"/>
      <w:marRight w:val="0"/>
      <w:marTop w:val="0"/>
      <w:marBottom w:val="0"/>
      <w:divBdr>
        <w:top w:val="none" w:sz="0" w:space="0" w:color="auto"/>
        <w:left w:val="none" w:sz="0" w:space="0" w:color="auto"/>
        <w:bottom w:val="none" w:sz="0" w:space="0" w:color="auto"/>
        <w:right w:val="none" w:sz="0" w:space="0" w:color="auto"/>
      </w:divBdr>
    </w:div>
    <w:div w:id="1378578792">
      <w:bodyDiv w:val="1"/>
      <w:marLeft w:val="0"/>
      <w:marRight w:val="0"/>
      <w:marTop w:val="0"/>
      <w:marBottom w:val="0"/>
      <w:divBdr>
        <w:top w:val="none" w:sz="0" w:space="0" w:color="auto"/>
        <w:left w:val="none" w:sz="0" w:space="0" w:color="auto"/>
        <w:bottom w:val="none" w:sz="0" w:space="0" w:color="auto"/>
        <w:right w:val="none" w:sz="0" w:space="0" w:color="auto"/>
      </w:divBdr>
    </w:div>
    <w:div w:id="1407923312">
      <w:bodyDiv w:val="1"/>
      <w:marLeft w:val="0"/>
      <w:marRight w:val="0"/>
      <w:marTop w:val="0"/>
      <w:marBottom w:val="0"/>
      <w:divBdr>
        <w:top w:val="none" w:sz="0" w:space="0" w:color="auto"/>
        <w:left w:val="none" w:sz="0" w:space="0" w:color="auto"/>
        <w:bottom w:val="none" w:sz="0" w:space="0" w:color="auto"/>
        <w:right w:val="none" w:sz="0" w:space="0" w:color="auto"/>
      </w:divBdr>
    </w:div>
    <w:div w:id="1630209334">
      <w:bodyDiv w:val="1"/>
      <w:marLeft w:val="0"/>
      <w:marRight w:val="0"/>
      <w:marTop w:val="0"/>
      <w:marBottom w:val="0"/>
      <w:divBdr>
        <w:top w:val="none" w:sz="0" w:space="0" w:color="auto"/>
        <w:left w:val="none" w:sz="0" w:space="0" w:color="auto"/>
        <w:bottom w:val="none" w:sz="0" w:space="0" w:color="auto"/>
        <w:right w:val="none" w:sz="0" w:space="0" w:color="auto"/>
      </w:divBdr>
    </w:div>
    <w:div w:id="1723023558">
      <w:bodyDiv w:val="1"/>
      <w:marLeft w:val="0"/>
      <w:marRight w:val="0"/>
      <w:marTop w:val="0"/>
      <w:marBottom w:val="0"/>
      <w:divBdr>
        <w:top w:val="none" w:sz="0" w:space="0" w:color="auto"/>
        <w:left w:val="none" w:sz="0" w:space="0" w:color="auto"/>
        <w:bottom w:val="none" w:sz="0" w:space="0" w:color="auto"/>
        <w:right w:val="none" w:sz="0" w:space="0" w:color="auto"/>
      </w:divBdr>
    </w:div>
    <w:div w:id="1766261724">
      <w:bodyDiv w:val="1"/>
      <w:marLeft w:val="0"/>
      <w:marRight w:val="0"/>
      <w:marTop w:val="0"/>
      <w:marBottom w:val="0"/>
      <w:divBdr>
        <w:top w:val="none" w:sz="0" w:space="0" w:color="auto"/>
        <w:left w:val="none" w:sz="0" w:space="0" w:color="auto"/>
        <w:bottom w:val="none" w:sz="0" w:space="0" w:color="auto"/>
        <w:right w:val="none" w:sz="0" w:space="0" w:color="auto"/>
      </w:divBdr>
    </w:div>
    <w:div w:id="1791705487">
      <w:bodyDiv w:val="1"/>
      <w:marLeft w:val="0"/>
      <w:marRight w:val="0"/>
      <w:marTop w:val="0"/>
      <w:marBottom w:val="0"/>
      <w:divBdr>
        <w:top w:val="none" w:sz="0" w:space="0" w:color="auto"/>
        <w:left w:val="none" w:sz="0" w:space="0" w:color="auto"/>
        <w:bottom w:val="none" w:sz="0" w:space="0" w:color="auto"/>
        <w:right w:val="none" w:sz="0" w:space="0" w:color="auto"/>
      </w:divBdr>
    </w:div>
    <w:div w:id="1803113184">
      <w:bodyDiv w:val="1"/>
      <w:marLeft w:val="0"/>
      <w:marRight w:val="0"/>
      <w:marTop w:val="0"/>
      <w:marBottom w:val="0"/>
      <w:divBdr>
        <w:top w:val="none" w:sz="0" w:space="0" w:color="auto"/>
        <w:left w:val="none" w:sz="0" w:space="0" w:color="auto"/>
        <w:bottom w:val="none" w:sz="0" w:space="0" w:color="auto"/>
        <w:right w:val="none" w:sz="0" w:space="0" w:color="auto"/>
      </w:divBdr>
    </w:div>
    <w:div w:id="1816947243">
      <w:bodyDiv w:val="1"/>
      <w:marLeft w:val="0"/>
      <w:marRight w:val="0"/>
      <w:marTop w:val="0"/>
      <w:marBottom w:val="0"/>
      <w:divBdr>
        <w:top w:val="none" w:sz="0" w:space="0" w:color="auto"/>
        <w:left w:val="none" w:sz="0" w:space="0" w:color="auto"/>
        <w:bottom w:val="none" w:sz="0" w:space="0" w:color="auto"/>
        <w:right w:val="none" w:sz="0" w:space="0" w:color="auto"/>
      </w:divBdr>
    </w:div>
    <w:div w:id="1877041348">
      <w:bodyDiv w:val="1"/>
      <w:marLeft w:val="0"/>
      <w:marRight w:val="0"/>
      <w:marTop w:val="0"/>
      <w:marBottom w:val="0"/>
      <w:divBdr>
        <w:top w:val="none" w:sz="0" w:space="0" w:color="auto"/>
        <w:left w:val="none" w:sz="0" w:space="0" w:color="auto"/>
        <w:bottom w:val="none" w:sz="0" w:space="0" w:color="auto"/>
        <w:right w:val="none" w:sz="0" w:space="0" w:color="auto"/>
      </w:divBdr>
    </w:div>
    <w:div w:id="19125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1FB5CE86B244082754EC765EDF31B" ma:contentTypeVersion="10" ma:contentTypeDescription="Create a new document." ma:contentTypeScope="" ma:versionID="38ae6e49aef078907e123847c9b446b0">
  <xsd:schema xmlns:xsd="http://www.w3.org/2001/XMLSchema" xmlns:xs="http://www.w3.org/2001/XMLSchema" xmlns:p="http://schemas.microsoft.com/office/2006/metadata/properties" xmlns:ns3="5539492e-d772-43c7-9e93-1aa5a06aee0b" targetNamespace="http://schemas.microsoft.com/office/2006/metadata/properties" ma:root="true" ma:fieldsID="129f6370b7c18e5bcc56dea8d9a9d6a4" ns3:_="">
    <xsd:import namespace="5539492e-d772-43c7-9e93-1aa5a06aee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9492e-d772-43c7-9e93-1aa5a06ae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849F-FB12-454B-936F-E1B1F8884971}">
  <ds:schemaRefs>
    <ds:schemaRef ds:uri="http://schemas.microsoft.com/office/2006/metadata/properties"/>
    <ds:schemaRef ds:uri="http://purl.org/dc/elements/1.1/"/>
    <ds:schemaRef ds:uri="http://schemas.microsoft.com/office/2006/documentManagement/types"/>
    <ds:schemaRef ds:uri="5539492e-d772-43c7-9e93-1aa5a06aee0b"/>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432275C-FB5C-4449-8352-9953DF0D2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9492e-d772-43c7-9e93-1aa5a06ae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3228A-96A5-440A-9A7D-05727A02B968}">
  <ds:schemaRefs>
    <ds:schemaRef ds:uri="http://schemas.microsoft.com/sharepoint/v3/contenttype/forms"/>
  </ds:schemaRefs>
</ds:datastoreItem>
</file>

<file path=customXml/itemProps4.xml><?xml version="1.0" encoding="utf-8"?>
<ds:datastoreItem xmlns:ds="http://schemas.openxmlformats.org/officeDocument/2006/customXml" ds:itemID="{EB253B9C-5F49-4FA1-9B80-982B6031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6603</Words>
  <Characters>37642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Penington</dc:creator>
  <cp:keywords/>
  <dc:description/>
  <cp:lastModifiedBy>Ed Penington</cp:lastModifiedBy>
  <cp:revision>3</cp:revision>
  <dcterms:created xsi:type="dcterms:W3CDTF">2022-04-26T11:33:00Z</dcterms:created>
  <dcterms:modified xsi:type="dcterms:W3CDTF">2022-04-26T11:34:00Z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0x01010085E1FB5CE86B244082754EC765EDF31B</vt:lpwstr>
  </property>
</Properties>
</file>