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F2" w:rsidRDefault="00AA71F2">
      <w:pPr>
        <w:rPr>
          <w:rFonts w:ascii="Times New Roman" w:hAnsi="Times New Roman" w:hint="eastAsia"/>
          <w:b/>
        </w:rPr>
      </w:pPr>
      <w:proofErr w:type="spellStart"/>
      <w:proofErr w:type="gramStart"/>
      <w:r w:rsidRPr="00AA71F2">
        <w:rPr>
          <w:rFonts w:ascii="Times New Roman" w:hAnsi="Times New Roman" w:hint="eastAsia"/>
          <w:b/>
        </w:rPr>
        <w:t>eTable</w:t>
      </w:r>
      <w:proofErr w:type="spellEnd"/>
      <w:proofErr w:type="gramEnd"/>
      <w:r w:rsidRPr="00AA71F2">
        <w:rPr>
          <w:rFonts w:ascii="Times New Roman" w:hAnsi="Times New Roman" w:hint="eastAsia"/>
          <w:b/>
        </w:rPr>
        <w:t xml:space="preserve"> </w:t>
      </w:r>
      <w:r w:rsidR="00B07B31">
        <w:rPr>
          <w:rFonts w:ascii="Times New Roman" w:hAnsi="Times New Roman" w:hint="eastAsia"/>
          <w:b/>
        </w:rPr>
        <w:t>4</w:t>
      </w:r>
      <w:r w:rsidRPr="00AA71F2">
        <w:rPr>
          <w:rFonts w:ascii="Times New Roman" w:hAnsi="Times New Roman" w:hint="eastAsia"/>
          <w:b/>
        </w:rPr>
        <w:t>. S</w:t>
      </w:r>
      <w:r w:rsidRPr="00AA71F2">
        <w:rPr>
          <w:rFonts w:ascii="Times New Roman" w:hAnsi="Times New Roman"/>
          <w:b/>
        </w:rPr>
        <w:t>ummary of side effects</w:t>
      </w:r>
      <w:r w:rsidRPr="00AA71F2">
        <w:rPr>
          <w:rFonts w:ascii="Times New Roman" w:hAnsi="Times New Roman" w:hint="eastAsia"/>
          <w:b/>
        </w:rPr>
        <w:t xml:space="preserve"> of the included studies</w:t>
      </w:r>
    </w:p>
    <w:p w:rsidR="00AF0837" w:rsidRPr="00AA71F2" w:rsidRDefault="00AF0837">
      <w:pPr>
        <w:rPr>
          <w:rFonts w:ascii="Times New Roman" w:hAnsi="Times New Roman"/>
          <w:b/>
        </w:rPr>
      </w:pPr>
    </w:p>
    <w:tbl>
      <w:tblPr>
        <w:tblW w:w="14970" w:type="dxa"/>
        <w:tblInd w:w="-50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33"/>
        <w:gridCol w:w="1417"/>
        <w:gridCol w:w="1560"/>
        <w:gridCol w:w="507"/>
        <w:gridCol w:w="910"/>
        <w:gridCol w:w="992"/>
        <w:gridCol w:w="1134"/>
        <w:gridCol w:w="4820"/>
        <w:gridCol w:w="2197"/>
      </w:tblGrid>
      <w:tr w:rsidR="00AA71F2" w:rsidRPr="00AA71F2" w:rsidTr="00AF0837">
        <w:trPr>
          <w:trHeight w:val="69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Study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Medications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Dosage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Duration</w:t>
            </w: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br/>
              <w:t>(weeks)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Drop-out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Drop-out due to AE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Common side effects</w:t>
            </w:r>
          </w:p>
        </w:tc>
        <w:tc>
          <w:tcPr>
            <w:tcW w:w="2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Serious side effects</w:t>
            </w:r>
          </w:p>
        </w:tc>
      </w:tr>
      <w:tr w:rsidR="00AA71F2" w:rsidRPr="00AA71F2" w:rsidTr="00AF0837">
        <w:trPr>
          <w:trHeight w:val="6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Childress AC (2020)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MPH-MLR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Best dose</w:t>
            </w: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br/>
              <w:t>(27.5mg/d)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40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hypertension, and emotional poverty, negativism, </w:t>
            </w:r>
            <w:proofErr w:type="spellStart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pollakiuria</w:t>
            </w:r>
            <w:proofErr w:type="spellEnd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, </w:t>
            </w:r>
            <w:proofErr w:type="spellStart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onychophagia</w:t>
            </w:r>
            <w:proofErr w:type="spellEnd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, decreased appetite, and tachycardia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Nil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50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  <w:tr w:rsidR="00AA71F2" w:rsidRPr="00AA71F2" w:rsidTr="00AF0837">
        <w:trPr>
          <w:trHeight w:val="6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Ghuman</w:t>
            </w:r>
            <w:proofErr w:type="spellEnd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JK (2009)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Best dose</w:t>
            </w: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br/>
              <w:t>(14.46mg/d)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Upset Stomach, Increased Stereotypy, crying, difficulty falling asleep, restless sleep/waking up early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Nil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  <w:tr w:rsidR="00AA71F2" w:rsidRPr="00AA71F2" w:rsidTr="00AF0837">
        <w:trPr>
          <w:trHeight w:val="34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Abikoff</w:t>
            </w:r>
            <w:proofErr w:type="spellEnd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HB (2007)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Best dose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61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Nil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53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0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  <w:tr w:rsidR="00AA71F2" w:rsidRPr="00AA71F2" w:rsidTr="00AF0837">
        <w:trPr>
          <w:trHeight w:val="34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Greenhill L (2006)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3.75-22.5mg/d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165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appetite loss, trouble sleeping, stomachaches, social withdrawal, and lethargy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seizure (1)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165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  <w:tr w:rsidR="00AA71F2" w:rsidRPr="00AA71F2" w:rsidTr="00AF0837">
        <w:trPr>
          <w:trHeight w:val="34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Chacko A </w:t>
            </w: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 xml:space="preserve">(2004)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MPH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0.6-1.2mg/kg/d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appetite loss, worry/anxiety, and </w:t>
            </w: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tearfulness/depression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Nil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  <w:tr w:rsidR="00AA71F2" w:rsidRPr="00AA71F2" w:rsidTr="00AF0837">
        <w:trPr>
          <w:trHeight w:val="6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Short EJ (2004)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MPH IR or MAS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Best dose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3~4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0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decreased appetite, irritability, crying, and rebound effects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Nil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0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  <w:tr w:rsidR="00AA71F2" w:rsidRPr="00AA71F2" w:rsidTr="00AF0837">
        <w:trPr>
          <w:trHeight w:val="34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Handen</w:t>
            </w:r>
            <w:proofErr w:type="spellEnd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BL (1999)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0.6-1.2mg/kg/d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Poor appetite, Social withdrawal, Dull, not alert, Restless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Nil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0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  <w:tr w:rsidR="00AA71F2" w:rsidRPr="00AA71F2" w:rsidTr="00AF0837">
        <w:trPr>
          <w:trHeight w:val="34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Musten</w:t>
            </w:r>
            <w:proofErr w:type="spellEnd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LM (1997)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0.6-1.0 mg/kg/d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Nil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  <w:tr w:rsidR="00AA71F2" w:rsidRPr="00AA71F2" w:rsidTr="00AF0837">
        <w:trPr>
          <w:trHeight w:val="34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CK </w:t>
            </w:r>
            <w:proofErr w:type="spellStart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Conners</w:t>
            </w:r>
            <w:proofErr w:type="spellEnd"/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(1975)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MPH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Best dose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insomnia, anorexia, ataxia, nausea, headache, vomiting, jitteriness, sadness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Nil</w:t>
            </w:r>
          </w:p>
        </w:tc>
      </w:tr>
      <w:tr w:rsidR="00AA71F2" w:rsidRPr="00AA71F2" w:rsidTr="00AF0837">
        <w:trPr>
          <w:trHeight w:val="35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Placebo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AA71F2">
              <w:rPr>
                <w:rFonts w:ascii="Times New Roman" w:hAnsi="Times New Roman"/>
                <w:color w:val="000000"/>
                <w:kern w:val="0"/>
                <w:szCs w:val="24"/>
              </w:rPr>
              <w:t>N/A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1F2" w:rsidRPr="00AA71F2" w:rsidRDefault="00AA71F2" w:rsidP="00AF083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</w:tr>
    </w:tbl>
    <w:p w:rsidR="00AA71F2" w:rsidRPr="00AA71F2" w:rsidRDefault="00AF0837" w:rsidP="00AF0837">
      <w:pPr>
        <w:spacing w:line="360" w:lineRule="auto"/>
        <w:rPr>
          <w:rFonts w:ascii="Times New Roman" w:hAnsi="Times New Roman"/>
        </w:rPr>
      </w:pPr>
      <w:r w:rsidRPr="00AF0837">
        <w:rPr>
          <w:rFonts w:ascii="Times New Roman" w:hAnsi="Times New Roman"/>
        </w:rPr>
        <w:t>AE: adverse events; d: day; MPH: Methylphenidate; MPH-MLR: Methylpheni</w:t>
      </w:r>
      <w:bookmarkStart w:id="0" w:name="_GoBack"/>
      <w:bookmarkEnd w:id="0"/>
      <w:r w:rsidRPr="00AF0837">
        <w:rPr>
          <w:rFonts w:ascii="Times New Roman" w:hAnsi="Times New Roman"/>
        </w:rPr>
        <w:t xml:space="preserve">date extended-release, N/A Not available; </w:t>
      </w:r>
    </w:p>
    <w:sectPr w:rsidR="00AA71F2" w:rsidRPr="00AA71F2" w:rsidSect="0062632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961" w:rsidRDefault="00F03961" w:rsidP="000B45A3">
      <w:r>
        <w:separator/>
      </w:r>
    </w:p>
  </w:endnote>
  <w:endnote w:type="continuationSeparator" w:id="0">
    <w:p w:rsidR="00F03961" w:rsidRDefault="00F03961" w:rsidP="000B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961" w:rsidRDefault="00F03961" w:rsidP="000B45A3">
      <w:r>
        <w:separator/>
      </w:r>
    </w:p>
  </w:footnote>
  <w:footnote w:type="continuationSeparator" w:id="0">
    <w:p w:rsidR="00F03961" w:rsidRDefault="00F03961" w:rsidP="000B4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29"/>
    <w:rsid w:val="000B45A3"/>
    <w:rsid w:val="003D4C45"/>
    <w:rsid w:val="0053134C"/>
    <w:rsid w:val="00626329"/>
    <w:rsid w:val="00AA71F2"/>
    <w:rsid w:val="00AF0837"/>
    <w:rsid w:val="00B07B31"/>
    <w:rsid w:val="00D1739B"/>
    <w:rsid w:val="00F0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2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d15mcfceub">
    <w:name w:val="gd15mcfceub"/>
    <w:basedOn w:val="a0"/>
    <w:rsid w:val="00626329"/>
  </w:style>
  <w:style w:type="paragraph" w:styleId="a3">
    <w:name w:val="header"/>
    <w:basedOn w:val="a"/>
    <w:link w:val="a4"/>
    <w:uiPriority w:val="99"/>
    <w:unhideWhenUsed/>
    <w:rsid w:val="000B4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45A3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4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45A3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2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d15mcfceub">
    <w:name w:val="gd15mcfceub"/>
    <w:basedOn w:val="a0"/>
    <w:rsid w:val="00626329"/>
  </w:style>
  <w:style w:type="paragraph" w:styleId="a3">
    <w:name w:val="header"/>
    <w:basedOn w:val="a"/>
    <w:link w:val="a4"/>
    <w:uiPriority w:val="99"/>
    <w:unhideWhenUsed/>
    <w:rsid w:val="000B4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45A3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4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45A3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鄭映芝</dc:creator>
  <cp:lastModifiedBy>Cheng</cp:lastModifiedBy>
  <cp:revision>4</cp:revision>
  <dcterms:created xsi:type="dcterms:W3CDTF">2022-06-17T00:33:00Z</dcterms:created>
  <dcterms:modified xsi:type="dcterms:W3CDTF">2022-07-16T16:12:00Z</dcterms:modified>
</cp:coreProperties>
</file>