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C0" w:rsidRDefault="001715C0" w:rsidP="001715C0">
      <w:pPr>
        <w:spacing w:after="200" w:line="276" w:lineRule="auto"/>
        <w:rPr>
          <w:b/>
        </w:rPr>
      </w:pPr>
      <w:proofErr w:type="gramStart"/>
      <w:r>
        <w:rPr>
          <w:b/>
        </w:rPr>
        <w:t xml:space="preserve">Supplementary Table </w:t>
      </w:r>
      <w:r w:rsidR="00215E07">
        <w:rPr>
          <w:b/>
        </w:rPr>
        <w:t>S</w:t>
      </w:r>
      <w:r>
        <w:rPr>
          <w:b/>
        </w:rPr>
        <w:t>1.</w:t>
      </w:r>
      <w:proofErr w:type="gramEnd"/>
      <w:r>
        <w:rPr>
          <w:b/>
        </w:rPr>
        <w:t xml:space="preserve"> Differences among included and excluded patients, by year of presentation</w:t>
      </w:r>
    </w:p>
    <w:tbl>
      <w:tblPr>
        <w:tblStyle w:val="LightShading"/>
        <w:tblW w:w="12832" w:type="dxa"/>
        <w:tblLook w:val="0620" w:firstRow="1" w:lastRow="0" w:firstColumn="0" w:lastColumn="0" w:noHBand="1" w:noVBand="1"/>
      </w:tblPr>
      <w:tblGrid>
        <w:gridCol w:w="2379"/>
        <w:gridCol w:w="1502"/>
        <w:gridCol w:w="1336"/>
        <w:gridCol w:w="826"/>
        <w:gridCol w:w="1502"/>
        <w:gridCol w:w="1336"/>
        <w:gridCol w:w="826"/>
        <w:gridCol w:w="1502"/>
        <w:gridCol w:w="1336"/>
        <w:gridCol w:w="826"/>
      </w:tblGrid>
      <w:tr w:rsidR="001715C0" w:rsidRPr="003F5072" w:rsidTr="00AC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40" w:type="dxa"/>
            <w:tcBorders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64" w:type="dxa"/>
            <w:gridSpan w:val="3"/>
            <w:tcBorders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2012</w:t>
            </w:r>
          </w:p>
        </w:tc>
        <w:tc>
          <w:tcPr>
            <w:tcW w:w="3664" w:type="dxa"/>
            <w:gridSpan w:val="3"/>
            <w:tcBorders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2013</w:t>
            </w:r>
          </w:p>
        </w:tc>
        <w:tc>
          <w:tcPr>
            <w:tcW w:w="3664" w:type="dxa"/>
            <w:gridSpan w:val="3"/>
            <w:tcBorders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Characteristic</w:t>
            </w:r>
          </w:p>
        </w:tc>
        <w:tc>
          <w:tcPr>
            <w:tcW w:w="1502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Included</w:t>
            </w:r>
          </w:p>
        </w:tc>
        <w:tc>
          <w:tcPr>
            <w:tcW w:w="1336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Excluded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BA398D" w:rsidRDefault="001715C0" w:rsidP="00AC438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</w:pPr>
            <w:r w:rsidRPr="00BA398D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t>p</w:t>
            </w:r>
          </w:p>
        </w:tc>
        <w:tc>
          <w:tcPr>
            <w:tcW w:w="1502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Included</w:t>
            </w:r>
          </w:p>
        </w:tc>
        <w:tc>
          <w:tcPr>
            <w:tcW w:w="1336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Excluded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BA398D" w:rsidRDefault="001715C0" w:rsidP="00AC438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</w:pPr>
            <w:r w:rsidRPr="00BA398D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t>p</w:t>
            </w:r>
          </w:p>
        </w:tc>
        <w:tc>
          <w:tcPr>
            <w:tcW w:w="1502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Included</w:t>
            </w:r>
          </w:p>
        </w:tc>
        <w:tc>
          <w:tcPr>
            <w:tcW w:w="1336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Excluded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bottom"/>
            <w:hideMark/>
          </w:tcPr>
          <w:p w:rsidR="001715C0" w:rsidRPr="00BA398D" w:rsidRDefault="001715C0" w:rsidP="00AC4384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</w:pPr>
            <w:r w:rsidRPr="00BA398D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t>p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proofErr w:type="gramEnd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(%)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proofErr w:type="gramEnd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(%)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proofErr w:type="gramEnd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(%)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proofErr w:type="gramEnd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(%)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proofErr w:type="gramEnd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(%)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proofErr w:type="gramEnd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(%)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Total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3,683 (90%)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432 (10%)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2,042 (86%)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329 (14%)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3,074 (86%)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496 (14%)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Season</w:t>
            </w:r>
            <w:r w:rsidRPr="00BA398D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Out-Of-Season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184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230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299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During Season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3,683 (94%)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248 (6%)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2,042 (95%)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99 (5%)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3,074 (94%)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197 (6%)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Gender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Female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1,874 (90%)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205 (10%)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1,116 (87%)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173 (13%)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1,629 (87%)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250 (13%)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Male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1,786 (89%)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219 (11%)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920 (86%)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156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1,441 (86%)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242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Missing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23 (74%)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 (26%)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6 (100%)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0.463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 (50%)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 (50%)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0.008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Age Group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&lt;5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387 (91%)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39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143 (80%)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35 (20%)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262 (78%)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73 (22%)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5-9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666 (87%)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97 (13%)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296 (85%)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51 (15%)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459 (87%)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69 (13%)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18-44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1,445 (91%)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146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848 (86%)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136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1,260 (86%)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199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45-64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834 (89%)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101 (11%)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546 (88%)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74 (12%)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784 (88%)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102 (12%)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65+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351 (90%)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40 (10%)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209 (86%)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33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0.128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309 (86%)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49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Missing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Influenza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Negative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2,221 (88%)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312 (12%)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1,601 (84%)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299 (16%)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2,183 (84%)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410 (16%)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Positive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1,462 (92%)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119 (8%)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441 (94%)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30 (6%)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891 (91%)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86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Missing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Type/Subtype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Negative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2,221 (88%)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312 (12%)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1,601 (84%)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227 (12%)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2,183 (84%)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367 (14%)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Pdm09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37 (95%)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 (5%)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160 (97%)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5 (3%)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414 (91%)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40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1,013 (92%)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92 (8%)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99 (89%)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10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349 (92%)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31 (8%)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406 (94%)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24 (6%)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174 (95%)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10 (5%)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111 (89%)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14 (11%)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A(Ns)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 (50%)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 (50%)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7 (70%)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 (30%)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13 (93%)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 (7%)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Mixed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5 (100%)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 (100%)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 (100%)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</w:tcPr>
          <w:p w:rsidR="001715C0" w:rsidRPr="003F5072" w:rsidRDefault="00D6274C" w:rsidP="00D6274C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Missing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</w:tcPr>
          <w:p w:rsidR="001715C0" w:rsidRPr="003F5072" w:rsidRDefault="001715C0" w:rsidP="00D6274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Vaccination Status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Unvaccinated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2,853 (95%)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144 (5%)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1,440 (88%)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192 (12%)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2,268 (91%)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235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Vaccinated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830 (97%)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27 (3%)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602 (95%)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30 (5%)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806 (91%)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80 (9%)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</w:tcPr>
          <w:p w:rsidR="001715C0" w:rsidRPr="003F5072" w:rsidRDefault="001715C0" w:rsidP="00D6274C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Missing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261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107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0 (0%)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181 (100%)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</w:tcPr>
          <w:p w:rsidR="001715C0" w:rsidRPr="003F5072" w:rsidRDefault="001715C0" w:rsidP="00D6274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Network</w:t>
            </w:r>
          </w:p>
        </w:tc>
        <w:tc>
          <w:tcPr>
            <w:tcW w:w="1502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36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26" w:type="dxa"/>
            <w:noWrap/>
            <w:vAlign w:val="bottom"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ASPREN</w:t>
            </w: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1,539 (87%)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236 (13%)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1,084 (81%)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254 (19%)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1,609 (84%)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316 (16%)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VicSPIN</w:t>
            </w:r>
            <w:proofErr w:type="spellEnd"/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684 (96%)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26 (4%)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314 (87%)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45 (13%)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497 (96%)</w:t>
            </w:r>
          </w:p>
        </w:tc>
        <w:tc>
          <w:tcPr>
            <w:tcW w:w="133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19 (4%)</w:t>
            </w:r>
          </w:p>
        </w:tc>
        <w:tc>
          <w:tcPr>
            <w:tcW w:w="826" w:type="dxa"/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715C0" w:rsidRPr="003F5072" w:rsidTr="00AC4384">
        <w:trPr>
          <w:trHeight w:val="300"/>
        </w:trPr>
        <w:tc>
          <w:tcPr>
            <w:tcW w:w="184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ind w:left="142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F5072">
              <w:rPr>
                <w:rFonts w:ascii="Calibri" w:eastAsia="Times New Roman" w:hAnsi="Calibri" w:cs="Times New Roman"/>
                <w:color w:val="000000"/>
                <w:lang w:eastAsia="en-AU"/>
              </w:rPr>
              <w:t>SPNWA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1,460 (90%)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170 (10%)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644 (96%)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30 (4%)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968 (86%)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161 (14%)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15C0" w:rsidRPr="003F5072" w:rsidRDefault="001715C0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</w:rPr>
              <w:t>&lt;0.01</w:t>
            </w:r>
          </w:p>
        </w:tc>
      </w:tr>
      <w:tr w:rsidR="001715C0" w:rsidRPr="003F5072" w:rsidTr="00AC4384">
        <w:trPr>
          <w:trHeight w:val="300"/>
        </w:trPr>
        <w:tc>
          <w:tcPr>
            <w:tcW w:w="12832" w:type="dxa"/>
            <w:gridSpan w:val="10"/>
            <w:tcBorders>
              <w:top w:val="single" w:sz="4" w:space="0" w:color="auto"/>
              <w:bottom w:val="single" w:sz="8" w:space="0" w:color="000000" w:themeColor="text1"/>
            </w:tcBorders>
            <w:noWrap/>
            <w:vAlign w:val="bottom"/>
          </w:tcPr>
          <w:p w:rsidR="001715C0" w:rsidRPr="003F5072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398D">
              <w:rPr>
                <w:rFonts w:ascii="Calibri" w:eastAsia="Times New Roman" w:hAnsi="Calibri" w:cs="Times New Roman"/>
                <w:color w:val="000000"/>
                <w:sz w:val="18"/>
                <w:lang w:eastAsia="en-AU"/>
              </w:rPr>
              <w:t xml:space="preserve">1. Where the season began when a positive case had been reported for two consecutive weeks at least two weeks after the annual vaccination campaign (mid-March) and ended after the peak when no cases had been reported for at least three weeks.  </w:t>
            </w:r>
          </w:p>
        </w:tc>
      </w:tr>
    </w:tbl>
    <w:p w:rsidR="001715C0" w:rsidRDefault="001715C0" w:rsidP="001715C0">
      <w:pPr>
        <w:spacing w:after="200" w:line="276" w:lineRule="auto"/>
        <w:rPr>
          <w:b/>
        </w:rPr>
      </w:pPr>
    </w:p>
    <w:p w:rsidR="001715C0" w:rsidRDefault="001715C0" w:rsidP="001715C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715C0" w:rsidRDefault="001715C0" w:rsidP="001715C0">
      <w:pPr>
        <w:rPr>
          <w:b/>
        </w:rPr>
      </w:pPr>
      <w:proofErr w:type="gramStart"/>
      <w:r>
        <w:rPr>
          <w:b/>
        </w:rPr>
        <w:lastRenderedPageBreak/>
        <w:t xml:space="preserve">Supplementary Table </w:t>
      </w:r>
      <w:r w:rsidR="00215E07">
        <w:rPr>
          <w:b/>
        </w:rPr>
        <w:t>S</w:t>
      </w:r>
      <w:r>
        <w:rPr>
          <w:b/>
        </w:rPr>
        <w:t>2.</w:t>
      </w:r>
      <w:proofErr w:type="gramEnd"/>
      <w:r>
        <w:rPr>
          <w:b/>
        </w:rPr>
        <w:t xml:space="preserve"> Vaccine effectiveness estimates within age groups and types/subtypes, 2012-2014</w:t>
      </w:r>
    </w:p>
    <w:p w:rsidR="001715C0" w:rsidRDefault="001715C0" w:rsidP="001715C0">
      <w:pPr>
        <w:rPr>
          <w:b/>
        </w:rPr>
      </w:pPr>
    </w:p>
    <w:tbl>
      <w:tblPr>
        <w:tblW w:w="143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17"/>
        <w:gridCol w:w="1517"/>
        <w:gridCol w:w="1706"/>
        <w:gridCol w:w="1453"/>
        <w:gridCol w:w="1454"/>
        <w:gridCol w:w="1454"/>
        <w:gridCol w:w="1453"/>
        <w:gridCol w:w="1972"/>
        <w:gridCol w:w="1868"/>
      </w:tblGrid>
      <w:tr w:rsidR="00215E07" w:rsidRPr="009B4CE9" w:rsidTr="00215E07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Influenza-positive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Influenza negative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VE (95%CL)</w:t>
            </w:r>
          </w:p>
        </w:tc>
      </w:tr>
      <w:tr w:rsidR="00215E07" w:rsidRPr="009B4CE9" w:rsidTr="00215E0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Year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Model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E07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Type/</w:t>
            </w:r>
          </w:p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subtype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Vaccinated cases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Unvaccinated cases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Vaccinated non-cases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Unvaccinated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noncases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Complete case analysis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Imputed analysis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2012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All patients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1,210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579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1,648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38% (24,49)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38% (25,49)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54% (-28,83)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54% (-28,83)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206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814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30% (14,44)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31% (14,44)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C055C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</w:t>
            </w:r>
            <w:r w:rsidR="00C055CF">
              <w:t>6</w:t>
            </w:r>
            <w:r w:rsidRPr="00CC35E2">
              <w:t>% (37,70)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56% (37,70)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Children, &lt;5y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7% (-178,69)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6% (-180,69)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-1% (-235,70)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-1% (-237,70)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Children, &lt;18y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502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45% (3,68)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44% (2,68)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284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32% (-31,64)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31% (-33,65)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53% (-5,79)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52% (-5,78)</w:t>
            </w:r>
          </w:p>
        </w:tc>
      </w:tr>
      <w:tr w:rsidR="00215E07" w:rsidRPr="009B4CE9" w:rsidTr="00C055CF">
        <w:trPr>
          <w:trHeight w:val="300"/>
        </w:trPr>
        <w:tc>
          <w:tcPr>
            <w:tcW w:w="1517" w:type="dxa"/>
            <w:tcBorders>
              <w:top w:val="nil"/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C055C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Working-age adults, 18-64y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151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674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359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1,096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31% (13,45)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31% (14,45)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61% (-20,87)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60% (-23,87)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493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25% (4,42)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25% (4,42)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48% (18,67)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48% (19,67)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Elderly, 65+y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176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56% (27,73)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55% (27,73)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45% (5,69)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45% (6,68)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80% (49,92)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79% (47,92)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2013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All patients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372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533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1,068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60% (45,70)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59% (45,70)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136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59% (33,74)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58% (33,74)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67% (39,82)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66% (38,82)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148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57% (30,73)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57% (30,73)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Children, &lt;5y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119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Children, &lt;18y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295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67% (-2,89)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65% (-7,88)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C055CF">
        <w:trPr>
          <w:trHeight w:val="300"/>
        </w:trPr>
        <w:tc>
          <w:tcPr>
            <w:tcW w:w="1517" w:type="dxa"/>
            <w:tcBorders>
              <w:top w:val="nil"/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C055C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Working-age adults, 18-64y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355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738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53% (35,66)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53% (35,67)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56% (27,73)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56% (27,73)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bookmarkStart w:id="0" w:name="_GoBack" w:colFirst="7" w:colLast="8"/>
          </w:p>
        </w:tc>
        <w:tc>
          <w:tcPr>
            <w:tcW w:w="15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56% (17,77)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56% (18,77)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49% (13,71)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50% (14,71)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Elderly, 65+y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150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85% (59,94)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83% (56,94)</w:t>
            </w: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3</w:t>
            </w: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5</w:t>
            </w: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bookmarkEnd w:id="0"/>
      <w:tr w:rsidR="00215E07" w:rsidRPr="009B4CE9" w:rsidTr="00215E0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E07" w:rsidRPr="009B4CE9" w:rsidRDefault="00215E07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07" w:rsidRPr="009B4CE9" w:rsidRDefault="00215E07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215E07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85% (38,97)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5E07" w:rsidRPr="009B4CE9" w:rsidRDefault="00AC4384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4384">
              <w:rPr>
                <w:rFonts w:ascii="Calibri" w:eastAsia="Times New Roman" w:hAnsi="Calibri" w:cs="Times New Roman"/>
                <w:color w:val="000000"/>
                <w:lang w:eastAsia="en-AU"/>
              </w:rPr>
              <w:t>84% (31,96)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All patients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188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647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1,577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44% (31,55)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43% (29,54)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352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55% (39,67)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54% (38,66)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26% (1,45)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25% (-1,44)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54% (21,73)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54% (22,73)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Children, &lt;5y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210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Children, &lt;18y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462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62% (23,81)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59% (19,79)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84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76% (15,93)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67% (-0,89)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27% (-69,68)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29% (-62,69)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C055C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Working-age adults, 18-64y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474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426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1,036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45% (30,57)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44% (28,56)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258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53% (35,66)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53% (34,66)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30% (1,51)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27% (-3,49)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56% (16,77)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57% (18,78)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Elderly, 65+y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169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7% (-73,50)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7% (-72,50)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A(H1N1)pdm09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52% (-24,82)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48% (-33,79)</w:t>
            </w:r>
          </w:p>
        </w:tc>
      </w:tr>
      <w:tr w:rsidR="00D6274C" w:rsidRPr="009B4CE9" w:rsidTr="00971E92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A(H3N2)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D6274C" w:rsidRDefault="00D6274C" w:rsidP="00971E92">
            <w:pPr>
              <w:jc w:val="center"/>
            </w:pPr>
            <w:r w:rsidRPr="00D6274C">
              <w:t>-13% (-150,49)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971E9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-7% (-136,52)</w:t>
            </w:r>
          </w:p>
        </w:tc>
      </w:tr>
      <w:tr w:rsidR="00D6274C" w:rsidRPr="009B4CE9" w:rsidTr="008076AB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74C" w:rsidRPr="009B4CE9" w:rsidRDefault="00D6274C" w:rsidP="00215E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9B4CE9" w:rsidRDefault="00D6274C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4CE9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35E2"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74C" w:rsidRPr="00D6274C" w:rsidRDefault="00D6274C" w:rsidP="00D6274C">
            <w:pPr>
              <w:jc w:val="center"/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274C" w:rsidRPr="009B4CE9" w:rsidRDefault="00D6274C" w:rsidP="00AC4384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1715C0" w:rsidRDefault="001715C0" w:rsidP="001715C0">
      <w:pPr>
        <w:rPr>
          <w:sz w:val="18"/>
        </w:rPr>
      </w:pPr>
      <w:r w:rsidRPr="0093685B">
        <w:rPr>
          <w:sz w:val="18"/>
        </w:rPr>
        <w:t xml:space="preserve">All models adjusted for vaccination status, age group (&lt;5, 5-17, 18-64, 65+), calendar time (spline) and </w:t>
      </w:r>
      <w:r>
        <w:rPr>
          <w:sz w:val="18"/>
        </w:rPr>
        <w:t>network</w:t>
      </w:r>
      <w:r w:rsidRPr="0093685B">
        <w:rPr>
          <w:sz w:val="18"/>
        </w:rPr>
        <w:t xml:space="preserve"> (</w:t>
      </w:r>
      <w:r>
        <w:rPr>
          <w:sz w:val="18"/>
        </w:rPr>
        <w:t>fixed</w:t>
      </w:r>
      <w:r w:rsidRPr="0093685B">
        <w:rPr>
          <w:sz w:val="18"/>
        </w:rPr>
        <w:t xml:space="preserve"> effect)</w:t>
      </w:r>
      <w:r>
        <w:rPr>
          <w:sz w:val="18"/>
        </w:rPr>
        <w:t xml:space="preserve">.  VE is only presented for models with at least 3 vaccinated and unvaccinated cases. </w:t>
      </w:r>
    </w:p>
    <w:p w:rsidR="001715C0" w:rsidRDefault="001715C0" w:rsidP="001715C0">
      <w:pPr>
        <w:spacing w:after="200" w:line="276" w:lineRule="auto"/>
        <w:rPr>
          <w:b/>
        </w:rPr>
      </w:pPr>
    </w:p>
    <w:p w:rsidR="001715C0" w:rsidRDefault="001715C0" w:rsidP="001715C0">
      <w:pPr>
        <w:spacing w:after="200" w:line="276" w:lineRule="auto"/>
        <w:rPr>
          <w:b/>
        </w:rPr>
        <w:sectPr w:rsidR="001715C0" w:rsidSect="00AC438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1715C0" w:rsidRDefault="001715C0" w:rsidP="001715C0">
      <w:pPr>
        <w:spacing w:after="200" w:line="276" w:lineRule="auto"/>
        <w:rPr>
          <w:b/>
        </w:rPr>
      </w:pPr>
      <w:proofErr w:type="gramStart"/>
      <w:r>
        <w:rPr>
          <w:b/>
        </w:rPr>
        <w:lastRenderedPageBreak/>
        <w:t xml:space="preserve">Supplementary </w:t>
      </w:r>
      <w:r w:rsidR="00215E07">
        <w:rPr>
          <w:b/>
        </w:rPr>
        <w:t>T</w:t>
      </w:r>
      <w:r>
        <w:rPr>
          <w:b/>
        </w:rPr>
        <w:t xml:space="preserve">able </w:t>
      </w:r>
      <w:r w:rsidR="00215E07">
        <w:rPr>
          <w:b/>
        </w:rPr>
        <w:t>S</w:t>
      </w:r>
      <w:r>
        <w:rPr>
          <w:b/>
        </w:rPr>
        <w:t>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Comparison of published estimates in each network and pooled estimates generated in this study, 2012.</w:t>
      </w:r>
      <w:proofErr w:type="gramEnd"/>
      <w:r>
        <w:rPr>
          <w:b/>
        </w:rPr>
        <w:t xml:space="preserve"> </w:t>
      </w:r>
    </w:p>
    <w:tbl>
      <w:tblPr>
        <w:tblStyle w:val="LightShading"/>
        <w:tblW w:w="8613" w:type="dxa"/>
        <w:tblLayout w:type="fixed"/>
        <w:tblLook w:val="06A0" w:firstRow="1" w:lastRow="0" w:firstColumn="1" w:lastColumn="0" w:noHBand="1" w:noVBand="1"/>
      </w:tblPr>
      <w:tblGrid>
        <w:gridCol w:w="1722"/>
        <w:gridCol w:w="1723"/>
        <w:gridCol w:w="1722"/>
        <w:gridCol w:w="1723"/>
        <w:gridCol w:w="1723"/>
      </w:tblGrid>
      <w:tr w:rsidR="001715C0" w:rsidRPr="005551FD" w:rsidTr="00AC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SPNWA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begin">
                <w:fldData xml:space="preserve">PEVuZE5vdGU+PENpdGU+PEF1dGhvcj5MZXZ5PC9BdXRob3I+PFllYXI+MjAxNDwvWWVhcj48UmVj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</w:fld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instrText xml:space="preserve"> ADDIN EN.CITE </w:instrTex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begin">
                <w:fldData xml:space="preserve">PEVuZE5vdGU+PENpdGU+PEF1dGhvcj5MZXZ5PC9BdXRob3I+PFllYXI+MjAxNDwvWWVhcj48UmVj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</w:fld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instrText xml:space="preserve"> ADDIN EN.CITE.DATA </w:instrTex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t>[</w:t>
            </w:r>
            <w:hyperlink w:anchor="_ENREF_3" w:tooltip="Levy, 2014 #398" w:history="1">
              <w:r>
                <w:rPr>
                  <w:rFonts w:ascii="Calibri" w:eastAsia="Times New Roman" w:hAnsi="Calibri" w:cs="Times New Roman"/>
                  <w:noProof/>
                  <w:color w:val="000000"/>
                  <w:lang w:eastAsia="en-AU"/>
                </w:rPr>
                <w:t>3</w:t>
              </w:r>
            </w:hyperlink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t>]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end"/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VicSPIN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instrText xml:space="preserve"> ADDIN EN.CITE &lt;EndNote&gt;&lt;Cite&gt;&lt;Author&gt;Sullivan&lt;/Author&gt;&lt;Year&gt;2014&lt;/Year&gt;&lt;RecNum&gt;363&lt;/RecNum&gt;&lt;DisplayText&gt;[2]&lt;/DisplayText&gt;&lt;record&gt;&lt;rec-number&gt;363&lt;/rec-number&gt;&lt;foreign-keys&gt;&lt;key app="EN" db-id="2xwr2e2psdewz8er5zaptt96r050fzdxrzva" timestamp="1406592304"&gt;363&lt;/key&gt;&lt;/foreign-keys&gt;&lt;ref-type name="Journal Article"&gt;17&lt;/ref-type&gt;&lt;contributors&gt;&lt;authors&gt;&lt;author&gt;Sullivan, S. G.&lt;/author&gt;&lt;author&gt;Chilver, M. B.&lt;/author&gt;&lt;author&gt;Higgins, G.&lt;/author&gt;&lt;author&gt;Cheng, A. C.&lt;/author&gt;&lt;author&gt;Stocks, N. P.&lt;/author&gt;&lt;/authors&gt;&lt;/contributors&gt;&lt;auth-address&gt;WHO Collaborating Centre for Reference and Research on Influenza, Peter Doherty Institute for Infection and Immunity, Melbourne, VIC, Australia. sheena.sullivan@influenzacentre.org.&amp;#xD;Discipline of General Practice, University of Adelaide, Adelaide, SA, Australia.&amp;#xD;Microbiology and Infectious Diseases, SA Pathology, Adelaide, SA, Australia.&amp;#xD;Department of Epidemiology and Preventive Medicine, Monash University, Melbourne, VIC, Australia.&lt;/auth-address&gt;&lt;titles&gt;&lt;title&gt;Influenza vaccine effectiveness in Australia: results from the Australian Sentinel Practices Research Network&lt;/title&gt;&lt;secondary-title&gt;Med J Aust&lt;/secondary-title&gt;&lt;alt-title&gt;The Medical journal of Australia&lt;/alt-title&gt;&lt;/titles&gt;&lt;periodical&gt;&lt;full-title&gt;Med J Aust&lt;/full-title&gt;&lt;abbr-1&gt;The Medical Journal of Australia&lt;/abbr-1&gt;&lt;/periodical&gt;&lt;alt-periodical&gt;&lt;full-title&gt;Med J Aust&lt;/full-title&gt;&lt;abbr-1&gt;The Medical Journal of Australia&lt;/abbr-1&gt;&lt;/alt-periodical&gt;&lt;pages&gt;109-11&lt;/pages&gt;&lt;volume&gt;201&lt;/volume&gt;&lt;number&gt;2&lt;/number&gt;&lt;dates&gt;&lt;year&gt;2014&lt;/year&gt;&lt;pub-dates&gt;&lt;date&gt;Jul 21&lt;/date&gt;&lt;/pub-dates&gt;&lt;/dates&gt;&lt;isbn&gt;1326-5377 (Electronic)&amp;#xD;0025-729X (Linking)&lt;/isbn&gt;&lt;accession-num&gt;25045991&lt;/accession-num&gt;&lt;urls&gt;&lt;related-urls&gt;&lt;url&gt;http://www.ncbi.nlm.nih.gov/pubmed/25045991&lt;/url&gt;&lt;/related-urls&gt;&lt;/urls&gt;&lt;/record&gt;&lt;/Cite&gt;&lt;/EndNote&gt;</w:instrTex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t>[</w:t>
            </w:r>
            <w:hyperlink w:anchor="_ENREF_2" w:tooltip="Sullivan, 2014 #363" w:history="1">
              <w:r>
                <w:rPr>
                  <w:rFonts w:ascii="Calibri" w:eastAsia="Times New Roman" w:hAnsi="Calibri" w:cs="Times New Roman"/>
                  <w:noProof/>
                  <w:color w:val="000000"/>
                  <w:lang w:eastAsia="en-AU"/>
                </w:rPr>
                <w:t>2</w:t>
              </w:r>
            </w:hyperlink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t>]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end"/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ASPREN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instrText xml:space="preserve"> ADDIN EN.CITE &lt;EndNote&gt;&lt;Cite&gt;&lt;Author&gt;Sullivan&lt;/Author&gt;&lt;Year&gt;2014&lt;/Year&gt;&lt;RecNum&gt;324&lt;/RecNum&gt;&lt;DisplayText&gt;[10]&lt;/DisplayText&gt;&lt;record&gt;&lt;rec-number&gt;324&lt;/rec-number&gt;&lt;foreign-keys&gt;&lt;key app="EN" db-id="2xwr2e2psdewz8er5zaptt96r050fzdxrzva" timestamp="1400471674"&gt;324&lt;/key&gt;&lt;/foreign-keys&gt;&lt;ref-type name="Journal Article"&gt;17&lt;/ref-type&gt;&lt;contributors&gt;&lt;authors&gt;&lt;author&gt;Sullivan, S. G.&lt;/author&gt;&lt;author&gt;Komadina, N.&lt;/author&gt;&lt;author&gt;Grant, K.&lt;/author&gt;&lt;author&gt;Jelley, L.&lt;/author&gt;&lt;author&gt;Papadakis, G.&lt;/author&gt;&lt;author&gt;Kelly, H.&lt;/author&gt;&lt;/authors&gt;&lt;/contributors&gt;&lt;auth-address&gt;WHO Collaborating Centre for Reference and Research on Influenza, Melbourne, Victoria, Australia.&lt;/auth-address&gt;&lt;titles&gt;&lt;title&gt;Influenza vaccine effectiveness during the 2012 influenza season in Victoria, Australia: influences of waning immunity and vaccine match&lt;/title&gt;&lt;secondary-title&gt;J Med Virol&lt;/secondary-title&gt;&lt;alt-title&gt;Journal of medical virology&lt;/alt-title&gt;&lt;/titles&gt;&lt;periodical&gt;&lt;full-title&gt;J Med Virol&lt;/full-title&gt;&lt;abbr-1&gt;Journal of Medical Virology&lt;/abbr-1&gt;&lt;/periodical&gt;&lt;alt-periodical&gt;&lt;full-title&gt;Journal of Medical Virology&lt;/full-title&gt;&lt;abbr-1&gt;J Med Virol&lt;/abbr-1&gt;&lt;/alt-periodical&gt;&lt;pages&gt;1017-25&lt;/pages&gt;&lt;volume&gt;86&lt;/volume&gt;&lt;number&gt;6&lt;/number&gt;&lt;dates&gt;&lt;year&gt;2014&lt;/year&gt;&lt;pub-dates&gt;&lt;date&gt;Jun&lt;/date&gt;&lt;/pub-dates&gt;&lt;/dates&gt;&lt;isbn&gt;1096-9071 (Electronic)&amp;#xD;0146-6615 (Linking)&lt;/isbn&gt;&lt;accession-num&gt;24395730&lt;/accession-num&gt;&lt;urls&gt;&lt;related-urls&gt;&lt;url&gt;http://www.ncbi.nlm.nih.gov/pubmed/24395730&lt;/url&gt;&lt;/related-urls&gt;&lt;/urls&gt;&lt;electronic-resource-num&gt;10.1002/jmv.23847&lt;/electronic-resource-num&gt;&lt;/record&gt;&lt;/Cite&gt;&lt;/EndNote&gt;</w:instrTex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t>[</w:t>
            </w:r>
            <w:hyperlink w:anchor="_ENREF_10" w:tooltip="Sullivan, 2014 #324" w:history="1">
              <w:r>
                <w:rPr>
                  <w:rFonts w:ascii="Calibri" w:eastAsia="Times New Roman" w:hAnsi="Calibri" w:cs="Times New Roman"/>
                  <w:noProof/>
                  <w:color w:val="000000"/>
                  <w:lang w:eastAsia="en-AU"/>
                </w:rPr>
                <w:t>10</w:t>
              </w:r>
            </w:hyperlink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t>]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fldChar w:fldCharType="end"/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Pooled estimate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A&amp;B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49% (30, 63)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45% (8,66)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23% (− 4,43)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38% (24,49)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H1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8% (−868, 91)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54% (-28,83)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H3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46% (21, 63)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35% (-11,62)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13% (− 20,36)</w:t>
            </w:r>
            <w:r w:rsidRPr="008B6870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*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30% (14,44)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54% (26, 71)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53% (5,77)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57% (37,70)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hildren &lt;5y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24% (−216, 82)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7% (-178,69)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hildren &lt;18y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62% (0, 85)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12% (− 125,66)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45% (3,68)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18-64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47% (19, 65)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12% (− 22,36)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31% (13,45)</w:t>
            </w:r>
          </w:p>
        </w:tc>
      </w:tr>
      <w:tr w:rsidR="001715C0" w:rsidRPr="005551FD" w:rsidTr="00AC4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noWrap/>
            <w:hideMark/>
          </w:tcPr>
          <w:p w:rsidR="001715C0" w:rsidRPr="005551FD" w:rsidRDefault="001715C0" w:rsidP="00AC438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Elderly &gt;65y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62% (15, 83)</w:t>
            </w:r>
          </w:p>
        </w:tc>
        <w:tc>
          <w:tcPr>
            <w:tcW w:w="1722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67% (23,86)</w:t>
            </w:r>
          </w:p>
        </w:tc>
        <w:tc>
          <w:tcPr>
            <w:tcW w:w="1723" w:type="dxa"/>
            <w:noWrap/>
            <w:hideMark/>
          </w:tcPr>
          <w:p w:rsidR="001715C0" w:rsidRPr="005551FD" w:rsidRDefault="001715C0" w:rsidP="00AC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551FD">
              <w:rPr>
                <w:rFonts w:ascii="Calibri" w:eastAsia="Times New Roman" w:hAnsi="Calibri" w:cs="Times New Roman"/>
                <w:color w:val="000000"/>
                <w:lang w:eastAsia="en-AU"/>
              </w:rPr>
              <w:t>56% (28,73)</w:t>
            </w:r>
          </w:p>
        </w:tc>
      </w:tr>
    </w:tbl>
    <w:p w:rsidR="001715C0" w:rsidRPr="001F545E" w:rsidRDefault="001715C0" w:rsidP="001715C0">
      <w:pPr>
        <w:spacing w:after="200" w:line="276" w:lineRule="auto"/>
        <w:rPr>
          <w:b/>
          <w:sz w:val="18"/>
        </w:rPr>
      </w:pPr>
      <w:r w:rsidRPr="001F545E">
        <w:rPr>
          <w:rFonts w:ascii="Calibri" w:eastAsia="Times New Roman" w:hAnsi="Calibri" w:cs="Times New Roman"/>
          <w:color w:val="000000"/>
          <w:sz w:val="18"/>
          <w:lang w:eastAsia="en-AU"/>
        </w:rPr>
        <w:t>*Influenza A not H1</w:t>
      </w:r>
    </w:p>
    <w:p w:rsidR="001715C0" w:rsidRDefault="001715C0" w:rsidP="001715C0"/>
    <w:p w:rsidR="00AC4384" w:rsidRDefault="00AC4384"/>
    <w:sectPr w:rsidR="00AC4384" w:rsidSect="00AC43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28F5"/>
    <w:multiLevelType w:val="hybridMultilevel"/>
    <w:tmpl w:val="05167938"/>
    <w:lvl w:ilvl="0" w:tplc="B4F0F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4F51"/>
    <w:multiLevelType w:val="hybridMultilevel"/>
    <w:tmpl w:val="2E9C66E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D851049"/>
    <w:multiLevelType w:val="hybridMultilevel"/>
    <w:tmpl w:val="C91CC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D68F5"/>
    <w:multiLevelType w:val="hybridMultilevel"/>
    <w:tmpl w:val="85687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C0"/>
    <w:rsid w:val="001715C0"/>
    <w:rsid w:val="00215E07"/>
    <w:rsid w:val="002F7AE5"/>
    <w:rsid w:val="00971E92"/>
    <w:rsid w:val="00A27121"/>
    <w:rsid w:val="00AC4384"/>
    <w:rsid w:val="00BC136A"/>
    <w:rsid w:val="00C055CF"/>
    <w:rsid w:val="00D6274C"/>
    <w:rsid w:val="00F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5C0"/>
    <w:pPr>
      <w:spacing w:after="240" w:line="480" w:lineRule="auto"/>
      <w:ind w:firstLine="720"/>
    </w:pPr>
    <w:rPr>
      <w:rFonts w:ascii="Calibri" w:eastAsia="SimSun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715C0"/>
    <w:rPr>
      <w:rFonts w:ascii="Calibri" w:eastAsia="SimSun" w:hAnsi="Calibri" w:cs="Times New Roman"/>
      <w:lang w:eastAsia="en-AU"/>
    </w:rPr>
  </w:style>
  <w:style w:type="character" w:styleId="Hyperlink">
    <w:name w:val="Hyperlink"/>
    <w:basedOn w:val="DefaultParagraphFont"/>
    <w:uiPriority w:val="99"/>
    <w:rsid w:val="001715C0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1715C0"/>
    <w:rPr>
      <w:rFonts w:cs="Times New Roman"/>
    </w:rPr>
  </w:style>
  <w:style w:type="character" w:customStyle="1" w:styleId="legtitle">
    <w:name w:val="legtitle"/>
    <w:basedOn w:val="DefaultParagraphFont"/>
    <w:uiPriority w:val="99"/>
    <w:rsid w:val="001715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715C0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15C0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715C0"/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715C0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1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C0"/>
  </w:style>
  <w:style w:type="paragraph" w:styleId="Footer">
    <w:name w:val="footer"/>
    <w:basedOn w:val="Normal"/>
    <w:link w:val="FooterChar"/>
    <w:uiPriority w:val="99"/>
    <w:unhideWhenUsed/>
    <w:rsid w:val="00171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C0"/>
  </w:style>
  <w:style w:type="paragraph" w:styleId="ListParagraph">
    <w:name w:val="List Paragraph"/>
    <w:basedOn w:val="Normal"/>
    <w:uiPriority w:val="34"/>
    <w:qFormat/>
    <w:rsid w:val="001715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15C0"/>
  </w:style>
  <w:style w:type="character" w:styleId="FollowedHyperlink">
    <w:name w:val="FollowedHyperlink"/>
    <w:basedOn w:val="DefaultParagraphFont"/>
    <w:uiPriority w:val="99"/>
    <w:semiHidden/>
    <w:unhideWhenUsed/>
    <w:rsid w:val="001715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15C0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1715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5C0"/>
    <w:pPr>
      <w:spacing w:after="240" w:line="480" w:lineRule="auto"/>
      <w:ind w:firstLine="720"/>
    </w:pPr>
    <w:rPr>
      <w:rFonts w:ascii="Calibri" w:eastAsia="SimSun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715C0"/>
    <w:rPr>
      <w:rFonts w:ascii="Calibri" w:eastAsia="SimSun" w:hAnsi="Calibri" w:cs="Times New Roman"/>
      <w:lang w:eastAsia="en-AU"/>
    </w:rPr>
  </w:style>
  <w:style w:type="character" w:styleId="Hyperlink">
    <w:name w:val="Hyperlink"/>
    <w:basedOn w:val="DefaultParagraphFont"/>
    <w:uiPriority w:val="99"/>
    <w:rsid w:val="001715C0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1715C0"/>
    <w:rPr>
      <w:rFonts w:cs="Times New Roman"/>
    </w:rPr>
  </w:style>
  <w:style w:type="character" w:customStyle="1" w:styleId="legtitle">
    <w:name w:val="legtitle"/>
    <w:basedOn w:val="DefaultParagraphFont"/>
    <w:uiPriority w:val="99"/>
    <w:rsid w:val="001715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715C0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15C0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715C0"/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715C0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1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C0"/>
  </w:style>
  <w:style w:type="paragraph" w:styleId="Footer">
    <w:name w:val="footer"/>
    <w:basedOn w:val="Normal"/>
    <w:link w:val="FooterChar"/>
    <w:uiPriority w:val="99"/>
    <w:unhideWhenUsed/>
    <w:rsid w:val="00171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C0"/>
  </w:style>
  <w:style w:type="paragraph" w:styleId="ListParagraph">
    <w:name w:val="List Paragraph"/>
    <w:basedOn w:val="Normal"/>
    <w:uiPriority w:val="34"/>
    <w:qFormat/>
    <w:rsid w:val="001715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15C0"/>
  </w:style>
  <w:style w:type="character" w:styleId="FollowedHyperlink">
    <w:name w:val="FollowedHyperlink"/>
    <w:basedOn w:val="DefaultParagraphFont"/>
    <w:uiPriority w:val="99"/>
    <w:semiHidden/>
    <w:unhideWhenUsed/>
    <w:rsid w:val="001715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15C0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1715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Sheena</dc:creator>
  <cp:lastModifiedBy>Sullivan, Sheena</cp:lastModifiedBy>
  <cp:revision>5</cp:revision>
  <dcterms:created xsi:type="dcterms:W3CDTF">2016-04-18T00:36:00Z</dcterms:created>
  <dcterms:modified xsi:type="dcterms:W3CDTF">2016-04-18T06:48:00Z</dcterms:modified>
</cp:coreProperties>
</file>