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4B4" w:rsidRDefault="005904B4">
      <w:r w:rsidRPr="005904B4">
        <w:t>Epidemiology and Infection</w:t>
      </w:r>
    </w:p>
    <w:p w:rsidR="005904B4" w:rsidRDefault="005904B4">
      <w:r w:rsidRPr="005904B4">
        <w:t>Pandemic Risk Assessment Model (PRAM): A Mathematical Modeling Approach to Pandemic Influenza Planning</w:t>
      </w:r>
    </w:p>
    <w:p w:rsidR="005904B4" w:rsidRDefault="005904B4">
      <w:r>
        <w:t>D. C. Dover, E. M. Kirwin</w:t>
      </w:r>
      <w:r w:rsidRPr="005904B4">
        <w:t>, N.</w:t>
      </w:r>
      <w:r>
        <w:t xml:space="preserve"> Hernandez Ceron, K. A. Nelson</w:t>
      </w:r>
    </w:p>
    <w:p w:rsidR="005904B4" w:rsidRPr="00621D7C" w:rsidRDefault="005904B4">
      <w:pPr>
        <w:rPr>
          <w:b/>
        </w:rPr>
      </w:pPr>
      <w:r w:rsidRPr="00621D7C">
        <w:rPr>
          <w:b/>
        </w:rPr>
        <w:t>Supplementary Material</w:t>
      </w:r>
    </w:p>
    <w:tbl>
      <w:tblPr>
        <w:tblStyle w:val="TableGrid"/>
        <w:tblW w:w="0" w:type="auto"/>
        <w:tblLook w:val="04A0" w:firstRow="1" w:lastRow="0" w:firstColumn="1" w:lastColumn="0" w:noHBand="0" w:noVBand="1"/>
      </w:tblPr>
      <w:tblGrid>
        <w:gridCol w:w="1597"/>
        <w:gridCol w:w="1226"/>
        <w:gridCol w:w="8876"/>
        <w:gridCol w:w="1292"/>
      </w:tblGrid>
      <w:tr w:rsidR="0037097B" w:rsidRPr="00B647A5" w:rsidTr="0037097B">
        <w:tc>
          <w:tcPr>
            <w:tcW w:w="1592" w:type="dxa"/>
          </w:tcPr>
          <w:p w:rsidR="0037097B" w:rsidRPr="00B647A5" w:rsidRDefault="0037097B">
            <w:pPr>
              <w:rPr>
                <w:b/>
              </w:rPr>
            </w:pPr>
            <w:r w:rsidRPr="00B647A5">
              <w:rPr>
                <w:b/>
              </w:rPr>
              <w:t>Parameter</w:t>
            </w:r>
          </w:p>
        </w:tc>
        <w:tc>
          <w:tcPr>
            <w:tcW w:w="1223" w:type="dxa"/>
          </w:tcPr>
          <w:p w:rsidR="0037097B" w:rsidRPr="00B647A5" w:rsidRDefault="0037097B">
            <w:pPr>
              <w:rPr>
                <w:b/>
              </w:rPr>
            </w:pPr>
            <w:r w:rsidRPr="00B647A5">
              <w:rPr>
                <w:b/>
              </w:rPr>
              <w:t>Transitions Affected</w:t>
            </w:r>
          </w:p>
        </w:tc>
        <w:tc>
          <w:tcPr>
            <w:tcW w:w="8850" w:type="dxa"/>
          </w:tcPr>
          <w:p w:rsidR="0037097B" w:rsidRPr="00B647A5" w:rsidRDefault="0037097B" w:rsidP="001441EB">
            <w:pPr>
              <w:rPr>
                <w:b/>
              </w:rPr>
            </w:pPr>
            <w:r w:rsidRPr="00B647A5">
              <w:rPr>
                <w:b/>
              </w:rPr>
              <w:t>Form / Value</w:t>
            </w:r>
            <w:r w:rsidR="001441EB">
              <w:rPr>
                <w:b/>
              </w:rPr>
              <w:t xml:space="preserve"> [CI or range</w:t>
            </w:r>
            <w:r w:rsidR="00DC1793">
              <w:rPr>
                <w:b/>
              </w:rPr>
              <w:t>]</w:t>
            </w:r>
          </w:p>
        </w:tc>
        <w:tc>
          <w:tcPr>
            <w:tcW w:w="1289" w:type="dxa"/>
          </w:tcPr>
          <w:p w:rsidR="0037097B" w:rsidRPr="00B647A5" w:rsidRDefault="0037097B" w:rsidP="00D322AA">
            <w:pPr>
              <w:rPr>
                <w:b/>
              </w:rPr>
            </w:pPr>
            <w:r w:rsidRPr="00B647A5">
              <w:rPr>
                <w:b/>
              </w:rPr>
              <w:t>Source</w:t>
            </w:r>
          </w:p>
        </w:tc>
      </w:tr>
      <w:tr w:rsidR="0037097B" w:rsidRPr="00B647A5" w:rsidTr="0037097B">
        <w:tc>
          <w:tcPr>
            <w:tcW w:w="1592" w:type="dxa"/>
          </w:tcPr>
          <w:p w:rsidR="0037097B" w:rsidRPr="00B647A5" w:rsidRDefault="0037097B">
            <w:r w:rsidRPr="00B647A5">
              <w:t>Severity</w:t>
            </w:r>
          </w:p>
          <w:p w:rsidR="0037097B" w:rsidRPr="00B647A5" w:rsidRDefault="0037097B" w:rsidP="00810DC3">
            <w:r w:rsidRPr="00B647A5">
              <w:rPr>
                <w:position w:val="-6"/>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0.55pt" o:ole="">
                  <v:imagedata r:id="rId6" o:title=""/>
                </v:shape>
                <o:OLEObject Type="Embed" ProgID="Equation.DSMT4" ShapeID="_x0000_i1025" DrawAspect="Content" ObjectID="_1532608524" r:id="rId7"/>
              </w:object>
            </w:r>
            <w:r w:rsidRPr="00B647A5">
              <w:t xml:space="preserve"> </w:t>
            </w:r>
          </w:p>
        </w:tc>
        <w:tc>
          <w:tcPr>
            <w:tcW w:w="1223" w:type="dxa"/>
          </w:tcPr>
          <w:p w:rsidR="0037097B" w:rsidRPr="00B647A5" w:rsidRDefault="0037097B" w:rsidP="00810DC3">
            <w:r w:rsidRPr="00B647A5">
              <w:t xml:space="preserve">(5) </w:t>
            </w:r>
            <w:r w:rsidRPr="00B647A5">
              <w:sym w:font="Wingdings" w:char="F0E0"/>
            </w:r>
            <w:r w:rsidRPr="00B647A5">
              <w:t xml:space="preserve"> (6)</w:t>
            </w:r>
          </w:p>
          <w:p w:rsidR="0037097B" w:rsidRPr="00B647A5" w:rsidRDefault="0037097B" w:rsidP="00810DC3">
            <w:r w:rsidRPr="00B647A5">
              <w:t xml:space="preserve">(5) </w:t>
            </w:r>
            <w:r w:rsidRPr="00B647A5">
              <w:sym w:font="Wingdings" w:char="F0E0"/>
            </w:r>
            <w:r w:rsidRPr="00B647A5">
              <w:t xml:space="preserve"> (7)</w:t>
            </w:r>
          </w:p>
          <w:p w:rsidR="0037097B" w:rsidRPr="00B647A5" w:rsidRDefault="0037097B" w:rsidP="00810DC3">
            <w:r w:rsidRPr="00B647A5">
              <w:t xml:space="preserve">(8) </w:t>
            </w:r>
            <w:r w:rsidRPr="00B647A5">
              <w:sym w:font="Wingdings" w:char="F0E0"/>
            </w:r>
            <w:r w:rsidRPr="00B647A5">
              <w:t xml:space="preserve"> (10)</w:t>
            </w:r>
          </w:p>
          <w:p w:rsidR="0037097B" w:rsidRPr="00B647A5" w:rsidRDefault="0037097B" w:rsidP="00810DC3">
            <w:r w:rsidRPr="00B647A5">
              <w:t xml:space="preserve">(9) </w:t>
            </w:r>
            <w:r w:rsidRPr="00B647A5">
              <w:sym w:font="Wingdings" w:char="F0E0"/>
            </w:r>
            <w:r w:rsidRPr="00B647A5">
              <w:t xml:space="preserve"> (10)</w:t>
            </w:r>
          </w:p>
          <w:p w:rsidR="0037097B" w:rsidRPr="00B647A5" w:rsidRDefault="0037097B" w:rsidP="00810DC3">
            <w:r w:rsidRPr="00B647A5">
              <w:t xml:space="preserve">(10) </w:t>
            </w:r>
            <w:r w:rsidRPr="00B647A5">
              <w:sym w:font="Wingdings" w:char="F0E0"/>
            </w:r>
            <w:r w:rsidRPr="00B647A5">
              <w:t xml:space="preserve"> (11)</w:t>
            </w:r>
          </w:p>
          <w:p w:rsidR="0037097B" w:rsidRPr="00B647A5" w:rsidRDefault="0037097B" w:rsidP="00810DC3">
            <w:r w:rsidRPr="00B647A5">
              <w:t xml:space="preserve">(10) </w:t>
            </w:r>
            <w:r w:rsidRPr="00B647A5">
              <w:sym w:font="Wingdings" w:char="F0E0"/>
            </w:r>
            <w:r w:rsidRPr="00B647A5">
              <w:t xml:space="preserve"> (12)</w:t>
            </w:r>
          </w:p>
        </w:tc>
        <w:tc>
          <w:tcPr>
            <w:tcW w:w="8850" w:type="dxa"/>
          </w:tcPr>
          <w:p w:rsidR="0037097B" w:rsidRPr="00B647A5" w:rsidRDefault="0037097B">
            <w:r w:rsidRPr="00B647A5">
              <w:t>Default 1.0</w:t>
            </w:r>
          </w:p>
          <w:p w:rsidR="0037097B" w:rsidRPr="00B647A5" w:rsidRDefault="0037097B" w:rsidP="00AF09DB">
            <w:r w:rsidRPr="00B647A5">
              <w:t xml:space="preserve">Severity acts as an odds ratio </w:t>
            </w:r>
            <w:r>
              <w:t>adjusting</w:t>
            </w:r>
            <w:r w:rsidRPr="00B647A5">
              <w:t xml:space="preserve"> </w:t>
            </w:r>
            <w:r>
              <w:t>the medically attended, hospitalization and death</w:t>
            </w:r>
            <w:r w:rsidRPr="00B647A5">
              <w:t xml:space="preserve"> transition</w:t>
            </w:r>
            <w:r>
              <w:t xml:space="preserve"> parameters</w:t>
            </w:r>
            <w:r w:rsidRPr="00B647A5">
              <w:t>. The value is set to 1.0 for H1N1 as the reference pandemic.</w:t>
            </w:r>
          </w:p>
        </w:tc>
        <w:tc>
          <w:tcPr>
            <w:tcW w:w="1289" w:type="dxa"/>
          </w:tcPr>
          <w:p w:rsidR="0037097B" w:rsidRPr="00B647A5" w:rsidRDefault="0037097B">
            <w:r w:rsidRPr="00B647A5">
              <w:t>Default</w:t>
            </w:r>
            <w:r w:rsidR="00E14B7F">
              <w:t>, User selected</w:t>
            </w:r>
          </w:p>
        </w:tc>
      </w:tr>
      <w:tr w:rsidR="0037097B" w:rsidRPr="00B647A5" w:rsidTr="0037097B">
        <w:tc>
          <w:tcPr>
            <w:tcW w:w="1592" w:type="dxa"/>
          </w:tcPr>
          <w:p w:rsidR="0037097B" w:rsidRPr="00B647A5" w:rsidRDefault="0037097B">
            <w:r w:rsidRPr="00B647A5">
              <w:t>Transmissibility</w:t>
            </w:r>
          </w:p>
          <w:p w:rsidR="0037097B" w:rsidRPr="00B647A5" w:rsidRDefault="0037097B">
            <w:r w:rsidRPr="00B647A5">
              <w:rPr>
                <w:position w:val="-10"/>
              </w:rPr>
              <w:object w:dxaOrig="240" w:dyaOrig="320">
                <v:shape id="_x0000_i1026" type="#_x0000_t75" style="width:11.4pt;height:15.8pt" o:ole="">
                  <v:imagedata r:id="rId8" o:title=""/>
                </v:shape>
                <o:OLEObject Type="Embed" ProgID="Equation.DSMT4" ShapeID="_x0000_i1026" DrawAspect="Content" ObjectID="_1532608525" r:id="rId9"/>
              </w:object>
            </w:r>
            <w:r w:rsidRPr="00B647A5">
              <w:t xml:space="preserve"> </w:t>
            </w:r>
          </w:p>
          <w:p w:rsidR="0037097B" w:rsidRPr="00B647A5" w:rsidRDefault="0037097B"/>
        </w:tc>
        <w:tc>
          <w:tcPr>
            <w:tcW w:w="1223" w:type="dxa"/>
          </w:tcPr>
          <w:p w:rsidR="0037097B" w:rsidRPr="00B647A5" w:rsidRDefault="0037097B" w:rsidP="00810DC3">
            <w:r w:rsidRPr="00B647A5">
              <w:t xml:space="preserve">(1) </w:t>
            </w:r>
            <w:r w:rsidRPr="00B647A5">
              <w:sym w:font="Wingdings" w:char="F0E0"/>
            </w:r>
            <w:r w:rsidRPr="00B647A5">
              <w:t xml:space="preserve"> (5)</w:t>
            </w:r>
          </w:p>
          <w:p w:rsidR="0037097B" w:rsidRPr="00B647A5" w:rsidRDefault="0037097B" w:rsidP="00810DC3">
            <w:r w:rsidRPr="00B647A5">
              <w:t xml:space="preserve">(2) </w:t>
            </w:r>
            <w:r w:rsidRPr="00B647A5">
              <w:sym w:font="Wingdings" w:char="F0E0"/>
            </w:r>
            <w:r w:rsidRPr="00B647A5">
              <w:t xml:space="preserve"> (5) </w:t>
            </w:r>
          </w:p>
          <w:p w:rsidR="0037097B" w:rsidRPr="00B647A5" w:rsidRDefault="0037097B" w:rsidP="00810DC3">
            <w:r w:rsidRPr="00B647A5">
              <w:t xml:space="preserve">(3) </w:t>
            </w:r>
            <w:r w:rsidRPr="00B647A5">
              <w:sym w:font="Wingdings" w:char="F0E0"/>
            </w:r>
            <w:r w:rsidRPr="00B647A5">
              <w:t xml:space="preserve"> (5)</w:t>
            </w:r>
          </w:p>
          <w:p w:rsidR="0037097B" w:rsidRPr="00B647A5" w:rsidRDefault="0037097B" w:rsidP="00810DC3">
            <w:r w:rsidRPr="00B647A5">
              <w:t xml:space="preserve">(4) </w:t>
            </w:r>
            <w:r w:rsidRPr="00B647A5">
              <w:sym w:font="Wingdings" w:char="F0E0"/>
            </w:r>
            <w:r w:rsidRPr="00B647A5">
              <w:t xml:space="preserve"> (5)</w:t>
            </w:r>
          </w:p>
        </w:tc>
        <w:tc>
          <w:tcPr>
            <w:tcW w:w="8850" w:type="dxa"/>
          </w:tcPr>
          <w:p w:rsidR="0037097B" w:rsidRPr="00B647A5" w:rsidRDefault="0037097B">
            <w:r w:rsidRPr="00B647A5">
              <w:t>Default 2.5%</w:t>
            </w:r>
          </w:p>
          <w:p w:rsidR="0037097B" w:rsidRPr="00B647A5" w:rsidRDefault="0037097B" w:rsidP="00810DC3">
            <w:r w:rsidRPr="00B647A5">
              <w:t>representing the probability of becoming Exposed given contact with an Infectious individual.</w:t>
            </w:r>
          </w:p>
          <w:p w:rsidR="0037097B" w:rsidRPr="00B647A5" w:rsidRDefault="0037097B" w:rsidP="00810DC3">
            <w:r w:rsidRPr="00B647A5">
              <w:t>Transmissibility affects the Force of Infection.</w:t>
            </w:r>
          </w:p>
          <w:p w:rsidR="0037097B" w:rsidRPr="00B647A5" w:rsidRDefault="0037097B" w:rsidP="00810DC3">
            <w:r w:rsidRPr="00B647A5">
              <w:rPr>
                <w:position w:val="-10"/>
              </w:rPr>
              <w:object w:dxaOrig="2200" w:dyaOrig="400">
                <v:shape id="_x0000_i1027" type="#_x0000_t75" style="width:110.65pt;height:20.2pt" o:ole="">
                  <v:imagedata r:id="rId10" o:title=""/>
                </v:shape>
                <o:OLEObject Type="Embed" ProgID="Equation.DSMT4" ShapeID="_x0000_i1027" DrawAspect="Content" ObjectID="_1532608526" r:id="rId11"/>
              </w:object>
            </w:r>
            <w:r w:rsidRPr="00B647A5">
              <w:t xml:space="preserve"> </w:t>
            </w:r>
            <w:proofErr w:type="gramStart"/>
            <w:r w:rsidRPr="00B647A5">
              <w:t>based</w:t>
            </w:r>
            <w:proofErr w:type="gramEnd"/>
            <w:r w:rsidRPr="00B647A5">
              <w:t xml:space="preserve"> on 14 day follow-up and a 30.2% attack rate reported.</w:t>
            </w:r>
          </w:p>
        </w:tc>
        <w:tc>
          <w:tcPr>
            <w:tcW w:w="1289" w:type="dxa"/>
          </w:tcPr>
          <w:p w:rsidR="0037097B" w:rsidRPr="00B647A5" w:rsidRDefault="00684AD8" w:rsidP="007F3F73">
            <w:r>
              <w:t>[57</w:t>
            </w:r>
            <w:r w:rsidR="0037097B" w:rsidRPr="00B647A5">
              <w:t>]</w:t>
            </w:r>
            <w:r w:rsidR="00E14B7F">
              <w:t>, User selected</w:t>
            </w:r>
          </w:p>
        </w:tc>
      </w:tr>
      <w:tr w:rsidR="0037097B" w:rsidRPr="00B647A5" w:rsidTr="0037097B">
        <w:tc>
          <w:tcPr>
            <w:tcW w:w="1592" w:type="dxa"/>
          </w:tcPr>
          <w:p w:rsidR="0037097B" w:rsidRPr="00B647A5" w:rsidRDefault="0037097B">
            <w:r w:rsidRPr="00B647A5">
              <w:t>Vaccination Rate</w:t>
            </w:r>
          </w:p>
          <w:p w:rsidR="0037097B" w:rsidRPr="00B647A5" w:rsidRDefault="0037097B">
            <w:r w:rsidRPr="00B647A5">
              <w:rPr>
                <w:position w:val="-10"/>
              </w:rPr>
              <w:object w:dxaOrig="440" w:dyaOrig="320">
                <v:shape id="_x0000_i1028" type="#_x0000_t75" style="width:21.95pt;height:15.8pt" o:ole="">
                  <v:imagedata r:id="rId12" o:title=""/>
                </v:shape>
                <o:OLEObject Type="Embed" ProgID="Equation.DSMT4" ShapeID="_x0000_i1028" DrawAspect="Content" ObjectID="_1532608527" r:id="rId13"/>
              </w:object>
            </w:r>
            <w:r w:rsidRPr="00B647A5">
              <w:t xml:space="preserve"> </w:t>
            </w:r>
          </w:p>
        </w:tc>
        <w:tc>
          <w:tcPr>
            <w:tcW w:w="1223" w:type="dxa"/>
          </w:tcPr>
          <w:p w:rsidR="0037097B" w:rsidRPr="00B647A5" w:rsidRDefault="0037097B" w:rsidP="00022C3B">
            <w:r w:rsidRPr="00B647A5">
              <w:t xml:space="preserve">(1) </w:t>
            </w:r>
            <w:r w:rsidRPr="00B647A5">
              <w:sym w:font="Wingdings" w:char="F0E0"/>
            </w:r>
            <w:r w:rsidRPr="00B647A5">
              <w:t xml:space="preserve"> (3)</w:t>
            </w:r>
          </w:p>
        </w:tc>
        <w:tc>
          <w:tcPr>
            <w:tcW w:w="8850" w:type="dxa"/>
          </w:tcPr>
          <w:p w:rsidR="0037097B" w:rsidRPr="00B647A5" w:rsidRDefault="0037097B">
            <w:r w:rsidRPr="00B647A5">
              <w:t xml:space="preserve">Vaccination Capacity of 60,000 per day, if vaccine remains at time </w:t>
            </w:r>
            <w:r w:rsidRPr="00B647A5">
              <w:rPr>
                <w:i/>
              </w:rPr>
              <w:t>t</w:t>
            </w:r>
            <w:r w:rsidRPr="00B647A5">
              <w:t xml:space="preserve">. </w:t>
            </w:r>
          </w:p>
          <w:p w:rsidR="0037097B" w:rsidRPr="00B647A5" w:rsidRDefault="0037097B" w:rsidP="00022C3B">
            <w:r w:rsidRPr="00B647A5">
              <w:t>0, otherwise</w:t>
            </w:r>
          </w:p>
          <w:p w:rsidR="0037097B" w:rsidRDefault="0037097B" w:rsidP="00022C3B">
            <w:r w:rsidRPr="00B647A5">
              <w:t>Value was obtained as the daily average number of doses delivered from the week with the most doses delivered during H1N1 in Alberta.</w:t>
            </w:r>
          </w:p>
          <w:p w:rsidR="00470686" w:rsidRPr="00B647A5" w:rsidRDefault="00470686" w:rsidP="00022C3B"/>
        </w:tc>
        <w:tc>
          <w:tcPr>
            <w:tcW w:w="1289" w:type="dxa"/>
          </w:tcPr>
          <w:p w:rsidR="0037097B" w:rsidRPr="00B647A5" w:rsidRDefault="0037097B">
            <w:r w:rsidRPr="00B647A5">
              <w:t>Alberta Health</w:t>
            </w:r>
          </w:p>
        </w:tc>
      </w:tr>
      <w:tr w:rsidR="0037097B" w:rsidRPr="00B647A5" w:rsidTr="0037097B">
        <w:tc>
          <w:tcPr>
            <w:tcW w:w="1592" w:type="dxa"/>
          </w:tcPr>
          <w:p w:rsidR="0037097B" w:rsidRPr="00B647A5" w:rsidRDefault="0037097B">
            <w:r w:rsidRPr="00B647A5">
              <w:t>Vaccination Policy</w:t>
            </w:r>
          </w:p>
          <w:p w:rsidR="0037097B" w:rsidRPr="00B647A5" w:rsidRDefault="0037097B">
            <w:r w:rsidRPr="00B647A5">
              <w:rPr>
                <w:position w:val="-12"/>
              </w:rPr>
              <w:object w:dxaOrig="960" w:dyaOrig="360">
                <v:shape id="_x0000_i1029" type="#_x0000_t75" style="width:47.4pt;height:18.45pt" o:ole="">
                  <v:imagedata r:id="rId14" o:title=""/>
                </v:shape>
                <o:OLEObject Type="Embed" ProgID="Equation.DSMT4" ShapeID="_x0000_i1029" DrawAspect="Content" ObjectID="_1532608528" r:id="rId15"/>
              </w:object>
            </w:r>
            <w:r w:rsidRPr="00B647A5">
              <w:t xml:space="preserve"> </w:t>
            </w:r>
          </w:p>
        </w:tc>
        <w:tc>
          <w:tcPr>
            <w:tcW w:w="1223" w:type="dxa"/>
          </w:tcPr>
          <w:p w:rsidR="0037097B" w:rsidRPr="00B647A5" w:rsidRDefault="0037097B">
            <w:r w:rsidRPr="00B647A5">
              <w:t xml:space="preserve">(1) </w:t>
            </w:r>
            <w:r w:rsidRPr="00B647A5">
              <w:sym w:font="Wingdings" w:char="F0E0"/>
            </w:r>
            <w:r w:rsidRPr="00B647A5">
              <w:t xml:space="preserve"> (3)</w:t>
            </w:r>
          </w:p>
        </w:tc>
        <w:tc>
          <w:tcPr>
            <w:tcW w:w="8850" w:type="dxa"/>
          </w:tcPr>
          <w:p w:rsidR="0037097B" w:rsidRPr="00B647A5" w:rsidRDefault="0037097B">
            <w:r w:rsidRPr="00B647A5">
              <w:t xml:space="preserve">1, if vaccination age group </w:t>
            </w:r>
            <w:r w:rsidRPr="00B647A5">
              <w:rPr>
                <w:i/>
              </w:rPr>
              <w:t>a</w:t>
            </w:r>
            <w:r w:rsidRPr="00B647A5">
              <w:t xml:space="preserve"> and risk group </w:t>
            </w:r>
            <w:r w:rsidRPr="00B647A5">
              <w:rPr>
                <w:i/>
              </w:rPr>
              <w:t>r</w:t>
            </w:r>
            <w:r w:rsidRPr="00B647A5">
              <w:t xml:space="preserve"> at time </w:t>
            </w:r>
            <w:r w:rsidRPr="00B647A5">
              <w:rPr>
                <w:i/>
              </w:rPr>
              <w:t>t</w:t>
            </w:r>
          </w:p>
          <w:p w:rsidR="0037097B" w:rsidRPr="00B647A5" w:rsidRDefault="0037097B">
            <w:r w:rsidRPr="00B647A5">
              <w:t>0, otherwise</w:t>
            </w:r>
          </w:p>
        </w:tc>
        <w:tc>
          <w:tcPr>
            <w:tcW w:w="1289" w:type="dxa"/>
          </w:tcPr>
          <w:p w:rsidR="0037097B" w:rsidRPr="00B647A5" w:rsidRDefault="0037097B">
            <w:r w:rsidRPr="00B647A5">
              <w:t>User selected</w:t>
            </w:r>
          </w:p>
        </w:tc>
      </w:tr>
      <w:tr w:rsidR="0037097B" w:rsidRPr="00B647A5" w:rsidTr="0037097B">
        <w:tc>
          <w:tcPr>
            <w:tcW w:w="1592" w:type="dxa"/>
          </w:tcPr>
          <w:p w:rsidR="0037097B" w:rsidRPr="00B647A5" w:rsidRDefault="0037097B">
            <w:r w:rsidRPr="00B647A5">
              <w:t>Vaccine Effectiveness</w:t>
            </w:r>
          </w:p>
          <w:p w:rsidR="0037097B" w:rsidRPr="00B647A5" w:rsidRDefault="0037097B">
            <w:pPr>
              <w:rPr>
                <w:i/>
              </w:rPr>
            </w:pPr>
            <w:r w:rsidRPr="00B647A5">
              <w:rPr>
                <w:i/>
              </w:rPr>
              <w:t>VE</w:t>
            </w:r>
          </w:p>
        </w:tc>
        <w:tc>
          <w:tcPr>
            <w:tcW w:w="1223" w:type="dxa"/>
          </w:tcPr>
          <w:p w:rsidR="0037097B" w:rsidRPr="00B647A5" w:rsidRDefault="0037097B" w:rsidP="00022C3B">
            <w:r w:rsidRPr="00B647A5">
              <w:t xml:space="preserve">(3) </w:t>
            </w:r>
            <w:r w:rsidRPr="00B647A5">
              <w:sym w:font="Wingdings" w:char="F0E0"/>
            </w:r>
            <w:r w:rsidRPr="00B647A5">
              <w:t xml:space="preserve"> (4)</w:t>
            </w:r>
          </w:p>
          <w:p w:rsidR="0037097B" w:rsidRPr="00B647A5" w:rsidRDefault="0037097B" w:rsidP="00022C3B">
            <w:r w:rsidRPr="00B647A5">
              <w:t xml:space="preserve">(3) </w:t>
            </w:r>
            <w:r w:rsidRPr="00B647A5">
              <w:sym w:font="Wingdings" w:char="F0E0"/>
            </w:r>
            <w:r w:rsidRPr="00B647A5">
              <w:t xml:space="preserve"> (12)</w:t>
            </w:r>
          </w:p>
        </w:tc>
        <w:tc>
          <w:tcPr>
            <w:tcW w:w="8850" w:type="dxa"/>
          </w:tcPr>
          <w:p w:rsidR="0037097B" w:rsidRDefault="0037097B">
            <w:r w:rsidRPr="00B647A5">
              <w:t>0.70</w:t>
            </w:r>
            <w:r w:rsidR="001441EB">
              <w:t xml:space="preserve"> [range 0.60-0.93]</w:t>
            </w:r>
          </w:p>
          <w:p w:rsidR="0037097B" w:rsidRPr="00B647A5" w:rsidRDefault="0037097B" w:rsidP="001A792C">
            <w:proofErr w:type="gramStart"/>
            <w:r>
              <w:t>which</w:t>
            </w:r>
            <w:proofErr w:type="gramEnd"/>
            <w:r>
              <w:t xml:space="preserve"> represents a 70% vaccine effectiveness. This level was assumed to reflect other Canadian models, and is also supported by also a meta-analysis of monovalent pandemic H1N1 vaccine effectiveness.</w:t>
            </w:r>
          </w:p>
        </w:tc>
        <w:tc>
          <w:tcPr>
            <w:tcW w:w="1289" w:type="dxa"/>
          </w:tcPr>
          <w:p w:rsidR="0037097B" w:rsidRPr="00B647A5" w:rsidRDefault="0037097B" w:rsidP="00684AD8">
            <w:r w:rsidRPr="00B647A5">
              <w:t>[</w:t>
            </w:r>
            <w:r>
              <w:t>18</w:t>
            </w:r>
            <w:r w:rsidRPr="00B647A5">
              <w:t>]</w:t>
            </w:r>
            <w:r>
              <w:t xml:space="preserve"> [27][5</w:t>
            </w:r>
            <w:r w:rsidR="00684AD8">
              <w:t>8</w:t>
            </w:r>
            <w:r>
              <w:t>]</w:t>
            </w:r>
            <w:r w:rsidR="00E14B7F">
              <w:t>, User selected</w:t>
            </w:r>
          </w:p>
        </w:tc>
      </w:tr>
      <w:tr w:rsidR="0037097B" w:rsidRPr="00B647A5" w:rsidTr="0037097B">
        <w:tc>
          <w:tcPr>
            <w:tcW w:w="1592" w:type="dxa"/>
          </w:tcPr>
          <w:p w:rsidR="0037097B" w:rsidRPr="00B647A5" w:rsidRDefault="0037097B">
            <w:r w:rsidRPr="00B647A5">
              <w:lastRenderedPageBreak/>
              <w:t>Force of Infection</w:t>
            </w:r>
          </w:p>
          <w:p w:rsidR="0037097B" w:rsidRPr="00B647A5" w:rsidRDefault="0037097B">
            <w:r w:rsidRPr="00B647A5">
              <w:rPr>
                <w:position w:val="-10"/>
              </w:rPr>
              <w:object w:dxaOrig="980" w:dyaOrig="320">
                <v:shape id="_x0000_i1030" type="#_x0000_t75" style="width:48.3pt;height:15.8pt" o:ole="">
                  <v:imagedata r:id="rId16" o:title=""/>
                </v:shape>
                <o:OLEObject Type="Embed" ProgID="Equation.DSMT4" ShapeID="_x0000_i1030" DrawAspect="Content" ObjectID="_1532608529" r:id="rId17"/>
              </w:object>
            </w:r>
            <w:r w:rsidRPr="00B647A5">
              <w:t xml:space="preserve"> </w:t>
            </w:r>
          </w:p>
        </w:tc>
        <w:tc>
          <w:tcPr>
            <w:tcW w:w="1223" w:type="dxa"/>
          </w:tcPr>
          <w:p w:rsidR="0037097B" w:rsidRPr="00B647A5" w:rsidRDefault="0037097B" w:rsidP="00DF360B">
            <w:r w:rsidRPr="00B647A5">
              <w:t xml:space="preserve">(1) </w:t>
            </w:r>
            <w:r w:rsidRPr="00B647A5">
              <w:sym w:font="Wingdings" w:char="F0E0"/>
            </w:r>
            <w:r w:rsidRPr="00B647A5">
              <w:t xml:space="preserve"> (5)</w:t>
            </w:r>
          </w:p>
          <w:p w:rsidR="0037097B" w:rsidRPr="00B647A5" w:rsidRDefault="0037097B" w:rsidP="00DF360B">
            <w:r w:rsidRPr="00B647A5">
              <w:t xml:space="preserve">(2) </w:t>
            </w:r>
            <w:r w:rsidRPr="00B647A5">
              <w:sym w:font="Wingdings" w:char="F0E0"/>
            </w:r>
            <w:r w:rsidRPr="00B647A5">
              <w:t xml:space="preserve"> (5) </w:t>
            </w:r>
          </w:p>
          <w:p w:rsidR="0037097B" w:rsidRPr="00B647A5" w:rsidRDefault="0037097B" w:rsidP="00DF360B">
            <w:r w:rsidRPr="00B647A5">
              <w:t xml:space="preserve">(3) </w:t>
            </w:r>
            <w:r w:rsidRPr="00B647A5">
              <w:sym w:font="Wingdings" w:char="F0E0"/>
            </w:r>
            <w:r w:rsidRPr="00B647A5">
              <w:t xml:space="preserve"> (5)</w:t>
            </w:r>
          </w:p>
          <w:p w:rsidR="0037097B" w:rsidRPr="00B647A5" w:rsidRDefault="0037097B" w:rsidP="00DF360B">
            <w:r w:rsidRPr="00B647A5">
              <w:t xml:space="preserve">(4) </w:t>
            </w:r>
            <w:r w:rsidRPr="00B647A5">
              <w:sym w:font="Wingdings" w:char="F0E0"/>
            </w:r>
            <w:r w:rsidRPr="00B647A5">
              <w:t xml:space="preserve"> (5)</w:t>
            </w:r>
          </w:p>
        </w:tc>
        <w:tc>
          <w:tcPr>
            <w:tcW w:w="8850" w:type="dxa"/>
          </w:tcPr>
          <w:p w:rsidR="0037097B" w:rsidRPr="00B647A5" w:rsidRDefault="0037097B" w:rsidP="00DF360B">
            <w:r w:rsidRPr="00B647A5">
              <w:rPr>
                <w:position w:val="-66"/>
              </w:rPr>
              <w:object w:dxaOrig="8660" w:dyaOrig="1440">
                <v:shape id="_x0000_i1031" type="#_x0000_t75" style="width:432.9pt;height:1in" o:ole="">
                  <v:imagedata r:id="rId18" o:title=""/>
                </v:shape>
                <o:OLEObject Type="Embed" ProgID="Equation.DSMT4" ShapeID="_x0000_i1031" DrawAspect="Content" ObjectID="_1532608530" r:id="rId19"/>
              </w:object>
            </w:r>
            <w:r w:rsidRPr="00B647A5">
              <w:t xml:space="preserve"> where </w:t>
            </w:r>
            <w:proofErr w:type="spellStart"/>
            <w:r w:rsidRPr="00B647A5">
              <w:rPr>
                <w:i/>
              </w:rPr>
              <w:t>agepop</w:t>
            </w:r>
            <w:proofErr w:type="spellEnd"/>
            <w:r w:rsidRPr="00B647A5">
              <w:rPr>
                <w:i/>
              </w:rPr>
              <w:t>[a]</w:t>
            </w:r>
            <w:r w:rsidRPr="00B647A5">
              <w:t xml:space="preserve"> is the population in age group </w:t>
            </w:r>
            <w:r w:rsidRPr="00B647A5">
              <w:rPr>
                <w:i/>
              </w:rPr>
              <w:t>a</w:t>
            </w:r>
          </w:p>
        </w:tc>
        <w:tc>
          <w:tcPr>
            <w:tcW w:w="1289" w:type="dxa"/>
          </w:tcPr>
          <w:p w:rsidR="0037097B" w:rsidRPr="00B647A5" w:rsidRDefault="0037097B"/>
        </w:tc>
      </w:tr>
      <w:tr w:rsidR="0037097B" w:rsidRPr="00B647A5" w:rsidTr="0037097B">
        <w:tc>
          <w:tcPr>
            <w:tcW w:w="1592" w:type="dxa"/>
          </w:tcPr>
          <w:p w:rsidR="0037097B" w:rsidRPr="00B647A5" w:rsidRDefault="0037097B">
            <w:r w:rsidRPr="00B647A5">
              <w:t>Contact Matrix</w:t>
            </w:r>
          </w:p>
          <w:p w:rsidR="0037097B" w:rsidRPr="00B647A5" w:rsidRDefault="0037097B">
            <w:pPr>
              <w:rPr>
                <w:i/>
              </w:rPr>
            </w:pPr>
            <w:r w:rsidRPr="00B647A5">
              <w:rPr>
                <w:i/>
              </w:rPr>
              <w:t>contact[a,a’]</w:t>
            </w:r>
          </w:p>
        </w:tc>
        <w:tc>
          <w:tcPr>
            <w:tcW w:w="1223" w:type="dxa"/>
          </w:tcPr>
          <w:p w:rsidR="0037097B" w:rsidRPr="00B647A5" w:rsidRDefault="0037097B" w:rsidP="00CA3BE9">
            <w:r w:rsidRPr="00B647A5">
              <w:t xml:space="preserve">(1) </w:t>
            </w:r>
            <w:r w:rsidRPr="00B647A5">
              <w:sym w:font="Wingdings" w:char="F0E0"/>
            </w:r>
            <w:r w:rsidRPr="00B647A5">
              <w:t xml:space="preserve"> (5)</w:t>
            </w:r>
          </w:p>
          <w:p w:rsidR="0037097B" w:rsidRPr="00B647A5" w:rsidRDefault="0037097B" w:rsidP="00CA3BE9">
            <w:r w:rsidRPr="00B647A5">
              <w:t xml:space="preserve">(2) </w:t>
            </w:r>
            <w:r w:rsidRPr="00B647A5">
              <w:sym w:font="Wingdings" w:char="F0E0"/>
            </w:r>
            <w:r w:rsidRPr="00B647A5">
              <w:t xml:space="preserve"> (5)</w:t>
            </w:r>
          </w:p>
          <w:p w:rsidR="0037097B" w:rsidRPr="00B647A5" w:rsidRDefault="0037097B" w:rsidP="00CA3BE9">
            <w:r w:rsidRPr="00B647A5">
              <w:t xml:space="preserve">(3) </w:t>
            </w:r>
            <w:r w:rsidRPr="00B647A5">
              <w:sym w:font="Wingdings" w:char="F0E0"/>
            </w:r>
            <w:r w:rsidRPr="00B647A5">
              <w:t xml:space="preserve"> (5)</w:t>
            </w:r>
          </w:p>
          <w:p w:rsidR="0037097B" w:rsidRPr="00B647A5" w:rsidRDefault="0037097B" w:rsidP="00CA3BE9">
            <w:r w:rsidRPr="00B647A5">
              <w:t xml:space="preserve">(4) </w:t>
            </w:r>
            <w:r w:rsidRPr="00B647A5">
              <w:sym w:font="Wingdings" w:char="F0E0"/>
            </w:r>
            <w:r w:rsidRPr="00B647A5">
              <w:t xml:space="preserve"> (5)</w:t>
            </w:r>
          </w:p>
        </w:tc>
        <w:bookmarkStart w:id="0" w:name="_MON_1459256868"/>
        <w:bookmarkEnd w:id="0"/>
        <w:tc>
          <w:tcPr>
            <w:tcW w:w="8850" w:type="dxa"/>
          </w:tcPr>
          <w:p w:rsidR="0037097B" w:rsidRPr="00B647A5" w:rsidRDefault="0037097B">
            <w:pPr>
              <w:rPr>
                <w:rFonts w:ascii="Calibri" w:hAnsi="Calibri"/>
              </w:rPr>
            </w:pPr>
            <w:r w:rsidRPr="00B647A5">
              <w:rPr>
                <w:rFonts w:ascii="Calibri" w:hAnsi="Calibri"/>
              </w:rPr>
              <w:object w:dxaOrig="8287" w:dyaOrig="2347">
                <v:shape id="_x0000_i1032" type="#_x0000_t75" style="width:412.7pt;height:116.8pt" o:ole="">
                  <v:imagedata r:id="rId20" o:title=""/>
                </v:shape>
                <o:OLEObject Type="Embed" ProgID="Excel.Sheet.12" ShapeID="_x0000_i1032" DrawAspect="Content" ObjectID="_1532608531" r:id="rId21"/>
              </w:object>
            </w:r>
          </w:p>
          <w:p w:rsidR="0037097B" w:rsidRPr="00B647A5" w:rsidRDefault="0037097B" w:rsidP="00470686">
            <w:r w:rsidRPr="00B647A5">
              <w:rPr>
                <w:rFonts w:ascii="Calibri" w:hAnsi="Calibri"/>
              </w:rPr>
              <w:t>This contact matrix is derived as the symmetrical version of the Finnish contact matrix in [1</w:t>
            </w:r>
            <w:r>
              <w:rPr>
                <w:rFonts w:ascii="Calibri" w:hAnsi="Calibri"/>
              </w:rPr>
              <w:t>2</w:t>
            </w:r>
            <w:r w:rsidRPr="00B647A5">
              <w:rPr>
                <w:rFonts w:ascii="Calibri" w:hAnsi="Calibri"/>
              </w:rPr>
              <w:t>] adjusted to the listed age groups.</w:t>
            </w:r>
            <w:r w:rsidR="00470686">
              <w:rPr>
                <w:rFonts w:ascii="Calibri" w:hAnsi="Calibri"/>
              </w:rPr>
              <w:t xml:space="preserve"> </w:t>
            </w:r>
            <w:r>
              <w:rPr>
                <w:rFonts w:ascii="Calibri" w:hAnsi="Calibri"/>
              </w:rPr>
              <w:t>Contact matrices are available for several other countries, three of which have demographic structures similar to Canada (Finland, Belgium and Great Britain) [12] but of the countries available, the Finnish population density was by most similar to Canada’s , and was therefore selected as the contact matrix used in PRAM.</w:t>
            </w:r>
          </w:p>
        </w:tc>
        <w:tc>
          <w:tcPr>
            <w:tcW w:w="1289" w:type="dxa"/>
          </w:tcPr>
          <w:p w:rsidR="0037097B" w:rsidRPr="00B647A5" w:rsidRDefault="0037097B" w:rsidP="00684AD8">
            <w:r w:rsidRPr="00B647A5">
              <w:t>[</w:t>
            </w:r>
            <w:r>
              <w:t>4</w:t>
            </w:r>
            <w:r w:rsidR="00684AD8">
              <w:t>9</w:t>
            </w:r>
            <w:r w:rsidRPr="00B647A5">
              <w:t>]</w:t>
            </w:r>
          </w:p>
        </w:tc>
      </w:tr>
      <w:tr w:rsidR="0037097B" w:rsidRPr="00B647A5" w:rsidTr="0037097B">
        <w:tc>
          <w:tcPr>
            <w:tcW w:w="1592" w:type="dxa"/>
          </w:tcPr>
          <w:p w:rsidR="0037097B" w:rsidRPr="00B647A5" w:rsidRDefault="0037097B">
            <w:r w:rsidRPr="00B647A5">
              <w:t>Isolation / Contact Reduction</w:t>
            </w:r>
          </w:p>
          <w:p w:rsidR="0037097B" w:rsidRPr="00B647A5" w:rsidRDefault="0037097B">
            <w:pPr>
              <w:rPr>
                <w:i/>
              </w:rPr>
            </w:pPr>
            <w:r w:rsidRPr="00B647A5">
              <w:rPr>
                <w:i/>
              </w:rPr>
              <w:t>b</w:t>
            </w:r>
          </w:p>
        </w:tc>
        <w:tc>
          <w:tcPr>
            <w:tcW w:w="1223" w:type="dxa"/>
          </w:tcPr>
          <w:p w:rsidR="0037097B" w:rsidRPr="00B647A5" w:rsidRDefault="0037097B" w:rsidP="008B34BB">
            <w:r w:rsidRPr="00B647A5">
              <w:t xml:space="preserve">(1) </w:t>
            </w:r>
            <w:r w:rsidRPr="00B647A5">
              <w:sym w:font="Wingdings" w:char="F0E0"/>
            </w:r>
            <w:r w:rsidRPr="00B647A5">
              <w:t xml:space="preserve"> (5)</w:t>
            </w:r>
          </w:p>
          <w:p w:rsidR="0037097B" w:rsidRPr="00B647A5" w:rsidRDefault="0037097B" w:rsidP="008B34BB">
            <w:r w:rsidRPr="00B647A5">
              <w:t xml:space="preserve">(2) </w:t>
            </w:r>
            <w:r w:rsidRPr="00B647A5">
              <w:sym w:font="Wingdings" w:char="F0E0"/>
            </w:r>
            <w:r w:rsidRPr="00B647A5">
              <w:t xml:space="preserve"> (5) </w:t>
            </w:r>
          </w:p>
          <w:p w:rsidR="0037097B" w:rsidRPr="00B647A5" w:rsidRDefault="0037097B" w:rsidP="008B34BB">
            <w:r w:rsidRPr="00B647A5">
              <w:t xml:space="preserve">(3) </w:t>
            </w:r>
            <w:r w:rsidRPr="00B647A5">
              <w:sym w:font="Wingdings" w:char="F0E0"/>
            </w:r>
            <w:r w:rsidRPr="00B647A5">
              <w:t xml:space="preserve"> (5)</w:t>
            </w:r>
          </w:p>
          <w:p w:rsidR="0037097B" w:rsidRPr="00B647A5" w:rsidRDefault="0037097B" w:rsidP="008B34BB">
            <w:r w:rsidRPr="00B647A5">
              <w:t xml:space="preserve">(4) </w:t>
            </w:r>
            <w:r w:rsidRPr="00B647A5">
              <w:sym w:font="Wingdings" w:char="F0E0"/>
            </w:r>
            <w:r w:rsidRPr="00B647A5">
              <w:t xml:space="preserve"> (5)</w:t>
            </w:r>
          </w:p>
        </w:tc>
        <w:tc>
          <w:tcPr>
            <w:tcW w:w="8850" w:type="dxa"/>
          </w:tcPr>
          <w:p w:rsidR="0037097B" w:rsidRPr="00B647A5" w:rsidRDefault="0037097B">
            <w:r w:rsidRPr="00B647A5">
              <w:t>Default 1.0</w:t>
            </w:r>
          </w:p>
          <w:p w:rsidR="0037097B" w:rsidRPr="00B647A5" w:rsidRDefault="0037097B" w:rsidP="002B60FB">
            <w:r w:rsidRPr="00B647A5">
              <w:t>Values between 0 and 1 represent the proportion of contacts maintained during isolation</w:t>
            </w:r>
          </w:p>
        </w:tc>
        <w:tc>
          <w:tcPr>
            <w:tcW w:w="1289" w:type="dxa"/>
          </w:tcPr>
          <w:p w:rsidR="0037097B" w:rsidRPr="00B647A5" w:rsidRDefault="0037097B">
            <w:r w:rsidRPr="00B647A5">
              <w:t>Default</w:t>
            </w:r>
          </w:p>
        </w:tc>
      </w:tr>
      <w:tr w:rsidR="0037097B" w:rsidRPr="00B647A5" w:rsidTr="0037097B">
        <w:tc>
          <w:tcPr>
            <w:tcW w:w="1592" w:type="dxa"/>
          </w:tcPr>
          <w:p w:rsidR="0037097B" w:rsidRPr="00B647A5" w:rsidRDefault="0037097B">
            <w:r w:rsidRPr="00B647A5">
              <w:t>Proportion Exposed Medically Attended</w:t>
            </w:r>
          </w:p>
          <w:p w:rsidR="0037097B" w:rsidRPr="00B647A5" w:rsidRDefault="0037097B">
            <w:r w:rsidRPr="00B647A5">
              <w:rPr>
                <w:position w:val="-10"/>
              </w:rPr>
              <w:object w:dxaOrig="700" w:dyaOrig="320">
                <v:shape id="_x0000_i1033" type="#_x0000_t75" style="width:35.1pt;height:15.8pt" o:ole="">
                  <v:imagedata r:id="rId22" o:title=""/>
                </v:shape>
                <o:OLEObject Type="Embed" ProgID="Equation.DSMT4" ShapeID="_x0000_i1033" DrawAspect="Content" ObjectID="_1532608532" r:id="rId23"/>
              </w:object>
            </w:r>
            <w:r w:rsidRPr="00B647A5">
              <w:t xml:space="preserve"> </w:t>
            </w:r>
          </w:p>
        </w:tc>
        <w:tc>
          <w:tcPr>
            <w:tcW w:w="1223" w:type="dxa"/>
          </w:tcPr>
          <w:p w:rsidR="0037097B" w:rsidRPr="00B647A5" w:rsidRDefault="0037097B" w:rsidP="00CA3BE9">
            <w:r w:rsidRPr="00B647A5">
              <w:t xml:space="preserve">(5) </w:t>
            </w:r>
            <w:r w:rsidRPr="00B647A5">
              <w:sym w:font="Wingdings" w:char="F0E0"/>
            </w:r>
            <w:r w:rsidRPr="00B647A5">
              <w:t xml:space="preserve"> (6)</w:t>
            </w:r>
          </w:p>
          <w:p w:rsidR="0037097B" w:rsidRPr="00B647A5" w:rsidRDefault="0037097B" w:rsidP="00CA3BE9">
            <w:r w:rsidRPr="00B647A5">
              <w:t xml:space="preserve">(5) </w:t>
            </w:r>
            <w:r w:rsidRPr="00B647A5">
              <w:sym w:font="Wingdings" w:char="F0E0"/>
            </w:r>
            <w:r w:rsidRPr="00B647A5">
              <w:t xml:space="preserve"> (7)</w:t>
            </w:r>
          </w:p>
        </w:tc>
        <w:tc>
          <w:tcPr>
            <w:tcW w:w="8850" w:type="dxa"/>
          </w:tcPr>
          <w:p w:rsidR="0037097B" w:rsidRPr="00B647A5" w:rsidRDefault="0037097B">
            <w:r w:rsidRPr="00B647A5">
              <w:rPr>
                <w:position w:val="-30"/>
              </w:rPr>
              <w:object w:dxaOrig="7060" w:dyaOrig="720">
                <v:shape id="_x0000_i1034" type="#_x0000_t75" style="width:353pt;height:36pt" o:ole="">
                  <v:imagedata r:id="rId24" o:title=""/>
                </v:shape>
                <o:OLEObject Type="Embed" ProgID="Equation.DSMT4" ShapeID="_x0000_i1034" DrawAspect="Content" ObjectID="_1532608533" r:id="rId25"/>
              </w:object>
            </w:r>
            <w:r w:rsidRPr="00B647A5">
              <w:t xml:space="preserve"> </w:t>
            </w:r>
          </w:p>
        </w:tc>
        <w:tc>
          <w:tcPr>
            <w:tcW w:w="1289" w:type="dxa"/>
          </w:tcPr>
          <w:p w:rsidR="0037097B" w:rsidRPr="00B647A5" w:rsidRDefault="0037097B">
            <w:r w:rsidRPr="00B647A5">
              <w:t>--</w:t>
            </w:r>
          </w:p>
        </w:tc>
      </w:tr>
      <w:tr w:rsidR="0037097B" w:rsidRPr="00B647A5" w:rsidTr="0037097B">
        <w:tc>
          <w:tcPr>
            <w:tcW w:w="1592" w:type="dxa"/>
          </w:tcPr>
          <w:p w:rsidR="0037097B" w:rsidRPr="00B647A5" w:rsidRDefault="0037097B" w:rsidP="00381C81">
            <w:r w:rsidRPr="00B647A5">
              <w:t xml:space="preserve">Seeking Medical Attention </w:t>
            </w:r>
          </w:p>
          <w:p w:rsidR="0037097B" w:rsidRPr="00B647A5" w:rsidRDefault="0037097B" w:rsidP="00381C81">
            <w:r w:rsidRPr="00B647A5">
              <w:rPr>
                <w:position w:val="-14"/>
              </w:rPr>
              <w:object w:dxaOrig="1260" w:dyaOrig="380">
                <v:shape id="_x0000_i1035" type="#_x0000_t75" style="width:63.2pt;height:17.55pt" o:ole="">
                  <v:imagedata r:id="rId26" o:title=""/>
                </v:shape>
                <o:OLEObject Type="Embed" ProgID="Equation.DSMT4" ShapeID="_x0000_i1035" DrawAspect="Content" ObjectID="_1532608534" r:id="rId27"/>
              </w:object>
            </w:r>
          </w:p>
        </w:tc>
        <w:tc>
          <w:tcPr>
            <w:tcW w:w="1223" w:type="dxa"/>
          </w:tcPr>
          <w:p w:rsidR="0037097B" w:rsidRPr="00B647A5" w:rsidRDefault="0037097B" w:rsidP="00CA3BE9">
            <w:r w:rsidRPr="00B647A5">
              <w:t xml:space="preserve">(5) </w:t>
            </w:r>
            <w:r w:rsidRPr="00B647A5">
              <w:sym w:font="Wingdings" w:char="F0E0"/>
            </w:r>
            <w:r w:rsidRPr="00B647A5">
              <w:t xml:space="preserve"> (6)</w:t>
            </w:r>
          </w:p>
          <w:p w:rsidR="0037097B" w:rsidRPr="00B647A5" w:rsidRDefault="0037097B" w:rsidP="00CA3BE9">
            <w:r w:rsidRPr="00B647A5">
              <w:t xml:space="preserve">(5) </w:t>
            </w:r>
            <w:r w:rsidRPr="00B647A5">
              <w:sym w:font="Wingdings" w:char="F0E0"/>
            </w:r>
            <w:r w:rsidRPr="00B647A5">
              <w:t xml:space="preserve"> (7)</w:t>
            </w:r>
          </w:p>
        </w:tc>
        <w:tc>
          <w:tcPr>
            <w:tcW w:w="8850" w:type="dxa"/>
          </w:tcPr>
          <w:p w:rsidR="0037097B" w:rsidRDefault="0037097B" w:rsidP="00F32221">
            <w:r>
              <w:t>0.032</w:t>
            </w:r>
            <w:r w:rsidR="005E5195">
              <w:t>1</w:t>
            </w:r>
            <w:r>
              <w:t xml:space="preserve"> </w:t>
            </w:r>
          </w:p>
          <w:p w:rsidR="0037097B" w:rsidRPr="00B647A5" w:rsidRDefault="0037097B" w:rsidP="00F32221">
            <w:r>
              <w:t xml:space="preserve">Value fitted simultaneously with the proportion hospitalized and proportion dying, to </w:t>
            </w:r>
            <w:r w:rsidRPr="00B647A5">
              <w:t>model the total Medically Attended during H1N1 in Alberta.</w:t>
            </w:r>
          </w:p>
        </w:tc>
        <w:tc>
          <w:tcPr>
            <w:tcW w:w="1289" w:type="dxa"/>
          </w:tcPr>
          <w:p w:rsidR="0037097B" w:rsidRPr="00B647A5" w:rsidRDefault="0037097B" w:rsidP="00005344"/>
        </w:tc>
      </w:tr>
      <w:tr w:rsidR="0037097B" w:rsidRPr="00B647A5" w:rsidTr="0037097B">
        <w:tc>
          <w:tcPr>
            <w:tcW w:w="1592" w:type="dxa"/>
          </w:tcPr>
          <w:p w:rsidR="0037097B" w:rsidRPr="00B647A5" w:rsidRDefault="0037097B">
            <w:r w:rsidRPr="00B647A5">
              <w:t xml:space="preserve">Odds Ratio for </w:t>
            </w:r>
            <w:r w:rsidRPr="00B647A5">
              <w:lastRenderedPageBreak/>
              <w:t xml:space="preserve">High Risk persons seeking Medical Attention </w:t>
            </w:r>
          </w:p>
          <w:p w:rsidR="0037097B" w:rsidRDefault="0037097B">
            <w:r w:rsidRPr="00B647A5">
              <w:rPr>
                <w:position w:val="-12"/>
              </w:rPr>
              <w:object w:dxaOrig="920" w:dyaOrig="360">
                <v:shape id="_x0000_i1036" type="#_x0000_t75" style="width:45.65pt;height:18.45pt" o:ole="">
                  <v:imagedata r:id="rId28" o:title=""/>
                </v:shape>
                <o:OLEObject Type="Embed" ProgID="Equation.DSMT4" ShapeID="_x0000_i1036" DrawAspect="Content" ObjectID="_1532608535" r:id="rId29"/>
              </w:object>
            </w:r>
          </w:p>
          <w:p w:rsidR="00470686" w:rsidRPr="00B647A5" w:rsidRDefault="00470686"/>
        </w:tc>
        <w:tc>
          <w:tcPr>
            <w:tcW w:w="1223" w:type="dxa"/>
          </w:tcPr>
          <w:p w:rsidR="0037097B" w:rsidRPr="00B647A5" w:rsidRDefault="0037097B" w:rsidP="00CA3BE9">
            <w:r w:rsidRPr="00B647A5">
              <w:lastRenderedPageBreak/>
              <w:t xml:space="preserve">(5) </w:t>
            </w:r>
            <w:r w:rsidRPr="00B647A5">
              <w:sym w:font="Wingdings" w:char="F0E0"/>
            </w:r>
            <w:r w:rsidRPr="00B647A5">
              <w:t xml:space="preserve"> (6)</w:t>
            </w:r>
          </w:p>
          <w:p w:rsidR="0037097B" w:rsidRPr="00B647A5" w:rsidRDefault="0037097B" w:rsidP="00CA3BE9">
            <w:r w:rsidRPr="00B647A5">
              <w:lastRenderedPageBreak/>
              <w:t xml:space="preserve">(5) </w:t>
            </w:r>
            <w:r w:rsidRPr="00B647A5">
              <w:sym w:font="Wingdings" w:char="F0E0"/>
            </w:r>
            <w:r w:rsidRPr="00B647A5">
              <w:t xml:space="preserve"> (7)</w:t>
            </w:r>
          </w:p>
        </w:tc>
        <w:tc>
          <w:tcPr>
            <w:tcW w:w="8850" w:type="dxa"/>
          </w:tcPr>
          <w:p w:rsidR="0037097B" w:rsidRPr="00B647A5" w:rsidRDefault="0037097B">
            <w:r w:rsidRPr="00B647A5">
              <w:lastRenderedPageBreak/>
              <w:t>8.38</w:t>
            </w:r>
            <w:r w:rsidR="001441EB">
              <w:t xml:space="preserve"> [CI 3.69-1900]</w:t>
            </w:r>
          </w:p>
          <w:p w:rsidR="00470686" w:rsidRDefault="00470686"/>
          <w:p w:rsidR="0037097B" w:rsidRPr="00B647A5" w:rsidRDefault="00470686">
            <w:proofErr w:type="gramStart"/>
            <w:r>
              <w:t>W</w:t>
            </w:r>
            <w:r w:rsidR="0037097B" w:rsidRPr="00B647A5">
              <w:t>hich results in high risk individuals being 8.38 times more likely than low risk individuals to seek medical attention.</w:t>
            </w:r>
            <w:proofErr w:type="gramEnd"/>
          </w:p>
          <w:p w:rsidR="0037097B" w:rsidRPr="00B647A5" w:rsidRDefault="0037097B" w:rsidP="008472CF">
            <w:r w:rsidRPr="00B647A5">
              <w:t xml:space="preserve">Value reported in Sikora as the hazard ratio for those with underlying medical conditions to show symptoms in secondary cases within households. </w:t>
            </w:r>
          </w:p>
        </w:tc>
        <w:tc>
          <w:tcPr>
            <w:tcW w:w="1289" w:type="dxa"/>
          </w:tcPr>
          <w:p w:rsidR="0037097B" w:rsidRPr="00B647A5" w:rsidRDefault="0037097B" w:rsidP="00684AD8">
            <w:r w:rsidRPr="00B647A5">
              <w:lastRenderedPageBreak/>
              <w:t>[</w:t>
            </w:r>
            <w:r w:rsidR="00684AD8">
              <w:t>51</w:t>
            </w:r>
            <w:r w:rsidRPr="00B647A5">
              <w:t>]</w:t>
            </w:r>
          </w:p>
        </w:tc>
      </w:tr>
      <w:tr w:rsidR="0037097B" w:rsidRPr="00B647A5" w:rsidTr="0037097B">
        <w:tc>
          <w:tcPr>
            <w:tcW w:w="1592" w:type="dxa"/>
          </w:tcPr>
          <w:p w:rsidR="0037097B" w:rsidRPr="00B647A5" w:rsidRDefault="0037097B">
            <w:r w:rsidRPr="00B647A5">
              <w:lastRenderedPageBreak/>
              <w:t>Antiviral Release Policy</w:t>
            </w:r>
          </w:p>
          <w:p w:rsidR="0037097B" w:rsidRPr="00B647A5" w:rsidRDefault="0037097B">
            <w:r w:rsidRPr="00B647A5">
              <w:rPr>
                <w:position w:val="-12"/>
              </w:rPr>
              <w:object w:dxaOrig="900" w:dyaOrig="360">
                <v:shape id="_x0000_i1037" type="#_x0000_t75" style="width:44.8pt;height:18.45pt" o:ole="">
                  <v:imagedata r:id="rId30" o:title=""/>
                </v:shape>
                <o:OLEObject Type="Embed" ProgID="Equation.DSMT4" ShapeID="_x0000_i1037" DrawAspect="Content" ObjectID="_1532608536" r:id="rId31"/>
              </w:object>
            </w:r>
            <w:r w:rsidRPr="00B647A5">
              <w:t xml:space="preserve"> </w:t>
            </w:r>
          </w:p>
        </w:tc>
        <w:tc>
          <w:tcPr>
            <w:tcW w:w="1223" w:type="dxa"/>
          </w:tcPr>
          <w:p w:rsidR="0037097B" w:rsidRPr="00B647A5" w:rsidRDefault="0037097B" w:rsidP="0099554A">
            <w:r w:rsidRPr="00B647A5">
              <w:t xml:space="preserve">(6) </w:t>
            </w:r>
            <w:r w:rsidRPr="00B647A5">
              <w:sym w:font="Wingdings" w:char="F0E0"/>
            </w:r>
            <w:r w:rsidRPr="00B647A5">
              <w:t xml:space="preserve"> (8)</w:t>
            </w:r>
          </w:p>
          <w:p w:rsidR="0037097B" w:rsidRPr="00B647A5" w:rsidRDefault="0037097B" w:rsidP="0099554A">
            <w:r w:rsidRPr="00B647A5">
              <w:t xml:space="preserve">(6) </w:t>
            </w:r>
            <w:r w:rsidRPr="00B647A5">
              <w:sym w:font="Wingdings" w:char="F0E0"/>
            </w:r>
            <w:r w:rsidRPr="00B647A5">
              <w:t xml:space="preserve"> (9)</w:t>
            </w:r>
          </w:p>
          <w:p w:rsidR="0037097B" w:rsidRPr="00B647A5" w:rsidRDefault="0037097B" w:rsidP="00CA3BE9"/>
        </w:tc>
        <w:tc>
          <w:tcPr>
            <w:tcW w:w="8850" w:type="dxa"/>
          </w:tcPr>
          <w:p w:rsidR="0037097B" w:rsidRPr="00B647A5" w:rsidRDefault="0037097B">
            <w:r w:rsidRPr="00B647A5">
              <w:t xml:space="preserve">1, if </w:t>
            </w:r>
            <w:r w:rsidRPr="00B647A5">
              <w:rPr>
                <w:i/>
              </w:rPr>
              <w:t>t</w:t>
            </w:r>
            <w:r w:rsidRPr="00B647A5">
              <w:t xml:space="preserve"> </w:t>
            </w:r>
            <w:r w:rsidRPr="00B647A5">
              <w:rPr>
                <w:rFonts w:ascii="Cambria Math" w:hAnsi="Cambria Math"/>
              </w:rPr>
              <w:t>≥</w:t>
            </w:r>
            <w:r w:rsidRPr="00B647A5">
              <w:t xml:space="preserve"> release time for risk group </w:t>
            </w:r>
            <w:r w:rsidRPr="00B647A5">
              <w:rPr>
                <w:i/>
              </w:rPr>
              <w:t>r</w:t>
            </w:r>
          </w:p>
          <w:p w:rsidR="0037097B" w:rsidRPr="00B647A5" w:rsidRDefault="0037097B">
            <w:r w:rsidRPr="00B647A5">
              <w:t>0, otherwise</w:t>
            </w:r>
          </w:p>
        </w:tc>
        <w:tc>
          <w:tcPr>
            <w:tcW w:w="1289" w:type="dxa"/>
          </w:tcPr>
          <w:p w:rsidR="0037097B" w:rsidRPr="00B647A5" w:rsidRDefault="0037097B" w:rsidP="00381C81">
            <w:r w:rsidRPr="00B647A5">
              <w:t>User selected</w:t>
            </w:r>
          </w:p>
        </w:tc>
      </w:tr>
      <w:tr w:rsidR="0037097B" w:rsidRPr="00B647A5" w:rsidTr="0037097B">
        <w:tc>
          <w:tcPr>
            <w:tcW w:w="1592" w:type="dxa"/>
          </w:tcPr>
          <w:p w:rsidR="0037097B" w:rsidRPr="00B647A5" w:rsidRDefault="0037097B">
            <w:r w:rsidRPr="00B647A5">
              <w:t>Hospitalization Probability</w:t>
            </w:r>
          </w:p>
          <w:p w:rsidR="0037097B" w:rsidRPr="00B647A5" w:rsidRDefault="0037097B">
            <w:r w:rsidRPr="00B647A5">
              <w:rPr>
                <w:position w:val="-10"/>
              </w:rPr>
              <w:object w:dxaOrig="720" w:dyaOrig="320">
                <v:shape id="_x0000_i1038" type="#_x0000_t75" style="width:36pt;height:15.8pt" o:ole="">
                  <v:imagedata r:id="rId32" o:title=""/>
                </v:shape>
                <o:OLEObject Type="Embed" ProgID="Equation.DSMT4" ShapeID="_x0000_i1038" DrawAspect="Content" ObjectID="_1532608537" r:id="rId33"/>
              </w:object>
            </w:r>
            <w:r w:rsidRPr="00B647A5">
              <w:t xml:space="preserve"> </w:t>
            </w:r>
          </w:p>
        </w:tc>
        <w:tc>
          <w:tcPr>
            <w:tcW w:w="1223" w:type="dxa"/>
          </w:tcPr>
          <w:p w:rsidR="0037097B" w:rsidRPr="00B647A5" w:rsidRDefault="0037097B" w:rsidP="0099554A">
            <w:r w:rsidRPr="00B647A5">
              <w:t xml:space="preserve">(8) </w:t>
            </w:r>
            <w:r w:rsidRPr="00B647A5">
              <w:sym w:font="Wingdings" w:char="F0E0"/>
            </w:r>
            <w:r w:rsidRPr="00B647A5">
              <w:t xml:space="preserve"> (10)</w:t>
            </w:r>
          </w:p>
          <w:p w:rsidR="0037097B" w:rsidRPr="00B647A5" w:rsidRDefault="0037097B" w:rsidP="0099554A">
            <w:r w:rsidRPr="00B647A5">
              <w:t xml:space="preserve">(8) </w:t>
            </w:r>
            <w:r w:rsidRPr="00B647A5">
              <w:sym w:font="Wingdings" w:char="F0E0"/>
            </w:r>
            <w:r w:rsidRPr="00B647A5">
              <w:t xml:space="preserve"> (12)</w:t>
            </w:r>
          </w:p>
          <w:p w:rsidR="0037097B" w:rsidRPr="00B647A5" w:rsidRDefault="0037097B" w:rsidP="0099554A">
            <w:r w:rsidRPr="00B647A5">
              <w:t xml:space="preserve">(9) </w:t>
            </w:r>
            <w:r w:rsidRPr="00B647A5">
              <w:sym w:font="Wingdings" w:char="F0E0"/>
            </w:r>
            <w:r w:rsidRPr="00B647A5">
              <w:t xml:space="preserve"> (10)</w:t>
            </w:r>
          </w:p>
          <w:p w:rsidR="0037097B" w:rsidRPr="00B647A5" w:rsidRDefault="0037097B" w:rsidP="0099554A">
            <w:r w:rsidRPr="00B647A5">
              <w:t xml:space="preserve">(9) </w:t>
            </w:r>
            <w:r w:rsidRPr="00B647A5">
              <w:sym w:font="Wingdings" w:char="F0E0"/>
            </w:r>
            <w:r w:rsidRPr="00B647A5">
              <w:t xml:space="preserve"> (12)</w:t>
            </w:r>
          </w:p>
          <w:p w:rsidR="0037097B" w:rsidRPr="00B647A5" w:rsidRDefault="0037097B" w:rsidP="0099554A"/>
        </w:tc>
        <w:tc>
          <w:tcPr>
            <w:tcW w:w="8850" w:type="dxa"/>
          </w:tcPr>
          <w:p w:rsidR="0037097B" w:rsidRPr="00B647A5" w:rsidRDefault="0037097B">
            <w:r w:rsidRPr="00B647A5">
              <w:rPr>
                <w:position w:val="-30"/>
              </w:rPr>
              <w:object w:dxaOrig="6700" w:dyaOrig="720">
                <v:shape id="_x0000_i1039" type="#_x0000_t75" style="width:335.4pt;height:36pt" o:ole="">
                  <v:imagedata r:id="rId34" o:title=""/>
                </v:shape>
                <o:OLEObject Type="Embed" ProgID="Equation.DSMT4" ShapeID="_x0000_i1039" DrawAspect="Content" ObjectID="_1532608538" r:id="rId35"/>
              </w:object>
            </w:r>
          </w:p>
        </w:tc>
        <w:tc>
          <w:tcPr>
            <w:tcW w:w="1289" w:type="dxa"/>
          </w:tcPr>
          <w:p w:rsidR="0037097B" w:rsidRPr="00B647A5" w:rsidRDefault="0037097B" w:rsidP="0099554A"/>
        </w:tc>
      </w:tr>
      <w:tr w:rsidR="0037097B" w:rsidRPr="00B647A5" w:rsidTr="0037097B">
        <w:tc>
          <w:tcPr>
            <w:tcW w:w="1592" w:type="dxa"/>
          </w:tcPr>
          <w:p w:rsidR="0037097B" w:rsidRPr="00B647A5" w:rsidRDefault="0037097B" w:rsidP="00CA3BE9">
            <w:r w:rsidRPr="00B647A5">
              <w:t>Requiring Hospitalization</w:t>
            </w:r>
          </w:p>
          <w:p w:rsidR="0037097B" w:rsidRPr="00B647A5" w:rsidRDefault="0037097B" w:rsidP="00CA3BE9">
            <w:r w:rsidRPr="00B647A5">
              <w:rPr>
                <w:position w:val="-14"/>
              </w:rPr>
              <w:object w:dxaOrig="920" w:dyaOrig="380" w14:anchorId="7870C120">
                <v:shape id="_x0000_i1040" type="#_x0000_t75" style="width:45.65pt;height:17.55pt" o:ole="">
                  <v:imagedata r:id="rId36" o:title=""/>
                </v:shape>
                <o:OLEObject Type="Embed" ProgID="Equation.DSMT4" ShapeID="_x0000_i1040" DrawAspect="Content" ObjectID="_1532608539" r:id="rId37"/>
              </w:object>
            </w:r>
          </w:p>
        </w:tc>
        <w:tc>
          <w:tcPr>
            <w:tcW w:w="1223" w:type="dxa"/>
          </w:tcPr>
          <w:p w:rsidR="0037097B" w:rsidRPr="00B647A5" w:rsidRDefault="0037097B" w:rsidP="00283A74">
            <w:r w:rsidRPr="00B647A5">
              <w:t xml:space="preserve">(8) </w:t>
            </w:r>
            <w:r w:rsidRPr="00B647A5">
              <w:sym w:font="Wingdings" w:char="F0E0"/>
            </w:r>
            <w:r w:rsidRPr="00B647A5">
              <w:t xml:space="preserve"> (10)</w:t>
            </w:r>
          </w:p>
          <w:p w:rsidR="0037097B" w:rsidRPr="00B647A5" w:rsidRDefault="0037097B" w:rsidP="00283A74">
            <w:r w:rsidRPr="00B647A5">
              <w:t xml:space="preserve">(8) </w:t>
            </w:r>
            <w:r w:rsidRPr="00B647A5">
              <w:sym w:font="Wingdings" w:char="F0E0"/>
            </w:r>
            <w:r w:rsidRPr="00B647A5">
              <w:t xml:space="preserve"> (12)</w:t>
            </w:r>
          </w:p>
          <w:p w:rsidR="0037097B" w:rsidRPr="00B647A5" w:rsidRDefault="0037097B" w:rsidP="00283A74">
            <w:r w:rsidRPr="00B647A5">
              <w:t xml:space="preserve">(9) </w:t>
            </w:r>
            <w:r w:rsidRPr="00B647A5">
              <w:sym w:font="Wingdings" w:char="F0E0"/>
            </w:r>
            <w:r w:rsidRPr="00B647A5">
              <w:t xml:space="preserve"> (10)</w:t>
            </w:r>
          </w:p>
          <w:p w:rsidR="0037097B" w:rsidRPr="00B647A5" w:rsidRDefault="0037097B" w:rsidP="00283A74">
            <w:r w:rsidRPr="00B647A5">
              <w:t xml:space="preserve">(9) </w:t>
            </w:r>
            <w:r w:rsidRPr="00B647A5">
              <w:sym w:font="Wingdings" w:char="F0E0"/>
            </w:r>
            <w:r w:rsidRPr="00B647A5">
              <w:t xml:space="preserve"> (12)</w:t>
            </w:r>
          </w:p>
          <w:p w:rsidR="0037097B" w:rsidRPr="00B647A5" w:rsidRDefault="0037097B" w:rsidP="00CA3BE9"/>
        </w:tc>
        <w:tc>
          <w:tcPr>
            <w:tcW w:w="8850" w:type="dxa"/>
          </w:tcPr>
          <w:p w:rsidR="0037097B" w:rsidRDefault="0037097B" w:rsidP="00F32221">
            <w:r w:rsidRPr="00F32221">
              <w:t>0.0026</w:t>
            </w:r>
          </w:p>
          <w:p w:rsidR="0037097B" w:rsidRPr="00B647A5" w:rsidRDefault="0037097B" w:rsidP="00F32221">
            <w:r>
              <w:t xml:space="preserve">Value fitted simultaneously with the proportion medically attended and proportion dying, to </w:t>
            </w:r>
            <w:r w:rsidRPr="00B647A5">
              <w:t>model the total Medically Attended during H1N1 in Alberta.</w:t>
            </w:r>
          </w:p>
        </w:tc>
        <w:tc>
          <w:tcPr>
            <w:tcW w:w="1289" w:type="dxa"/>
          </w:tcPr>
          <w:p w:rsidR="0037097B" w:rsidRPr="00B647A5" w:rsidRDefault="0037097B" w:rsidP="00CA3BE9">
            <w:r w:rsidRPr="00B647A5">
              <w:t>Second variable calibrated to total hospitalized during H1N1</w:t>
            </w:r>
          </w:p>
        </w:tc>
      </w:tr>
      <w:tr w:rsidR="0037097B" w:rsidRPr="00B647A5" w:rsidTr="0037097B">
        <w:tc>
          <w:tcPr>
            <w:tcW w:w="1592" w:type="dxa"/>
          </w:tcPr>
          <w:p w:rsidR="0037097B" w:rsidRPr="00B647A5" w:rsidRDefault="0037097B" w:rsidP="00CA3BE9">
            <w:r w:rsidRPr="00B647A5">
              <w:t>Odds Ratio for High Risk persons requiring Hospitalization</w:t>
            </w:r>
          </w:p>
          <w:p w:rsidR="0037097B" w:rsidRPr="00B647A5" w:rsidRDefault="0037097B" w:rsidP="00CA3BE9">
            <w:r w:rsidRPr="00B647A5">
              <w:rPr>
                <w:position w:val="-14"/>
              </w:rPr>
              <w:object w:dxaOrig="900" w:dyaOrig="380" w14:anchorId="239B1401">
                <v:shape id="_x0000_i1041" type="#_x0000_t75" style="width:44.8pt;height:17.55pt" o:ole="">
                  <v:imagedata r:id="rId38" o:title=""/>
                </v:shape>
                <o:OLEObject Type="Embed" ProgID="Equation.DSMT4" ShapeID="_x0000_i1041" DrawAspect="Content" ObjectID="_1532608540" r:id="rId39"/>
              </w:object>
            </w:r>
          </w:p>
        </w:tc>
        <w:tc>
          <w:tcPr>
            <w:tcW w:w="1223" w:type="dxa"/>
          </w:tcPr>
          <w:p w:rsidR="0037097B" w:rsidRPr="00B647A5" w:rsidRDefault="0037097B" w:rsidP="00283A74">
            <w:r w:rsidRPr="00B647A5">
              <w:t xml:space="preserve">(8) </w:t>
            </w:r>
            <w:r w:rsidRPr="00B647A5">
              <w:sym w:font="Wingdings" w:char="F0E0"/>
            </w:r>
            <w:r w:rsidRPr="00B647A5">
              <w:t xml:space="preserve"> (10)</w:t>
            </w:r>
          </w:p>
          <w:p w:rsidR="0037097B" w:rsidRPr="00B647A5" w:rsidRDefault="0037097B" w:rsidP="00283A74">
            <w:r w:rsidRPr="00B647A5">
              <w:t xml:space="preserve">(8) </w:t>
            </w:r>
            <w:r w:rsidRPr="00B647A5">
              <w:sym w:font="Wingdings" w:char="F0E0"/>
            </w:r>
            <w:r w:rsidRPr="00B647A5">
              <w:t xml:space="preserve"> (12)</w:t>
            </w:r>
          </w:p>
          <w:p w:rsidR="0037097B" w:rsidRPr="00B647A5" w:rsidRDefault="0037097B" w:rsidP="00283A74">
            <w:r w:rsidRPr="00B647A5">
              <w:t xml:space="preserve">(9) </w:t>
            </w:r>
            <w:r w:rsidRPr="00B647A5">
              <w:sym w:font="Wingdings" w:char="F0E0"/>
            </w:r>
            <w:r w:rsidRPr="00B647A5">
              <w:t xml:space="preserve"> (10)</w:t>
            </w:r>
          </w:p>
          <w:p w:rsidR="0037097B" w:rsidRPr="00B647A5" w:rsidRDefault="0037097B" w:rsidP="00283A74">
            <w:r w:rsidRPr="00B647A5">
              <w:t xml:space="preserve">(9) </w:t>
            </w:r>
            <w:r w:rsidRPr="00B647A5">
              <w:sym w:font="Wingdings" w:char="F0E0"/>
            </w:r>
            <w:r w:rsidRPr="00B647A5">
              <w:t xml:space="preserve"> (12)</w:t>
            </w:r>
          </w:p>
          <w:p w:rsidR="0037097B" w:rsidRPr="00B647A5" w:rsidRDefault="0037097B" w:rsidP="00CA3BE9"/>
        </w:tc>
        <w:tc>
          <w:tcPr>
            <w:tcW w:w="8850" w:type="dxa"/>
          </w:tcPr>
          <w:p w:rsidR="0037097B" w:rsidRPr="00B647A5" w:rsidRDefault="0037097B" w:rsidP="00CA3BE9">
            <w:r w:rsidRPr="00B647A5">
              <w:t>6.83</w:t>
            </w:r>
            <w:r w:rsidR="001441EB">
              <w:t xml:space="preserve"> [CI 5.63, 8.33]</w:t>
            </w:r>
          </w:p>
          <w:p w:rsidR="00470686" w:rsidRDefault="00470686" w:rsidP="00CA3BE9"/>
          <w:p w:rsidR="0037097B" w:rsidRPr="00B647A5" w:rsidRDefault="0037097B" w:rsidP="00CA3BE9">
            <w:proofErr w:type="gramStart"/>
            <w:r>
              <w:t>W</w:t>
            </w:r>
            <w:r w:rsidRPr="00B647A5">
              <w:t>hich results in high risk individuals being 6.83 times more likely than low risk individuals to require hospitalization.</w:t>
            </w:r>
            <w:proofErr w:type="gramEnd"/>
          </w:p>
          <w:p w:rsidR="0037097B" w:rsidRDefault="0037097B" w:rsidP="00C15B2C">
            <w:r w:rsidRPr="00B647A5">
              <w:t xml:space="preserve">Value was the odds ratio obtained from a </w:t>
            </w:r>
            <w:r>
              <w:t xml:space="preserve">population based </w:t>
            </w:r>
            <w:r w:rsidRPr="00B647A5">
              <w:t>logistic regression analysis of hospitalization as the outcome on the cohort of medically attended individuals not receiving antivirals, controlling for risk group.</w:t>
            </w:r>
            <w:r>
              <w:t xml:space="preserve"> 95,236 observations with 599 hospitalizations. Internal Alberta Health analysis linking hospitalization (the outcome) to hospital and emergency department data (comorbidities).</w:t>
            </w:r>
          </w:p>
          <w:p w:rsidR="0037097B" w:rsidRPr="00B647A5" w:rsidRDefault="0037097B" w:rsidP="006200B4"/>
        </w:tc>
        <w:tc>
          <w:tcPr>
            <w:tcW w:w="1289" w:type="dxa"/>
          </w:tcPr>
          <w:p w:rsidR="0037097B" w:rsidRPr="00B647A5" w:rsidRDefault="0037097B" w:rsidP="00CA3BE9">
            <w:r w:rsidRPr="00B647A5">
              <w:t>Alberta Health</w:t>
            </w:r>
          </w:p>
        </w:tc>
      </w:tr>
      <w:tr w:rsidR="0037097B" w:rsidRPr="00B647A5" w:rsidTr="0037097B">
        <w:tc>
          <w:tcPr>
            <w:tcW w:w="1592" w:type="dxa"/>
          </w:tcPr>
          <w:p w:rsidR="0037097B" w:rsidRPr="00B647A5" w:rsidRDefault="0037097B" w:rsidP="00CA3BE9">
            <w:r w:rsidRPr="00B647A5">
              <w:t xml:space="preserve">Antiviral </w:t>
            </w:r>
            <w:r w:rsidRPr="00B647A5">
              <w:lastRenderedPageBreak/>
              <w:t>Effectiveness</w:t>
            </w:r>
          </w:p>
          <w:p w:rsidR="0037097B" w:rsidRPr="00B647A5" w:rsidRDefault="0037097B" w:rsidP="00CA3BE9">
            <w:pPr>
              <w:rPr>
                <w:i/>
              </w:rPr>
            </w:pPr>
            <w:r w:rsidRPr="00B647A5">
              <w:rPr>
                <w:i/>
              </w:rPr>
              <w:t>AVE</w:t>
            </w:r>
          </w:p>
        </w:tc>
        <w:tc>
          <w:tcPr>
            <w:tcW w:w="1223" w:type="dxa"/>
          </w:tcPr>
          <w:p w:rsidR="0037097B" w:rsidRPr="00B647A5" w:rsidRDefault="0037097B" w:rsidP="00CA3BE9">
            <w:r w:rsidRPr="00B647A5">
              <w:lastRenderedPageBreak/>
              <w:t xml:space="preserve">(8) </w:t>
            </w:r>
            <w:r w:rsidRPr="00B647A5">
              <w:sym w:font="Wingdings" w:char="F0E0"/>
            </w:r>
            <w:r w:rsidRPr="00B647A5">
              <w:t xml:space="preserve"> (10)</w:t>
            </w:r>
          </w:p>
          <w:p w:rsidR="0037097B" w:rsidRPr="00B647A5" w:rsidRDefault="0037097B" w:rsidP="00CA3BE9">
            <w:r w:rsidRPr="00B647A5">
              <w:lastRenderedPageBreak/>
              <w:t xml:space="preserve">(8) </w:t>
            </w:r>
            <w:r w:rsidRPr="00B647A5">
              <w:sym w:font="Wingdings" w:char="F0E0"/>
            </w:r>
            <w:r w:rsidRPr="00B647A5">
              <w:t xml:space="preserve"> (12)</w:t>
            </w:r>
          </w:p>
        </w:tc>
        <w:tc>
          <w:tcPr>
            <w:tcW w:w="8850" w:type="dxa"/>
          </w:tcPr>
          <w:p w:rsidR="0037097B" w:rsidRPr="00B647A5" w:rsidRDefault="0037097B" w:rsidP="00CA3BE9">
            <w:r w:rsidRPr="00B647A5">
              <w:lastRenderedPageBreak/>
              <w:t>0.60</w:t>
            </w:r>
            <w:r w:rsidR="001441EB">
              <w:t xml:space="preserve"> [range 0.50-0.70]</w:t>
            </w:r>
          </w:p>
          <w:p w:rsidR="0037097B" w:rsidRDefault="0037097B" w:rsidP="00CA3BE9">
            <w:proofErr w:type="gramStart"/>
            <w:r>
              <w:lastRenderedPageBreak/>
              <w:t>W</w:t>
            </w:r>
            <w:r w:rsidRPr="00B647A5">
              <w:t>hich represents a 60% antiviral effectiveness.</w:t>
            </w:r>
            <w:proofErr w:type="gramEnd"/>
            <w:r w:rsidRPr="00B647A5">
              <w:t xml:space="preserve"> </w:t>
            </w:r>
            <w:r>
              <w:t>This is an assumed, composite measure of both the antiviral efficacy, likelihood of prescription collection and adherence. Conceptually, this figure is the clinical efficacy of the antiviral, adjusted for deficits in uptake and adherence in the eligible group.</w:t>
            </w:r>
            <w:r w:rsidR="00511588">
              <w:t xml:space="preserve"> Users should note that the baseline value is sourced from another modeling study.</w:t>
            </w:r>
          </w:p>
          <w:p w:rsidR="0037097B" w:rsidRPr="00B647A5" w:rsidRDefault="0037097B" w:rsidP="00CA3BE9"/>
        </w:tc>
        <w:tc>
          <w:tcPr>
            <w:tcW w:w="1289" w:type="dxa"/>
          </w:tcPr>
          <w:p w:rsidR="0037097B" w:rsidRPr="00B647A5" w:rsidRDefault="00511588" w:rsidP="007F3F73">
            <w:r>
              <w:lastRenderedPageBreak/>
              <w:t xml:space="preserve">[4], </w:t>
            </w:r>
            <w:r w:rsidR="00E14B7F">
              <w:t xml:space="preserve">User </w:t>
            </w:r>
            <w:r w:rsidR="00E14B7F">
              <w:lastRenderedPageBreak/>
              <w:t>Selected</w:t>
            </w:r>
          </w:p>
        </w:tc>
      </w:tr>
      <w:tr w:rsidR="0037097B" w:rsidRPr="00B647A5" w:rsidTr="0037097B">
        <w:tc>
          <w:tcPr>
            <w:tcW w:w="1592" w:type="dxa"/>
          </w:tcPr>
          <w:p w:rsidR="0037097B" w:rsidRPr="00B647A5" w:rsidRDefault="0037097B" w:rsidP="00CA3BE9">
            <w:r w:rsidRPr="00B647A5">
              <w:lastRenderedPageBreak/>
              <w:t>Death Probability</w:t>
            </w:r>
          </w:p>
          <w:p w:rsidR="0037097B" w:rsidRPr="00B647A5" w:rsidRDefault="0037097B" w:rsidP="00CA3BE9">
            <w:r w:rsidRPr="00B647A5">
              <w:rPr>
                <w:position w:val="-10"/>
              </w:rPr>
              <w:object w:dxaOrig="580" w:dyaOrig="320">
                <v:shape id="_x0000_i1042" type="#_x0000_t75" style="width:29.85pt;height:15.8pt" o:ole="">
                  <v:imagedata r:id="rId40" o:title=""/>
                </v:shape>
                <o:OLEObject Type="Embed" ProgID="Equation.DSMT4" ShapeID="_x0000_i1042" DrawAspect="Content" ObjectID="_1532608541" r:id="rId41"/>
              </w:object>
            </w:r>
            <w:r w:rsidRPr="00B647A5">
              <w:t xml:space="preserve"> </w:t>
            </w:r>
          </w:p>
        </w:tc>
        <w:tc>
          <w:tcPr>
            <w:tcW w:w="1223" w:type="dxa"/>
          </w:tcPr>
          <w:p w:rsidR="0037097B" w:rsidRPr="00B647A5" w:rsidRDefault="0037097B" w:rsidP="00CC3F92">
            <w:r w:rsidRPr="00B647A5">
              <w:t xml:space="preserve">(10) </w:t>
            </w:r>
            <w:r w:rsidRPr="00B647A5">
              <w:sym w:font="Wingdings" w:char="F0E0"/>
            </w:r>
            <w:r w:rsidRPr="00B647A5">
              <w:t xml:space="preserve"> (11)</w:t>
            </w:r>
          </w:p>
          <w:p w:rsidR="0037097B" w:rsidRPr="00B647A5" w:rsidRDefault="0037097B" w:rsidP="00CC3F92">
            <w:r w:rsidRPr="00B647A5">
              <w:t xml:space="preserve">(10) </w:t>
            </w:r>
            <w:r w:rsidRPr="00B647A5">
              <w:sym w:font="Wingdings" w:char="F0E0"/>
            </w:r>
            <w:r w:rsidRPr="00B647A5">
              <w:t xml:space="preserve"> (12)</w:t>
            </w:r>
          </w:p>
        </w:tc>
        <w:tc>
          <w:tcPr>
            <w:tcW w:w="8850" w:type="dxa"/>
          </w:tcPr>
          <w:p w:rsidR="0037097B" w:rsidRPr="00B647A5" w:rsidRDefault="0037097B" w:rsidP="00CA3BE9">
            <w:r w:rsidRPr="00B647A5">
              <w:rPr>
                <w:position w:val="-28"/>
              </w:rPr>
              <w:object w:dxaOrig="6380" w:dyaOrig="680">
                <v:shape id="_x0000_i1043" type="#_x0000_t75" style="width:318.75pt;height:33.35pt" o:ole="">
                  <v:imagedata r:id="rId42" o:title=""/>
                </v:shape>
                <o:OLEObject Type="Embed" ProgID="Equation.DSMT4" ShapeID="_x0000_i1043" DrawAspect="Content" ObjectID="_1532608542" r:id="rId43"/>
              </w:object>
            </w:r>
          </w:p>
        </w:tc>
        <w:tc>
          <w:tcPr>
            <w:tcW w:w="1289" w:type="dxa"/>
          </w:tcPr>
          <w:p w:rsidR="0037097B" w:rsidRPr="00B647A5" w:rsidRDefault="0037097B" w:rsidP="00CA3BE9">
            <w:r w:rsidRPr="00B647A5">
              <w:t>--</w:t>
            </w:r>
          </w:p>
        </w:tc>
      </w:tr>
      <w:tr w:rsidR="0037097B" w:rsidRPr="00B647A5" w:rsidTr="0037097B">
        <w:tc>
          <w:tcPr>
            <w:tcW w:w="1592" w:type="dxa"/>
          </w:tcPr>
          <w:p w:rsidR="0037097B" w:rsidRPr="00B647A5" w:rsidRDefault="0037097B" w:rsidP="00CA3BE9">
            <w:r w:rsidRPr="00B647A5">
              <w:t>Death</w:t>
            </w:r>
          </w:p>
          <w:p w:rsidR="0037097B" w:rsidRPr="00B647A5" w:rsidRDefault="0037097B" w:rsidP="00CA3BE9">
            <w:r w:rsidRPr="00B647A5">
              <w:rPr>
                <w:position w:val="-12"/>
              </w:rPr>
              <w:object w:dxaOrig="540" w:dyaOrig="360">
                <v:shape id="_x0000_i1044" type="#_x0000_t75" style="width:27.2pt;height:18.45pt" o:ole="">
                  <v:imagedata r:id="rId44" o:title=""/>
                </v:shape>
                <o:OLEObject Type="Embed" ProgID="Equation.DSMT4" ShapeID="_x0000_i1044" DrawAspect="Content" ObjectID="_1532608543" r:id="rId45"/>
              </w:object>
            </w:r>
            <w:r w:rsidRPr="00B647A5">
              <w:t xml:space="preserve"> </w:t>
            </w:r>
          </w:p>
        </w:tc>
        <w:tc>
          <w:tcPr>
            <w:tcW w:w="1223" w:type="dxa"/>
          </w:tcPr>
          <w:p w:rsidR="0037097B" w:rsidRPr="00B647A5" w:rsidRDefault="0037097B" w:rsidP="00CC3F92">
            <w:r w:rsidRPr="00B647A5">
              <w:t xml:space="preserve">(10) </w:t>
            </w:r>
            <w:r w:rsidRPr="00B647A5">
              <w:sym w:font="Wingdings" w:char="F0E0"/>
            </w:r>
            <w:r w:rsidRPr="00B647A5">
              <w:t xml:space="preserve"> (11)</w:t>
            </w:r>
          </w:p>
          <w:p w:rsidR="0037097B" w:rsidRPr="00B647A5" w:rsidRDefault="0037097B" w:rsidP="00CC3F92">
            <w:r w:rsidRPr="00B647A5">
              <w:t xml:space="preserve">(10) </w:t>
            </w:r>
            <w:r w:rsidRPr="00B647A5">
              <w:sym w:font="Wingdings" w:char="F0E0"/>
            </w:r>
            <w:r w:rsidRPr="00B647A5">
              <w:t xml:space="preserve"> (12)</w:t>
            </w:r>
          </w:p>
        </w:tc>
        <w:tc>
          <w:tcPr>
            <w:tcW w:w="8850" w:type="dxa"/>
          </w:tcPr>
          <w:p w:rsidR="0037097B" w:rsidRDefault="0037097B" w:rsidP="00425174">
            <w:r w:rsidRPr="00F32221">
              <w:t>0.</w:t>
            </w:r>
            <w:r w:rsidR="005E5195" w:rsidRPr="00F32221">
              <w:t>02</w:t>
            </w:r>
            <w:r w:rsidR="005E5195">
              <w:t>60</w:t>
            </w:r>
          </w:p>
          <w:p w:rsidR="0037097B" w:rsidRDefault="0037097B" w:rsidP="00425174"/>
          <w:p w:rsidR="0037097B" w:rsidRPr="00B647A5" w:rsidRDefault="0037097B" w:rsidP="00F32221">
            <w:r>
              <w:t xml:space="preserve">Value fitted simultaneously with the proportion medically attended and proportion hospitalized, to </w:t>
            </w:r>
            <w:r w:rsidRPr="00B647A5">
              <w:t>model the total Medically Attended during H1N1 in Alberta.</w:t>
            </w:r>
          </w:p>
        </w:tc>
        <w:tc>
          <w:tcPr>
            <w:tcW w:w="1289" w:type="dxa"/>
          </w:tcPr>
          <w:p w:rsidR="0037097B" w:rsidRPr="00B647A5" w:rsidRDefault="0037097B" w:rsidP="00425174">
            <w:r w:rsidRPr="00B647A5">
              <w:t>Third variable calibrated to total deaths during H1N1</w:t>
            </w:r>
          </w:p>
        </w:tc>
      </w:tr>
      <w:tr w:rsidR="0037097B" w:rsidRPr="00B647A5" w:rsidTr="0037097B">
        <w:tc>
          <w:tcPr>
            <w:tcW w:w="1592" w:type="dxa"/>
          </w:tcPr>
          <w:p w:rsidR="0037097B" w:rsidRPr="00B647A5" w:rsidRDefault="0037097B" w:rsidP="006C13EB">
            <w:r w:rsidRPr="00B647A5">
              <w:t>Odds Ratio for High Risk persons Dying</w:t>
            </w:r>
          </w:p>
          <w:p w:rsidR="0037097B" w:rsidRPr="00B647A5" w:rsidRDefault="0037097B" w:rsidP="006C13EB">
            <w:r w:rsidRPr="00B647A5">
              <w:rPr>
                <w:position w:val="-12"/>
              </w:rPr>
              <w:object w:dxaOrig="760" w:dyaOrig="360">
                <v:shape id="_x0000_i1045" type="#_x0000_t75" style="width:38.65pt;height:18.45pt" o:ole="">
                  <v:imagedata r:id="rId46" o:title=""/>
                </v:shape>
                <o:OLEObject Type="Embed" ProgID="Equation.DSMT4" ShapeID="_x0000_i1045" DrawAspect="Content" ObjectID="_1532608544" r:id="rId47"/>
              </w:object>
            </w:r>
          </w:p>
        </w:tc>
        <w:tc>
          <w:tcPr>
            <w:tcW w:w="1223" w:type="dxa"/>
          </w:tcPr>
          <w:p w:rsidR="0037097B" w:rsidRPr="00B647A5" w:rsidRDefault="0037097B" w:rsidP="00CA3BE9"/>
        </w:tc>
        <w:tc>
          <w:tcPr>
            <w:tcW w:w="8850" w:type="dxa"/>
          </w:tcPr>
          <w:p w:rsidR="0037097B" w:rsidRPr="00B647A5" w:rsidRDefault="0037097B" w:rsidP="00CA3BE9">
            <w:r w:rsidRPr="00B647A5">
              <w:t>2.30</w:t>
            </w:r>
            <w:r w:rsidR="001441EB">
              <w:t xml:space="preserve"> [CI 0.87 – 6.05]</w:t>
            </w:r>
          </w:p>
          <w:p w:rsidR="0037097B" w:rsidRPr="00B647A5" w:rsidRDefault="0037097B" w:rsidP="006C13EB">
            <w:proofErr w:type="gramStart"/>
            <w:r>
              <w:t>W</w:t>
            </w:r>
            <w:r w:rsidRPr="00B647A5">
              <w:t>hich results in high risk individuals being 2.30 times more likely than low risk individuals to die.</w:t>
            </w:r>
            <w:proofErr w:type="gramEnd"/>
          </w:p>
          <w:p w:rsidR="0037097B" w:rsidRDefault="0037097B" w:rsidP="00C15B2C">
            <w:r w:rsidRPr="00B647A5">
              <w:t>Value was the odds ratio obtained from a logistic regression analysis of death as the outcome on the cohort of hospitalized cases, controlling for risk group.</w:t>
            </w:r>
            <w:r>
              <w:t xml:space="preserve"> There were 18 deaths in 599 hospitalizations. </w:t>
            </w:r>
          </w:p>
          <w:p w:rsidR="0037097B" w:rsidRPr="00B647A5" w:rsidRDefault="0037097B" w:rsidP="006C13EB"/>
        </w:tc>
        <w:tc>
          <w:tcPr>
            <w:tcW w:w="1289" w:type="dxa"/>
          </w:tcPr>
          <w:p w:rsidR="0037097B" w:rsidRPr="00B647A5" w:rsidRDefault="0037097B" w:rsidP="006C13EB">
            <w:r w:rsidRPr="00B647A5">
              <w:t>Alberta Health</w:t>
            </w:r>
          </w:p>
        </w:tc>
      </w:tr>
      <w:tr w:rsidR="0037097B" w:rsidRPr="00B647A5" w:rsidTr="0037097B">
        <w:tc>
          <w:tcPr>
            <w:tcW w:w="1592" w:type="dxa"/>
          </w:tcPr>
          <w:p w:rsidR="0037097B" w:rsidRPr="00B647A5" w:rsidRDefault="0037097B" w:rsidP="00ED6987">
            <w:r w:rsidRPr="00B647A5">
              <w:t xml:space="preserve">Mean time to antibody response, inverse of </w:t>
            </w:r>
          </w:p>
          <w:p w:rsidR="0037097B" w:rsidRPr="00B647A5" w:rsidRDefault="0037097B" w:rsidP="00ED6987">
            <w:r w:rsidRPr="00B647A5">
              <w:rPr>
                <w:position w:val="-4"/>
              </w:rPr>
              <w:object w:dxaOrig="279" w:dyaOrig="260" w14:anchorId="1BEC5C55">
                <v:shape id="_x0000_i1046" type="#_x0000_t75" style="width:14.05pt;height:12.3pt" o:ole="">
                  <v:imagedata r:id="rId48" o:title=""/>
                </v:shape>
                <o:OLEObject Type="Embed" ProgID="Equation.DSMT4" ShapeID="_x0000_i1046" DrawAspect="Content" ObjectID="_1532608545" r:id="rId49"/>
              </w:object>
            </w:r>
            <w:r w:rsidRPr="00B647A5">
              <w:t xml:space="preserve"> </w:t>
            </w:r>
          </w:p>
        </w:tc>
        <w:tc>
          <w:tcPr>
            <w:tcW w:w="1223" w:type="dxa"/>
          </w:tcPr>
          <w:p w:rsidR="0037097B" w:rsidRPr="00B647A5" w:rsidRDefault="0037097B" w:rsidP="00ED6987">
            <w:r w:rsidRPr="00B647A5">
              <w:t xml:space="preserve">(3) </w:t>
            </w:r>
            <w:r w:rsidRPr="00B647A5">
              <w:sym w:font="Wingdings" w:char="F0E0"/>
            </w:r>
            <w:r w:rsidRPr="00B647A5">
              <w:t xml:space="preserve"> (12)</w:t>
            </w:r>
          </w:p>
        </w:tc>
        <w:tc>
          <w:tcPr>
            <w:tcW w:w="8850" w:type="dxa"/>
          </w:tcPr>
          <w:p w:rsidR="0037097B" w:rsidRPr="00B647A5" w:rsidRDefault="0037097B" w:rsidP="00ED6987">
            <w:r w:rsidRPr="00B647A5">
              <w:t>1/10</w:t>
            </w:r>
          </w:p>
          <w:p w:rsidR="0037097B" w:rsidRPr="00B647A5" w:rsidRDefault="0037097B" w:rsidP="00ED6987">
            <w:r w:rsidRPr="00B647A5">
              <w:t>resulting in a mean time to antibody response following vaccination of 10 days</w:t>
            </w:r>
          </w:p>
        </w:tc>
        <w:tc>
          <w:tcPr>
            <w:tcW w:w="1289" w:type="dxa"/>
          </w:tcPr>
          <w:p w:rsidR="0037097B" w:rsidRPr="00B647A5" w:rsidRDefault="0037097B" w:rsidP="00ED6987">
            <w:r w:rsidRPr="00B647A5">
              <w:t>[</w:t>
            </w:r>
            <w:r>
              <w:t>18</w:t>
            </w:r>
            <w:r w:rsidRPr="00B647A5">
              <w:t>]</w:t>
            </w:r>
            <w:r>
              <w:t xml:space="preserve"> , citing model fit from [27]</w:t>
            </w:r>
          </w:p>
        </w:tc>
      </w:tr>
      <w:tr w:rsidR="0037097B" w:rsidTr="0037097B">
        <w:tc>
          <w:tcPr>
            <w:tcW w:w="1592" w:type="dxa"/>
          </w:tcPr>
          <w:p w:rsidR="0037097B" w:rsidRPr="000B36EB" w:rsidRDefault="0037097B" w:rsidP="00ED6987">
            <w:r w:rsidRPr="000B36EB">
              <w:t xml:space="preserve">Latent Period, inverse of </w:t>
            </w:r>
          </w:p>
          <w:p w:rsidR="0037097B" w:rsidRPr="000B36EB" w:rsidRDefault="0037097B" w:rsidP="00ED6987">
            <w:r w:rsidRPr="000B36EB">
              <w:rPr>
                <w:position w:val="-6"/>
              </w:rPr>
              <w:object w:dxaOrig="220" w:dyaOrig="220" w14:anchorId="2721BF83">
                <v:shape id="_x0000_i1047" type="#_x0000_t75" style="width:10.55pt;height:10.55pt" o:ole="">
                  <v:imagedata r:id="rId50" o:title=""/>
                </v:shape>
                <o:OLEObject Type="Embed" ProgID="Equation.DSMT4" ShapeID="_x0000_i1047" DrawAspect="Content" ObjectID="_1532608546" r:id="rId51"/>
              </w:object>
            </w:r>
            <w:r w:rsidRPr="000B36EB">
              <w:t xml:space="preserve"> </w:t>
            </w:r>
          </w:p>
        </w:tc>
        <w:tc>
          <w:tcPr>
            <w:tcW w:w="1223" w:type="dxa"/>
          </w:tcPr>
          <w:p w:rsidR="0037097B" w:rsidRPr="000B36EB" w:rsidRDefault="0037097B" w:rsidP="00ED6987">
            <w:r w:rsidRPr="000B36EB">
              <w:t xml:space="preserve">(5) </w:t>
            </w:r>
            <w:r w:rsidRPr="000B36EB">
              <w:sym w:font="Wingdings" w:char="F0E0"/>
            </w:r>
            <w:r w:rsidRPr="000B36EB">
              <w:t xml:space="preserve"> (6)</w:t>
            </w:r>
          </w:p>
          <w:p w:rsidR="0037097B" w:rsidRPr="000B36EB" w:rsidRDefault="0037097B" w:rsidP="00ED6987">
            <w:r w:rsidRPr="000B36EB">
              <w:t xml:space="preserve">(5) </w:t>
            </w:r>
            <w:r w:rsidRPr="000B36EB">
              <w:sym w:font="Wingdings" w:char="F0E0"/>
            </w:r>
            <w:r w:rsidRPr="000B36EB">
              <w:t xml:space="preserve"> (7)</w:t>
            </w:r>
          </w:p>
        </w:tc>
        <w:tc>
          <w:tcPr>
            <w:tcW w:w="8850" w:type="dxa"/>
          </w:tcPr>
          <w:p w:rsidR="0037097B" w:rsidRPr="000B36EB" w:rsidRDefault="0037097B" w:rsidP="00ED6987">
            <w:r w:rsidRPr="000B36EB">
              <w:t>1 / 2.1</w:t>
            </w:r>
          </w:p>
          <w:p w:rsidR="0037097B" w:rsidRPr="000B36EB" w:rsidRDefault="0037097B" w:rsidP="00ED6987">
            <w:r w:rsidRPr="000B36EB">
              <w:t>resulting in a mean latent period of 2.1 days</w:t>
            </w:r>
          </w:p>
        </w:tc>
        <w:tc>
          <w:tcPr>
            <w:tcW w:w="1289" w:type="dxa"/>
          </w:tcPr>
          <w:p w:rsidR="0037097B" w:rsidRPr="00B647A5" w:rsidRDefault="0037097B" w:rsidP="00684AD8">
            <w:r>
              <w:t>[30], which calibrated between [5</w:t>
            </w:r>
            <w:r w:rsidR="00684AD8">
              <w:t>9</w:t>
            </w:r>
            <w:r>
              <w:t>] and [</w:t>
            </w:r>
            <w:r w:rsidR="00684AD8">
              <w:t>60</w:t>
            </w:r>
            <w:r>
              <w:t>]</w:t>
            </w:r>
          </w:p>
        </w:tc>
      </w:tr>
      <w:tr w:rsidR="0037097B" w:rsidTr="0037097B">
        <w:tc>
          <w:tcPr>
            <w:tcW w:w="1592" w:type="dxa"/>
          </w:tcPr>
          <w:p w:rsidR="0037097B" w:rsidRPr="000B36EB" w:rsidRDefault="0037097B" w:rsidP="00ED6987">
            <w:r w:rsidRPr="000B36EB">
              <w:t xml:space="preserve">Mean time to </w:t>
            </w:r>
            <w:r w:rsidRPr="000B36EB">
              <w:lastRenderedPageBreak/>
              <w:t>treatment, inverse of</w:t>
            </w:r>
          </w:p>
          <w:p w:rsidR="0037097B" w:rsidRPr="000B36EB" w:rsidRDefault="0037097B" w:rsidP="00ED6987">
            <w:r w:rsidRPr="000B36EB">
              <w:rPr>
                <w:position w:val="-6"/>
              </w:rPr>
              <w:object w:dxaOrig="220" w:dyaOrig="279" w14:anchorId="715AE35A">
                <v:shape id="_x0000_i1048" type="#_x0000_t75" style="width:10.55pt;height:14.05pt" o:ole="">
                  <v:imagedata r:id="rId52" o:title=""/>
                </v:shape>
                <o:OLEObject Type="Embed" ProgID="Equation.DSMT4" ShapeID="_x0000_i1048" DrawAspect="Content" ObjectID="_1532608547" r:id="rId53"/>
              </w:object>
            </w:r>
            <w:r w:rsidRPr="000B36EB">
              <w:t xml:space="preserve"> </w:t>
            </w:r>
          </w:p>
        </w:tc>
        <w:tc>
          <w:tcPr>
            <w:tcW w:w="1223" w:type="dxa"/>
          </w:tcPr>
          <w:p w:rsidR="0037097B" w:rsidRPr="000B36EB" w:rsidRDefault="0037097B" w:rsidP="00ED6987">
            <w:r w:rsidRPr="000B36EB">
              <w:lastRenderedPageBreak/>
              <w:t xml:space="preserve">(6) </w:t>
            </w:r>
            <w:r w:rsidRPr="000B36EB">
              <w:sym w:font="Wingdings" w:char="F0E0"/>
            </w:r>
            <w:r w:rsidRPr="000B36EB">
              <w:t xml:space="preserve"> (8)</w:t>
            </w:r>
          </w:p>
          <w:p w:rsidR="0037097B" w:rsidRPr="000B36EB" w:rsidRDefault="0037097B" w:rsidP="00ED6987">
            <w:r w:rsidRPr="000B36EB">
              <w:lastRenderedPageBreak/>
              <w:t xml:space="preserve">(6) </w:t>
            </w:r>
            <w:r w:rsidRPr="000B36EB">
              <w:sym w:font="Wingdings" w:char="F0E0"/>
            </w:r>
            <w:r w:rsidRPr="000B36EB">
              <w:t xml:space="preserve"> (9)</w:t>
            </w:r>
          </w:p>
          <w:p w:rsidR="0037097B" w:rsidRPr="000B36EB" w:rsidRDefault="0037097B" w:rsidP="00ED6987"/>
        </w:tc>
        <w:tc>
          <w:tcPr>
            <w:tcW w:w="8850" w:type="dxa"/>
          </w:tcPr>
          <w:p w:rsidR="0037097B" w:rsidRPr="000B36EB" w:rsidRDefault="0037097B" w:rsidP="00ED6987">
            <w:r w:rsidRPr="000B36EB">
              <w:lastRenderedPageBreak/>
              <w:t>1/2</w:t>
            </w:r>
          </w:p>
          <w:p w:rsidR="0037097B" w:rsidRPr="000B36EB" w:rsidRDefault="0037097B" w:rsidP="00ED6987">
            <w:r w:rsidRPr="000B36EB">
              <w:lastRenderedPageBreak/>
              <w:t>treatment guidelines recommend start of antivirals within 48 hours when used</w:t>
            </w:r>
          </w:p>
        </w:tc>
        <w:tc>
          <w:tcPr>
            <w:tcW w:w="1289" w:type="dxa"/>
          </w:tcPr>
          <w:p w:rsidR="0037097B" w:rsidRPr="00B647A5" w:rsidRDefault="0037097B" w:rsidP="00ED6987">
            <w:r w:rsidRPr="00B647A5">
              <w:lastRenderedPageBreak/>
              <w:t xml:space="preserve">Alberta </w:t>
            </w:r>
            <w:r w:rsidRPr="00B647A5">
              <w:lastRenderedPageBreak/>
              <w:t>Health</w:t>
            </w:r>
          </w:p>
        </w:tc>
      </w:tr>
      <w:tr w:rsidR="0037097B" w:rsidTr="0037097B">
        <w:tc>
          <w:tcPr>
            <w:tcW w:w="1592" w:type="dxa"/>
          </w:tcPr>
          <w:p w:rsidR="0037097B" w:rsidRPr="000B36EB" w:rsidRDefault="0037097B" w:rsidP="00ED6987">
            <w:r w:rsidRPr="000B36EB">
              <w:lastRenderedPageBreak/>
              <w:t>Treatment Duration, inverse of</w:t>
            </w:r>
          </w:p>
          <w:p w:rsidR="0037097B" w:rsidRPr="000B36EB" w:rsidRDefault="0037097B" w:rsidP="00ED6987">
            <w:r w:rsidRPr="000B36EB">
              <w:rPr>
                <w:position w:val="-6"/>
              </w:rPr>
              <w:object w:dxaOrig="200" w:dyaOrig="220" w14:anchorId="429B865B">
                <v:shape id="_x0000_i1049" type="#_x0000_t75" style="width:9.65pt;height:10.55pt" o:ole="">
                  <v:imagedata r:id="rId54" o:title=""/>
                </v:shape>
                <o:OLEObject Type="Embed" ProgID="Equation.DSMT4" ShapeID="_x0000_i1049" DrawAspect="Content" ObjectID="_1532608548" r:id="rId55"/>
              </w:object>
            </w:r>
            <w:r w:rsidRPr="000B36EB">
              <w:t xml:space="preserve"> </w:t>
            </w:r>
          </w:p>
        </w:tc>
        <w:tc>
          <w:tcPr>
            <w:tcW w:w="1223" w:type="dxa"/>
          </w:tcPr>
          <w:p w:rsidR="0037097B" w:rsidRPr="000B36EB" w:rsidRDefault="0037097B" w:rsidP="00ED6987">
            <w:r w:rsidRPr="000B36EB">
              <w:t xml:space="preserve">(8) </w:t>
            </w:r>
            <w:r w:rsidRPr="000B36EB">
              <w:sym w:font="Wingdings" w:char="F0E0"/>
            </w:r>
            <w:r w:rsidRPr="000B36EB">
              <w:t xml:space="preserve"> (10)</w:t>
            </w:r>
          </w:p>
          <w:p w:rsidR="0037097B" w:rsidRPr="000B36EB" w:rsidRDefault="0037097B" w:rsidP="00ED6987">
            <w:r w:rsidRPr="000B36EB">
              <w:t xml:space="preserve">(8) </w:t>
            </w:r>
            <w:r w:rsidRPr="000B36EB">
              <w:sym w:font="Wingdings" w:char="F0E0"/>
            </w:r>
            <w:r w:rsidRPr="000B36EB">
              <w:t xml:space="preserve"> (12)</w:t>
            </w:r>
          </w:p>
          <w:p w:rsidR="0037097B" w:rsidRPr="000B36EB" w:rsidRDefault="0037097B" w:rsidP="00ED6987">
            <w:r w:rsidRPr="000B36EB">
              <w:t xml:space="preserve">(9) </w:t>
            </w:r>
            <w:r w:rsidRPr="000B36EB">
              <w:sym w:font="Wingdings" w:char="F0E0"/>
            </w:r>
            <w:r w:rsidRPr="000B36EB">
              <w:t xml:space="preserve"> (10)</w:t>
            </w:r>
          </w:p>
          <w:p w:rsidR="0037097B" w:rsidRPr="000B36EB" w:rsidRDefault="0037097B" w:rsidP="00ED6987">
            <w:r w:rsidRPr="000B36EB">
              <w:t xml:space="preserve">(9) </w:t>
            </w:r>
            <w:r w:rsidRPr="000B36EB">
              <w:sym w:font="Wingdings" w:char="F0E0"/>
            </w:r>
            <w:r w:rsidRPr="000B36EB">
              <w:t xml:space="preserve"> (12)</w:t>
            </w:r>
          </w:p>
          <w:p w:rsidR="0037097B" w:rsidRPr="000B36EB" w:rsidRDefault="0037097B" w:rsidP="00ED6987"/>
        </w:tc>
        <w:tc>
          <w:tcPr>
            <w:tcW w:w="8850" w:type="dxa"/>
          </w:tcPr>
          <w:p w:rsidR="0037097B" w:rsidRPr="000B36EB" w:rsidRDefault="0037097B" w:rsidP="00ED6987">
            <w:r w:rsidRPr="000B36EB">
              <w:t>1/</w:t>
            </w:r>
            <w:r>
              <w:t>3.9</w:t>
            </w:r>
          </w:p>
          <w:p w:rsidR="0037097B" w:rsidRDefault="0037097B" w:rsidP="000B36EB">
            <w:r>
              <w:t xml:space="preserve">Figures from three studies on viral shedding in quarantined populations during </w:t>
            </w:r>
            <w:proofErr w:type="spellStart"/>
            <w:proofErr w:type="gramStart"/>
            <w:r>
              <w:t>pdm</w:t>
            </w:r>
            <w:proofErr w:type="spellEnd"/>
            <w:r>
              <w:t>(</w:t>
            </w:r>
            <w:proofErr w:type="gramEnd"/>
            <w:r>
              <w:t>h1n1)2009 were used in a meta-analysis to determine the total duration infectious for those medically attended. The mean value from the meta-analysis was 5.</w:t>
            </w:r>
            <w:r w:rsidR="00942082">
              <w:t>87 (CI 5.68-6.06)</w:t>
            </w:r>
            <w:proofErr w:type="gramStart"/>
            <w:r w:rsidR="00942082">
              <w:t>.</w:t>
            </w:r>
            <w:r>
              <w:t>.</w:t>
            </w:r>
            <w:proofErr w:type="gramEnd"/>
            <w:r>
              <w:t xml:space="preserve"> Because two days were spent infectious prior to treatment, only 3.9 infectious days remained for this transition.</w:t>
            </w:r>
          </w:p>
          <w:p w:rsidR="0037097B" w:rsidRPr="000B36EB" w:rsidRDefault="0037097B" w:rsidP="00ED6987"/>
        </w:tc>
        <w:tc>
          <w:tcPr>
            <w:tcW w:w="1289" w:type="dxa"/>
          </w:tcPr>
          <w:p w:rsidR="0037097B" w:rsidRPr="00B647A5" w:rsidRDefault="0037097B" w:rsidP="00684AD8">
            <w:r>
              <w:t>[6</w:t>
            </w:r>
            <w:r w:rsidR="00684AD8">
              <w:t>4-66</w:t>
            </w:r>
            <w:r>
              <w:t>]</w:t>
            </w:r>
          </w:p>
        </w:tc>
      </w:tr>
      <w:tr w:rsidR="0037097B" w:rsidTr="0037097B">
        <w:tc>
          <w:tcPr>
            <w:tcW w:w="1592" w:type="dxa"/>
          </w:tcPr>
          <w:p w:rsidR="0037097B" w:rsidRPr="000B36EB" w:rsidRDefault="0037097B" w:rsidP="00ED6987">
            <w:r w:rsidRPr="000B36EB">
              <w:t>Length of Stay, inverse of</w:t>
            </w:r>
          </w:p>
          <w:p w:rsidR="0037097B" w:rsidRPr="000B36EB" w:rsidRDefault="0037097B" w:rsidP="00ED6987">
            <w:r w:rsidRPr="000B36EB">
              <w:rPr>
                <w:position w:val="-10"/>
              </w:rPr>
              <w:object w:dxaOrig="240" w:dyaOrig="260" w14:anchorId="3F9DA65B">
                <v:shape id="_x0000_i1050" type="#_x0000_t75" style="width:11.4pt;height:12.3pt" o:ole="">
                  <v:imagedata r:id="rId56" o:title=""/>
                </v:shape>
                <o:OLEObject Type="Embed" ProgID="Equation.DSMT4" ShapeID="_x0000_i1050" DrawAspect="Content" ObjectID="_1532608549" r:id="rId57"/>
              </w:object>
            </w:r>
            <w:r w:rsidRPr="000B36EB">
              <w:t xml:space="preserve"> </w:t>
            </w:r>
          </w:p>
        </w:tc>
        <w:tc>
          <w:tcPr>
            <w:tcW w:w="1223" w:type="dxa"/>
          </w:tcPr>
          <w:p w:rsidR="0037097B" w:rsidRPr="000B36EB" w:rsidRDefault="0037097B" w:rsidP="00ED6987">
            <w:r w:rsidRPr="000B36EB">
              <w:t xml:space="preserve">(10) </w:t>
            </w:r>
            <w:r w:rsidRPr="000B36EB">
              <w:sym w:font="Wingdings" w:char="F0E0"/>
            </w:r>
            <w:r w:rsidRPr="000B36EB">
              <w:t xml:space="preserve"> (11)</w:t>
            </w:r>
          </w:p>
          <w:p w:rsidR="0037097B" w:rsidRPr="000B36EB" w:rsidRDefault="0037097B" w:rsidP="00ED6987">
            <w:r w:rsidRPr="000B36EB">
              <w:t xml:space="preserve">(10) </w:t>
            </w:r>
            <w:r w:rsidRPr="000B36EB">
              <w:sym w:font="Wingdings" w:char="F0E0"/>
            </w:r>
            <w:r w:rsidRPr="000B36EB">
              <w:t xml:space="preserve"> (12)</w:t>
            </w:r>
          </w:p>
        </w:tc>
        <w:tc>
          <w:tcPr>
            <w:tcW w:w="8850" w:type="dxa"/>
          </w:tcPr>
          <w:p w:rsidR="0037097B" w:rsidRPr="000B36EB" w:rsidRDefault="0037097B" w:rsidP="00ED6987">
            <w:r w:rsidRPr="000B36EB">
              <w:t>1/</w:t>
            </w:r>
            <w:r>
              <w:t>3.4</w:t>
            </w:r>
          </w:p>
          <w:p w:rsidR="0037097B" w:rsidRDefault="0037097B" w:rsidP="00DD4436">
            <w:r>
              <w:t xml:space="preserve">Figures from two studies on viral shedding in quarantined populations during </w:t>
            </w:r>
            <w:proofErr w:type="spellStart"/>
            <w:proofErr w:type="gramStart"/>
            <w:r>
              <w:t>pdm</w:t>
            </w:r>
            <w:proofErr w:type="spellEnd"/>
            <w:r>
              <w:t>(</w:t>
            </w:r>
            <w:proofErr w:type="gramEnd"/>
            <w:r>
              <w:t>h1n1)2009 were used in a meta-analysis to determine the total duration infectious for those medically attended. The mean value from the meta-analysis was 9.</w:t>
            </w:r>
            <w:r w:rsidR="00942082">
              <w:t>27 (CI 8.85 -9.68)</w:t>
            </w:r>
            <w:r>
              <w:t>. Because two days were spent infectious prior to treatment, and 3.9 days were spent in the treatment compartment, only 3.4 infectious days remained for this transition.</w:t>
            </w:r>
          </w:p>
          <w:p w:rsidR="0037097B" w:rsidRPr="000B36EB" w:rsidRDefault="0037097B" w:rsidP="00ED6987"/>
        </w:tc>
        <w:tc>
          <w:tcPr>
            <w:tcW w:w="1289" w:type="dxa"/>
          </w:tcPr>
          <w:p w:rsidR="0037097B" w:rsidRDefault="0037097B" w:rsidP="00684AD8">
            <w:r>
              <w:t>[6</w:t>
            </w:r>
            <w:r w:rsidR="00684AD8">
              <w:t>7</w:t>
            </w:r>
            <w:r>
              <w:t>-</w:t>
            </w:r>
            <w:r w:rsidR="00684AD8">
              <w:t>70</w:t>
            </w:r>
            <w:r>
              <w:t>]</w:t>
            </w:r>
          </w:p>
        </w:tc>
      </w:tr>
      <w:tr w:rsidR="0037097B" w:rsidTr="0037097B">
        <w:tc>
          <w:tcPr>
            <w:tcW w:w="1592" w:type="dxa"/>
          </w:tcPr>
          <w:p w:rsidR="0037097B" w:rsidRPr="000B36EB" w:rsidRDefault="0037097B" w:rsidP="00ED6987">
            <w:r w:rsidRPr="000B36EB">
              <w:t xml:space="preserve">Mean time to Recovery, inverse of </w:t>
            </w:r>
          </w:p>
          <w:p w:rsidR="0037097B" w:rsidRPr="000B36EB" w:rsidRDefault="0037097B" w:rsidP="00ED6987">
            <w:r w:rsidRPr="000B36EB">
              <w:rPr>
                <w:position w:val="-6"/>
              </w:rPr>
              <w:object w:dxaOrig="200" w:dyaOrig="279" w14:anchorId="6FC96410">
                <v:shape id="_x0000_i1051" type="#_x0000_t75" style="width:9.65pt;height:14.05pt" o:ole="">
                  <v:imagedata r:id="rId58" o:title=""/>
                </v:shape>
                <o:OLEObject Type="Embed" ProgID="Equation.DSMT4" ShapeID="_x0000_i1051" DrawAspect="Content" ObjectID="_1532608550" r:id="rId59"/>
              </w:object>
            </w:r>
            <w:r w:rsidRPr="000B36EB">
              <w:t xml:space="preserve"> </w:t>
            </w:r>
          </w:p>
        </w:tc>
        <w:tc>
          <w:tcPr>
            <w:tcW w:w="1223" w:type="dxa"/>
          </w:tcPr>
          <w:p w:rsidR="0037097B" w:rsidRPr="000B36EB" w:rsidRDefault="0037097B" w:rsidP="00ED6987">
            <w:r w:rsidRPr="000B36EB">
              <w:t xml:space="preserve">(7) </w:t>
            </w:r>
            <w:r w:rsidRPr="000B36EB">
              <w:sym w:font="Wingdings" w:char="F0E0"/>
            </w:r>
            <w:r w:rsidRPr="000B36EB">
              <w:t xml:space="preserve"> (12)</w:t>
            </w:r>
          </w:p>
          <w:p w:rsidR="0037097B" w:rsidRPr="000B36EB" w:rsidRDefault="0037097B" w:rsidP="00ED6987"/>
        </w:tc>
        <w:tc>
          <w:tcPr>
            <w:tcW w:w="8850" w:type="dxa"/>
          </w:tcPr>
          <w:p w:rsidR="0037097B" w:rsidRPr="000B36EB" w:rsidRDefault="0037097B" w:rsidP="00ED6987">
            <w:r w:rsidRPr="000B36EB">
              <w:t>1/4.8</w:t>
            </w:r>
          </w:p>
          <w:p w:rsidR="0037097B" w:rsidRPr="000B36EB" w:rsidRDefault="0037097B" w:rsidP="00684AD8">
            <w:r>
              <w:t>Figures from two community</w:t>
            </w:r>
            <w:r w:rsidRPr="000B36EB">
              <w:t xml:space="preserve"> studies for viral shedding </w:t>
            </w:r>
            <w:r>
              <w:t xml:space="preserve">of </w:t>
            </w:r>
            <w:proofErr w:type="spellStart"/>
            <w:proofErr w:type="gramStart"/>
            <w:r>
              <w:t>pdm</w:t>
            </w:r>
            <w:proofErr w:type="spellEnd"/>
            <w:r>
              <w:t>(</w:t>
            </w:r>
            <w:proofErr w:type="gramEnd"/>
            <w:r>
              <w:t xml:space="preserve">h1n1)2009 </w:t>
            </w:r>
            <w:r w:rsidRPr="000B36EB">
              <w:t>and duration of illness were used in a meta-analysis</w:t>
            </w:r>
            <w:r>
              <w:t xml:space="preserve"> to determine the value for the mean time to recovery</w:t>
            </w:r>
            <w:r w:rsidRPr="000B36EB">
              <w:t>. While the mean value from the viral shedding data</w:t>
            </w:r>
            <w:r w:rsidR="00684AD8">
              <w:t xml:space="preserve"> [52-63</w:t>
            </w:r>
            <w:r w:rsidR="00DC1793">
              <w:t>]</w:t>
            </w:r>
            <w:r w:rsidRPr="000B36EB">
              <w:t xml:space="preserve"> is 6.</w:t>
            </w:r>
            <w:r w:rsidR="00DC1793">
              <w:t>38 (CI 5.72-7.04)</w:t>
            </w:r>
            <w:r w:rsidRPr="000B36EB">
              <w:t xml:space="preserve">, both studies state that viable virus ceased to be detected after 5 days. This is consistent with the highly cited </w:t>
            </w:r>
            <w:proofErr w:type="spellStart"/>
            <w:r w:rsidRPr="000B36EB">
              <w:t>Carrat</w:t>
            </w:r>
            <w:proofErr w:type="spellEnd"/>
            <w:r w:rsidRPr="000B36EB">
              <w:t xml:space="preserve"> [</w:t>
            </w:r>
            <w:r w:rsidR="00684AD8">
              <w:t>61</w:t>
            </w:r>
            <w:r w:rsidRPr="000B36EB">
              <w:t>] study, which gives a value of 4.8. The 4.8 value is used for our study.</w:t>
            </w:r>
          </w:p>
        </w:tc>
        <w:tc>
          <w:tcPr>
            <w:tcW w:w="1289" w:type="dxa"/>
          </w:tcPr>
          <w:p w:rsidR="0037097B" w:rsidRPr="00B647A5" w:rsidRDefault="00684AD8" w:rsidP="00ED6987">
            <w:r>
              <w:t>[61</w:t>
            </w:r>
            <w:r w:rsidR="0037097B" w:rsidRPr="00133EF6">
              <w:t>]</w:t>
            </w:r>
          </w:p>
        </w:tc>
      </w:tr>
    </w:tbl>
    <w:p w:rsidR="00CA3BE9" w:rsidRDefault="00CA3BE9"/>
    <w:p w:rsidR="00F36448" w:rsidRDefault="00F36448">
      <w:pPr>
        <w:rPr>
          <w:b/>
        </w:rPr>
      </w:pPr>
      <w:r>
        <w:t xml:space="preserve">The time transitions, effectiveness, severity and transmissibility parameters are all given to 2 decimal places and taken from the literature, </w:t>
      </w:r>
      <w:r w:rsidR="00862505">
        <w:t>with the exceptions of severity and transmissibility (</w:t>
      </w:r>
      <w:r>
        <w:t>user selected</w:t>
      </w:r>
      <w:r w:rsidR="00862505">
        <w:t>)</w:t>
      </w:r>
      <w:r>
        <w:t>, and the odds ratios</w:t>
      </w:r>
      <w:r w:rsidR="00862505">
        <w:t xml:space="preserve"> (</w:t>
      </w:r>
      <w:r>
        <w:t>calculated internally</w:t>
      </w:r>
      <w:r w:rsidR="00862505">
        <w:t>)</w:t>
      </w:r>
      <w:r>
        <w:t>. However, the fitted transition probabilities for seeking medical attention, being hospitalized and dying are smaller in magnitude and extremely influential on model, so they are given with more accuracy in the table above.</w:t>
      </w:r>
    </w:p>
    <w:p w:rsidR="00A349E1" w:rsidRDefault="00A349E1">
      <w:pPr>
        <w:rPr>
          <w:b/>
        </w:rPr>
      </w:pPr>
    </w:p>
    <w:p w:rsidR="00470686" w:rsidRDefault="00470686">
      <w:pPr>
        <w:rPr>
          <w:b/>
        </w:rPr>
      </w:pPr>
    </w:p>
    <w:p w:rsidR="00684AD8" w:rsidRDefault="00684AD8">
      <w:pPr>
        <w:rPr>
          <w:b/>
        </w:rPr>
      </w:pPr>
      <w:bookmarkStart w:id="1" w:name="_GoBack"/>
      <w:bookmarkEnd w:id="1"/>
    </w:p>
    <w:p w:rsidR="00DD4436" w:rsidRPr="00621D7C" w:rsidRDefault="00DD4436">
      <w:pPr>
        <w:rPr>
          <w:b/>
        </w:rPr>
      </w:pPr>
      <w:proofErr w:type="gramStart"/>
      <w:r w:rsidRPr="00621D7C">
        <w:rPr>
          <w:b/>
        </w:rPr>
        <w:lastRenderedPageBreak/>
        <w:t>A note on treatment durations.</w:t>
      </w:r>
      <w:proofErr w:type="gramEnd"/>
      <w:r w:rsidRPr="00621D7C">
        <w:rPr>
          <w:b/>
        </w:rPr>
        <w:t xml:space="preserve"> </w:t>
      </w:r>
    </w:p>
    <w:p w:rsidR="00DD4436" w:rsidRDefault="00DD4436" w:rsidP="00DD4436">
      <w:r>
        <w:t>Three key pathways for the compartments contribute to the force of infection.</w:t>
      </w:r>
    </w:p>
    <w:p w:rsidR="00DD4436" w:rsidRDefault="00DD4436" w:rsidP="00A349E1">
      <w:pPr>
        <w:pStyle w:val="ListParagraph"/>
        <w:numPr>
          <w:ilvl w:val="0"/>
          <w:numId w:val="5"/>
        </w:numPr>
        <w:spacing w:before="240" w:after="0"/>
      </w:pPr>
      <w:r>
        <w:t xml:space="preserve">No medical treatment, recover. </w:t>
      </w:r>
    </w:p>
    <w:p w:rsidR="00DD4436" w:rsidRDefault="00DD4436" w:rsidP="00A349E1">
      <w:pPr>
        <w:spacing w:before="240"/>
        <w:ind w:firstLine="720"/>
      </w:pPr>
      <w:r>
        <w:t xml:space="preserve">(5) </w:t>
      </w:r>
      <w:r>
        <w:sym w:font="Wingdings" w:char="F0E0"/>
      </w:r>
      <w:r>
        <w:t xml:space="preserve"> (7) </w:t>
      </w:r>
      <w:r>
        <w:sym w:font="Wingdings" w:char="F0E0"/>
      </w:r>
      <w:r>
        <w:t xml:space="preserve"> (12) </w:t>
      </w:r>
    </w:p>
    <w:p w:rsidR="00DD4436" w:rsidRDefault="00DD4436" w:rsidP="00A349E1">
      <w:pPr>
        <w:pStyle w:val="ListParagraph"/>
        <w:numPr>
          <w:ilvl w:val="0"/>
          <w:numId w:val="5"/>
        </w:numPr>
        <w:spacing w:before="240" w:after="0"/>
      </w:pPr>
      <w:r>
        <w:t>Medically attended, may get AV, recover.</w:t>
      </w:r>
    </w:p>
    <w:p w:rsidR="00A349E1" w:rsidRDefault="00DD4436" w:rsidP="00A349E1">
      <w:pPr>
        <w:spacing w:before="240"/>
        <w:ind w:firstLine="720"/>
      </w:pPr>
      <w:r>
        <w:t xml:space="preserve">(5) </w:t>
      </w:r>
      <w:r>
        <w:sym w:font="Wingdings" w:char="F0E0"/>
      </w:r>
      <w:r>
        <w:t xml:space="preserve"> (6) </w:t>
      </w:r>
      <w:r>
        <w:sym w:font="Wingdings" w:char="F0E0"/>
      </w:r>
      <w:r>
        <w:t xml:space="preserve"> (8</w:t>
      </w:r>
      <w:r w:rsidR="00A349E1">
        <w:t>/9</w:t>
      </w:r>
      <w:r>
        <w:t xml:space="preserve">) </w:t>
      </w:r>
      <w:r>
        <w:sym w:font="Wingdings" w:char="F0E0"/>
      </w:r>
      <w:r>
        <w:t xml:space="preserve"> (12) </w:t>
      </w:r>
    </w:p>
    <w:p w:rsidR="00DD4436" w:rsidRDefault="00DD4436" w:rsidP="00A349E1">
      <w:pPr>
        <w:spacing w:before="240"/>
        <w:ind w:firstLine="720"/>
      </w:pPr>
      <w:r>
        <w:t xml:space="preserve">Medically attended, may get AV, hospitalized, and die or recover. </w:t>
      </w:r>
    </w:p>
    <w:p w:rsidR="00DD4436" w:rsidRDefault="00DD4436" w:rsidP="00A349E1">
      <w:pPr>
        <w:spacing w:before="240" w:after="0" w:line="240" w:lineRule="auto"/>
        <w:ind w:firstLine="720"/>
      </w:pPr>
      <w:r>
        <w:t xml:space="preserve">(5) </w:t>
      </w:r>
      <w:r>
        <w:sym w:font="Wingdings" w:char="F0E0"/>
      </w:r>
      <w:r>
        <w:t xml:space="preserve"> (6) </w:t>
      </w:r>
      <w:r>
        <w:sym w:font="Wingdings" w:char="F0E0"/>
      </w:r>
      <w:r>
        <w:t xml:space="preserve"> (8</w:t>
      </w:r>
      <w:r w:rsidR="00A349E1">
        <w:t>/9</w:t>
      </w:r>
      <w:r>
        <w:t xml:space="preserve">) </w:t>
      </w:r>
      <w:r>
        <w:sym w:font="Wingdings" w:char="F0E0"/>
      </w:r>
      <w:r>
        <w:t xml:space="preserve"> (10) </w:t>
      </w:r>
      <w:r>
        <w:sym w:font="Wingdings" w:char="F0E0"/>
      </w:r>
      <w:r>
        <w:t xml:space="preserve"> (11</w:t>
      </w:r>
      <w:r w:rsidR="00A349E1">
        <w:t>/12</w:t>
      </w:r>
      <w:r>
        <w:t xml:space="preserve">) </w:t>
      </w:r>
    </w:p>
    <w:p w:rsidR="006C2BD3" w:rsidRDefault="006C2BD3" w:rsidP="006C2BD3">
      <w:pPr>
        <w:spacing w:after="0" w:line="240" w:lineRule="auto"/>
        <w:ind w:firstLine="720"/>
      </w:pPr>
    </w:p>
    <w:p w:rsidR="00DD4436" w:rsidRDefault="00DD4436" w:rsidP="00DD4436">
      <w:r>
        <w:t>Because the latent compartment doesn’t contribute to the force of infection,</w:t>
      </w:r>
      <w:r w:rsidR="006C2BD3">
        <w:t xml:space="preserve"> the duration infectious for each pathway is</w:t>
      </w:r>
      <w:r>
        <w:t>:</w:t>
      </w:r>
    </w:p>
    <w:p w:rsidR="00DD4436" w:rsidRDefault="00DD4436" w:rsidP="00DD4436">
      <w:pPr>
        <w:pStyle w:val="ListParagraph"/>
        <w:numPr>
          <w:ilvl w:val="0"/>
          <w:numId w:val="4"/>
        </w:numPr>
      </w:pPr>
      <w:r>
        <w:t>4.8</w:t>
      </w:r>
    </w:p>
    <w:p w:rsidR="00DD4436" w:rsidRDefault="00DD4436" w:rsidP="00DD4436">
      <w:pPr>
        <w:pStyle w:val="ListParagraph"/>
        <w:numPr>
          <w:ilvl w:val="0"/>
          <w:numId w:val="4"/>
        </w:numPr>
      </w:pPr>
      <w:r>
        <w:t>2 + 3.9 = 5.9</w:t>
      </w:r>
    </w:p>
    <w:p w:rsidR="00DD4436" w:rsidRDefault="00DD4436" w:rsidP="00DD4436">
      <w:pPr>
        <w:pStyle w:val="ListParagraph"/>
        <w:numPr>
          <w:ilvl w:val="0"/>
          <w:numId w:val="4"/>
        </w:numPr>
      </w:pPr>
      <w:r>
        <w:t>2 + 3.9 + 3.4 = 9.3</w:t>
      </w:r>
    </w:p>
    <w:p w:rsidR="00DD4436" w:rsidRDefault="00DD4436" w:rsidP="00DD4436">
      <w:r>
        <w:t xml:space="preserve">The delay of two days is selected for the average time to recognise symptoms, </w:t>
      </w:r>
      <w:r w:rsidR="006C2BD3">
        <w:t>be medically attended (</w:t>
      </w:r>
      <w:r>
        <w:t xml:space="preserve">and eligible for </w:t>
      </w:r>
      <w:r w:rsidR="006C2BD3">
        <w:t>antiviral</w:t>
      </w:r>
      <w:r>
        <w:t xml:space="preserve"> treatment</w:t>
      </w:r>
      <w:r w:rsidR="006C2BD3">
        <w:t>)</w:t>
      </w:r>
      <w:r>
        <w:t xml:space="preserve">. The 3.9 value reflects the balance of time to recover for those who </w:t>
      </w:r>
      <w:r w:rsidR="006C2BD3">
        <w:t>were Medically Attended and recover</w:t>
      </w:r>
      <w:r>
        <w:t>. The 4.3 value reflects the balance of time to death or rec</w:t>
      </w:r>
      <w:r w:rsidR="006C2BD3">
        <w:t>overy for those who were medically attended went on to be h</w:t>
      </w:r>
      <w:r>
        <w:t>ospitalized.</w:t>
      </w:r>
    </w:p>
    <w:p w:rsidR="00DD4436" w:rsidRDefault="00DD4436">
      <w:r>
        <w:t>Although it is likely, for example, that an individual treated with antivirals would be hospitalized prior to the 3.9 day duration in their compartment, only the sum of the duration times for each infectious pathway will influence the force of infection in the model. This is because infectiousness does not change based on compartment or vary over time. By simplifying the duration parameters, we are able to draw from more data sources in our meta-analysis.</w:t>
      </w:r>
    </w:p>
    <w:p w:rsidR="0041332C" w:rsidRDefault="0041332C">
      <w:pPr>
        <w:rPr>
          <w:b/>
        </w:rPr>
      </w:pPr>
    </w:p>
    <w:p w:rsidR="0041332C" w:rsidRDefault="0041332C">
      <w:pPr>
        <w:rPr>
          <w:b/>
        </w:rPr>
      </w:pPr>
    </w:p>
    <w:p w:rsidR="00AB5C1A" w:rsidRPr="00621D7C" w:rsidRDefault="00071FD9">
      <w:pPr>
        <w:rPr>
          <w:b/>
        </w:rPr>
      </w:pPr>
      <w:r w:rsidRPr="00621D7C">
        <w:rPr>
          <w:b/>
        </w:rPr>
        <w:lastRenderedPageBreak/>
        <w:t>Estimated Transmissibility and Severity Parameter Values for Historic Pandemics</w:t>
      </w:r>
    </w:p>
    <w:tbl>
      <w:tblPr>
        <w:tblStyle w:val="TableGrid"/>
        <w:tblW w:w="0" w:type="auto"/>
        <w:tblLook w:val="04A0" w:firstRow="1" w:lastRow="0" w:firstColumn="1" w:lastColumn="0" w:noHBand="0" w:noVBand="1"/>
      </w:tblPr>
      <w:tblGrid>
        <w:gridCol w:w="2620"/>
        <w:gridCol w:w="2452"/>
        <w:gridCol w:w="2436"/>
        <w:gridCol w:w="2722"/>
        <w:gridCol w:w="2946"/>
      </w:tblGrid>
      <w:tr w:rsidR="00291141" w:rsidTr="00291141">
        <w:tc>
          <w:tcPr>
            <w:tcW w:w="2620" w:type="dxa"/>
          </w:tcPr>
          <w:p w:rsidR="00291141" w:rsidRDefault="00291141"/>
        </w:tc>
        <w:tc>
          <w:tcPr>
            <w:tcW w:w="2452" w:type="dxa"/>
          </w:tcPr>
          <w:p w:rsidR="00291141" w:rsidRDefault="00291141">
            <w:pPr>
              <w:rPr>
                <w:vertAlign w:val="subscript"/>
              </w:rPr>
            </w:pPr>
            <w:r>
              <w:t xml:space="preserve">Analytic </w:t>
            </w:r>
            <w:r w:rsidRPr="00B04669">
              <w:t>R</w:t>
            </w:r>
            <w:r w:rsidRPr="00B04669">
              <w:rPr>
                <w:vertAlign w:val="subscript"/>
              </w:rPr>
              <w:t>0</w:t>
            </w:r>
            <w:r>
              <w:rPr>
                <w:vertAlign w:val="subscript"/>
              </w:rPr>
              <w:t xml:space="preserve"> </w:t>
            </w:r>
          </w:p>
          <w:p w:rsidR="00291141" w:rsidRPr="00291141" w:rsidRDefault="00291141" w:rsidP="00291141">
            <w:pPr>
              <w:rPr>
                <w:vertAlign w:val="subscript"/>
              </w:rPr>
            </w:pPr>
            <w:r>
              <w:t>(Excludes interventions)</w:t>
            </w:r>
          </w:p>
        </w:tc>
        <w:tc>
          <w:tcPr>
            <w:tcW w:w="2436" w:type="dxa"/>
          </w:tcPr>
          <w:p w:rsidR="00291141" w:rsidRDefault="00291141">
            <w:pPr>
              <w:rPr>
                <w:vertAlign w:val="subscript"/>
              </w:rPr>
            </w:pPr>
            <w:r>
              <w:t xml:space="preserve">Estimated </w:t>
            </w:r>
            <w:r w:rsidRPr="00B04669">
              <w:t>R</w:t>
            </w:r>
            <w:r w:rsidRPr="00B04669">
              <w:rPr>
                <w:vertAlign w:val="subscript"/>
              </w:rPr>
              <w:t>0</w:t>
            </w:r>
            <w:r>
              <w:rPr>
                <w:vertAlign w:val="subscript"/>
              </w:rPr>
              <w:t xml:space="preserve"> </w:t>
            </w:r>
          </w:p>
          <w:p w:rsidR="00291141" w:rsidRDefault="00291141">
            <w:r>
              <w:t>(includes interventions)</w:t>
            </w:r>
          </w:p>
        </w:tc>
        <w:tc>
          <w:tcPr>
            <w:tcW w:w="2722" w:type="dxa"/>
          </w:tcPr>
          <w:p w:rsidR="00291141" w:rsidRDefault="00291141">
            <w:r>
              <w:t>Severity Parameter Value</w:t>
            </w:r>
          </w:p>
        </w:tc>
        <w:tc>
          <w:tcPr>
            <w:tcW w:w="2946" w:type="dxa"/>
          </w:tcPr>
          <w:p w:rsidR="00291141" w:rsidRDefault="00291141">
            <w:r>
              <w:t>Transmissibility Parameter Value</w:t>
            </w:r>
          </w:p>
        </w:tc>
      </w:tr>
      <w:tr w:rsidR="00291141" w:rsidTr="00291141">
        <w:tc>
          <w:tcPr>
            <w:tcW w:w="2620" w:type="dxa"/>
          </w:tcPr>
          <w:p w:rsidR="00291141" w:rsidRDefault="00291141">
            <w:proofErr w:type="spellStart"/>
            <w:r w:rsidRPr="00B04669">
              <w:t>pdm</w:t>
            </w:r>
            <w:proofErr w:type="spellEnd"/>
            <w:r w:rsidRPr="00B04669">
              <w:t>(H1N1)09</w:t>
            </w:r>
          </w:p>
        </w:tc>
        <w:tc>
          <w:tcPr>
            <w:tcW w:w="2452" w:type="dxa"/>
          </w:tcPr>
          <w:p w:rsidR="00291141" w:rsidRDefault="00291141">
            <w:r>
              <w:t>1.42</w:t>
            </w:r>
          </w:p>
        </w:tc>
        <w:tc>
          <w:tcPr>
            <w:tcW w:w="2436" w:type="dxa"/>
          </w:tcPr>
          <w:p w:rsidR="00291141" w:rsidRDefault="0043785B">
            <w:r>
              <w:t>1.31</w:t>
            </w:r>
          </w:p>
        </w:tc>
        <w:tc>
          <w:tcPr>
            <w:tcW w:w="2722" w:type="dxa"/>
          </w:tcPr>
          <w:p w:rsidR="00291141" w:rsidRDefault="00291141">
            <w:r>
              <w:t>1.00</w:t>
            </w:r>
          </w:p>
        </w:tc>
        <w:tc>
          <w:tcPr>
            <w:tcW w:w="2946" w:type="dxa"/>
          </w:tcPr>
          <w:p w:rsidR="00291141" w:rsidRDefault="00291141">
            <w:r>
              <w:t>0.025</w:t>
            </w:r>
          </w:p>
        </w:tc>
      </w:tr>
      <w:tr w:rsidR="00291141" w:rsidTr="00291141">
        <w:tc>
          <w:tcPr>
            <w:tcW w:w="2620" w:type="dxa"/>
          </w:tcPr>
          <w:p w:rsidR="00291141" w:rsidRDefault="00291141">
            <w:r>
              <w:t>1957</w:t>
            </w:r>
          </w:p>
        </w:tc>
        <w:tc>
          <w:tcPr>
            <w:tcW w:w="2452" w:type="dxa"/>
          </w:tcPr>
          <w:p w:rsidR="00291141" w:rsidRDefault="0043785B">
            <w:r>
              <w:t>1.69</w:t>
            </w:r>
          </w:p>
        </w:tc>
        <w:tc>
          <w:tcPr>
            <w:tcW w:w="2436" w:type="dxa"/>
          </w:tcPr>
          <w:p w:rsidR="00291141" w:rsidRDefault="0043785B">
            <w:r>
              <w:t>1.55</w:t>
            </w:r>
          </w:p>
        </w:tc>
        <w:tc>
          <w:tcPr>
            <w:tcW w:w="2722" w:type="dxa"/>
          </w:tcPr>
          <w:p w:rsidR="00291141" w:rsidRDefault="00291141">
            <w:r>
              <w:t>1.75</w:t>
            </w:r>
          </w:p>
        </w:tc>
        <w:tc>
          <w:tcPr>
            <w:tcW w:w="2946" w:type="dxa"/>
          </w:tcPr>
          <w:p w:rsidR="00291141" w:rsidRDefault="00291141">
            <w:r>
              <w:t>0.030</w:t>
            </w:r>
          </w:p>
        </w:tc>
      </w:tr>
      <w:tr w:rsidR="00291141" w:rsidTr="00291141">
        <w:tc>
          <w:tcPr>
            <w:tcW w:w="2620" w:type="dxa"/>
          </w:tcPr>
          <w:p w:rsidR="00291141" w:rsidRDefault="00291141">
            <w:r>
              <w:t>1918</w:t>
            </w:r>
          </w:p>
        </w:tc>
        <w:tc>
          <w:tcPr>
            <w:tcW w:w="2452" w:type="dxa"/>
          </w:tcPr>
          <w:p w:rsidR="00291141" w:rsidRDefault="0043785B">
            <w:r>
              <w:t>2.08</w:t>
            </w:r>
          </w:p>
        </w:tc>
        <w:tc>
          <w:tcPr>
            <w:tcW w:w="2436" w:type="dxa"/>
          </w:tcPr>
          <w:p w:rsidR="00291141" w:rsidRDefault="0043785B">
            <w:r>
              <w:t>1.8</w:t>
            </w:r>
            <w:r w:rsidR="00291141">
              <w:t>3</w:t>
            </w:r>
          </w:p>
        </w:tc>
        <w:tc>
          <w:tcPr>
            <w:tcW w:w="2722" w:type="dxa"/>
          </w:tcPr>
          <w:p w:rsidR="00291141" w:rsidRDefault="00291141">
            <w:r>
              <w:t>7.25</w:t>
            </w:r>
          </w:p>
        </w:tc>
        <w:tc>
          <w:tcPr>
            <w:tcW w:w="2946" w:type="dxa"/>
          </w:tcPr>
          <w:p w:rsidR="00291141" w:rsidRDefault="00291141">
            <w:r>
              <w:t>0.035</w:t>
            </w:r>
          </w:p>
        </w:tc>
      </w:tr>
    </w:tbl>
    <w:p w:rsidR="00071FD9" w:rsidRDefault="00071FD9"/>
    <w:p w:rsidR="00071FD9" w:rsidRDefault="00291141">
      <w:r>
        <w:t xml:space="preserve">The values for </w:t>
      </w:r>
      <w:r w:rsidRPr="00B04669">
        <w:t>R</w:t>
      </w:r>
      <w:r w:rsidRPr="00B04669">
        <w:rPr>
          <w:vertAlign w:val="subscript"/>
        </w:rPr>
        <w:t>0</w:t>
      </w:r>
      <w:r>
        <w:t xml:space="preserve"> given above are taken from the analytic calculation described in appendix 2. The model also offers an approximation of </w:t>
      </w:r>
      <w:r w:rsidRPr="00B04669">
        <w:t>R</w:t>
      </w:r>
      <w:r w:rsidRPr="00B04669">
        <w:rPr>
          <w:vertAlign w:val="subscript"/>
        </w:rPr>
        <w:t>0</w:t>
      </w:r>
      <w:r>
        <w:t xml:space="preserve"> which gives the ratio of the exposed to the total population. The analytic calculation</w:t>
      </w:r>
      <w:r w:rsidR="002679E0">
        <w:t xml:space="preserve"> assumes no</w:t>
      </w:r>
      <w:r>
        <w:t xml:space="preserve"> antivirals and immunization</w:t>
      </w:r>
      <w:r w:rsidR="002679E0">
        <w:t>s are distributed</w:t>
      </w:r>
      <w:r>
        <w:t xml:space="preserve">, while the approximation of </w:t>
      </w:r>
      <w:r w:rsidRPr="00B04669">
        <w:t>R</w:t>
      </w:r>
      <w:r w:rsidRPr="00B04669">
        <w:rPr>
          <w:vertAlign w:val="subscript"/>
        </w:rPr>
        <w:t>0</w:t>
      </w:r>
      <w:r>
        <w:t xml:space="preserve"> </w:t>
      </w:r>
      <w:r w:rsidR="00244999">
        <w:t>is</w:t>
      </w:r>
      <w:r>
        <w:t xml:space="preserve"> based on the inclusion of these interventions.  The ranges given in the table above correspond to those specified in</w:t>
      </w:r>
      <w:r w:rsidR="00A6649C">
        <w:t xml:space="preserve"> a systemic review</w:t>
      </w:r>
      <w:r>
        <w:t xml:space="preserve"> </w:t>
      </w:r>
      <w:r w:rsidR="00722B6A">
        <w:t>[</w:t>
      </w:r>
      <w:r w:rsidR="00684AD8">
        <w:t>71</w:t>
      </w:r>
      <w:r w:rsidR="00722B6A">
        <w:t>].</w:t>
      </w:r>
    </w:p>
    <w:sectPr w:rsidR="00071FD9" w:rsidSect="00DF360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10266"/>
    <w:multiLevelType w:val="hybridMultilevel"/>
    <w:tmpl w:val="5BD69816"/>
    <w:lvl w:ilvl="0" w:tplc="10090015">
      <w:start w:val="1"/>
      <w:numFmt w:val="upp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928134C"/>
    <w:multiLevelType w:val="hybridMultilevel"/>
    <w:tmpl w:val="76C61F90"/>
    <w:lvl w:ilvl="0" w:tplc="BB2AC96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4C8E177B"/>
    <w:multiLevelType w:val="hybridMultilevel"/>
    <w:tmpl w:val="8D7078F6"/>
    <w:lvl w:ilvl="0" w:tplc="28ACBA96">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4D2A146D"/>
    <w:multiLevelType w:val="hybridMultilevel"/>
    <w:tmpl w:val="B8C842A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5516630E"/>
    <w:multiLevelType w:val="hybridMultilevel"/>
    <w:tmpl w:val="A1B40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56C21185"/>
    <w:multiLevelType w:val="hybridMultilevel"/>
    <w:tmpl w:val="232E1830"/>
    <w:lvl w:ilvl="0" w:tplc="3A263F6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2AA"/>
    <w:rsid w:val="00005344"/>
    <w:rsid w:val="00022C3B"/>
    <w:rsid w:val="00071FD9"/>
    <w:rsid w:val="00083346"/>
    <w:rsid w:val="000A06CC"/>
    <w:rsid w:val="000B36EB"/>
    <w:rsid w:val="000C1AA2"/>
    <w:rsid w:val="000C3A10"/>
    <w:rsid w:val="000F4B13"/>
    <w:rsid w:val="00133EF6"/>
    <w:rsid w:val="001441EB"/>
    <w:rsid w:val="001A792C"/>
    <w:rsid w:val="001B512C"/>
    <w:rsid w:val="00244999"/>
    <w:rsid w:val="00266494"/>
    <w:rsid w:val="002679E0"/>
    <w:rsid w:val="00283A74"/>
    <w:rsid w:val="00291141"/>
    <w:rsid w:val="002B59A5"/>
    <w:rsid w:val="002B60FB"/>
    <w:rsid w:val="002D2000"/>
    <w:rsid w:val="0037097B"/>
    <w:rsid w:val="00381C81"/>
    <w:rsid w:val="003A2376"/>
    <w:rsid w:val="003C7752"/>
    <w:rsid w:val="003F1397"/>
    <w:rsid w:val="0041332C"/>
    <w:rsid w:val="00425174"/>
    <w:rsid w:val="0043785B"/>
    <w:rsid w:val="00447419"/>
    <w:rsid w:val="00470686"/>
    <w:rsid w:val="00503137"/>
    <w:rsid w:val="00511588"/>
    <w:rsid w:val="005307CB"/>
    <w:rsid w:val="005471B6"/>
    <w:rsid w:val="00562DBA"/>
    <w:rsid w:val="00584D10"/>
    <w:rsid w:val="005904B4"/>
    <w:rsid w:val="005A1D1A"/>
    <w:rsid w:val="005B4AF2"/>
    <w:rsid w:val="005C3702"/>
    <w:rsid w:val="005E5195"/>
    <w:rsid w:val="006200B4"/>
    <w:rsid w:val="00621D7C"/>
    <w:rsid w:val="00646763"/>
    <w:rsid w:val="0067063B"/>
    <w:rsid w:val="00671F6B"/>
    <w:rsid w:val="00682ED7"/>
    <w:rsid w:val="00684AD8"/>
    <w:rsid w:val="006A1117"/>
    <w:rsid w:val="006C13EB"/>
    <w:rsid w:val="006C2BD3"/>
    <w:rsid w:val="00705863"/>
    <w:rsid w:val="0072213A"/>
    <w:rsid w:val="00722B6A"/>
    <w:rsid w:val="00737EAD"/>
    <w:rsid w:val="00765B94"/>
    <w:rsid w:val="007C3338"/>
    <w:rsid w:val="007E2B77"/>
    <w:rsid w:val="007F3F73"/>
    <w:rsid w:val="00810DC3"/>
    <w:rsid w:val="008472CF"/>
    <w:rsid w:val="00862505"/>
    <w:rsid w:val="008B34BB"/>
    <w:rsid w:val="008E1457"/>
    <w:rsid w:val="00940635"/>
    <w:rsid w:val="00942082"/>
    <w:rsid w:val="0097110B"/>
    <w:rsid w:val="0099554A"/>
    <w:rsid w:val="00A349E1"/>
    <w:rsid w:val="00A6649C"/>
    <w:rsid w:val="00A93972"/>
    <w:rsid w:val="00AA64AF"/>
    <w:rsid w:val="00AB5C1A"/>
    <w:rsid w:val="00AD520E"/>
    <w:rsid w:val="00AF09DB"/>
    <w:rsid w:val="00B376CC"/>
    <w:rsid w:val="00B647A5"/>
    <w:rsid w:val="00BF6319"/>
    <w:rsid w:val="00C15B2C"/>
    <w:rsid w:val="00C65058"/>
    <w:rsid w:val="00C707A6"/>
    <w:rsid w:val="00C9492A"/>
    <w:rsid w:val="00CA3BE9"/>
    <w:rsid w:val="00CA4824"/>
    <w:rsid w:val="00CC3F92"/>
    <w:rsid w:val="00CD4428"/>
    <w:rsid w:val="00CF4569"/>
    <w:rsid w:val="00D3135C"/>
    <w:rsid w:val="00D322AA"/>
    <w:rsid w:val="00D758A0"/>
    <w:rsid w:val="00DC1793"/>
    <w:rsid w:val="00DD4436"/>
    <w:rsid w:val="00DF360B"/>
    <w:rsid w:val="00DF7E0D"/>
    <w:rsid w:val="00E1305B"/>
    <w:rsid w:val="00E14897"/>
    <w:rsid w:val="00E14B7F"/>
    <w:rsid w:val="00F32221"/>
    <w:rsid w:val="00F36448"/>
    <w:rsid w:val="00FA02F7"/>
    <w:rsid w:val="00FB27C8"/>
    <w:rsid w:val="00FC4088"/>
    <w:rsid w:val="00FD73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2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C3B"/>
    <w:pPr>
      <w:ind w:left="720"/>
      <w:contextualSpacing/>
    </w:pPr>
  </w:style>
  <w:style w:type="paragraph" w:styleId="BalloonText">
    <w:name w:val="Balloon Text"/>
    <w:basedOn w:val="Normal"/>
    <w:link w:val="BalloonTextChar"/>
    <w:uiPriority w:val="99"/>
    <w:semiHidden/>
    <w:unhideWhenUsed/>
    <w:rsid w:val="002B59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9A5"/>
    <w:rPr>
      <w:rFonts w:ascii="Tahoma" w:hAnsi="Tahoma" w:cs="Tahoma"/>
      <w:sz w:val="16"/>
      <w:szCs w:val="16"/>
    </w:rPr>
  </w:style>
  <w:style w:type="character" w:styleId="Hyperlink">
    <w:name w:val="Hyperlink"/>
    <w:basedOn w:val="DefaultParagraphFont"/>
    <w:uiPriority w:val="99"/>
    <w:unhideWhenUsed/>
    <w:rsid w:val="00B376CC"/>
    <w:rPr>
      <w:color w:val="0000FF" w:themeColor="hyperlink"/>
      <w:u w:val="single"/>
    </w:rPr>
  </w:style>
  <w:style w:type="character" w:styleId="CommentReference">
    <w:name w:val="annotation reference"/>
    <w:basedOn w:val="DefaultParagraphFont"/>
    <w:semiHidden/>
    <w:unhideWhenUsed/>
    <w:rsid w:val="00AF09DB"/>
    <w:rPr>
      <w:sz w:val="16"/>
      <w:szCs w:val="16"/>
    </w:rPr>
  </w:style>
  <w:style w:type="paragraph" w:styleId="CommentText">
    <w:name w:val="annotation text"/>
    <w:basedOn w:val="Normal"/>
    <w:link w:val="CommentTextChar"/>
    <w:semiHidden/>
    <w:unhideWhenUsed/>
    <w:rsid w:val="00AF09DB"/>
    <w:pPr>
      <w:spacing w:line="240" w:lineRule="auto"/>
    </w:pPr>
    <w:rPr>
      <w:sz w:val="20"/>
      <w:szCs w:val="20"/>
    </w:rPr>
  </w:style>
  <w:style w:type="character" w:customStyle="1" w:styleId="CommentTextChar">
    <w:name w:val="Comment Text Char"/>
    <w:basedOn w:val="DefaultParagraphFont"/>
    <w:link w:val="CommentText"/>
    <w:uiPriority w:val="99"/>
    <w:semiHidden/>
    <w:rsid w:val="00AF09DB"/>
    <w:rPr>
      <w:sz w:val="20"/>
      <w:szCs w:val="20"/>
    </w:rPr>
  </w:style>
  <w:style w:type="paragraph" w:styleId="CommentSubject">
    <w:name w:val="annotation subject"/>
    <w:basedOn w:val="CommentText"/>
    <w:next w:val="CommentText"/>
    <w:link w:val="CommentSubjectChar"/>
    <w:uiPriority w:val="99"/>
    <w:semiHidden/>
    <w:unhideWhenUsed/>
    <w:rsid w:val="00AF09DB"/>
    <w:rPr>
      <w:b/>
      <w:bCs/>
    </w:rPr>
  </w:style>
  <w:style w:type="character" w:customStyle="1" w:styleId="CommentSubjectChar">
    <w:name w:val="Comment Subject Char"/>
    <w:basedOn w:val="CommentTextChar"/>
    <w:link w:val="CommentSubject"/>
    <w:uiPriority w:val="99"/>
    <w:semiHidden/>
    <w:rsid w:val="00AF09DB"/>
    <w:rPr>
      <w:b/>
      <w:bCs/>
      <w:sz w:val="20"/>
      <w:szCs w:val="20"/>
    </w:rPr>
  </w:style>
  <w:style w:type="paragraph" w:styleId="Revision">
    <w:name w:val="Revision"/>
    <w:hidden/>
    <w:uiPriority w:val="99"/>
    <w:semiHidden/>
    <w:rsid w:val="00FC4088"/>
    <w:pPr>
      <w:spacing w:after="0" w:line="240" w:lineRule="auto"/>
    </w:pPr>
  </w:style>
  <w:style w:type="paragraph" w:styleId="PlainText">
    <w:name w:val="Plain Text"/>
    <w:basedOn w:val="Normal"/>
    <w:link w:val="PlainTextChar"/>
    <w:uiPriority w:val="99"/>
    <w:semiHidden/>
    <w:unhideWhenUsed/>
    <w:rsid w:val="00584D1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84D10"/>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2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C3B"/>
    <w:pPr>
      <w:ind w:left="720"/>
      <w:contextualSpacing/>
    </w:pPr>
  </w:style>
  <w:style w:type="paragraph" w:styleId="BalloonText">
    <w:name w:val="Balloon Text"/>
    <w:basedOn w:val="Normal"/>
    <w:link w:val="BalloonTextChar"/>
    <w:uiPriority w:val="99"/>
    <w:semiHidden/>
    <w:unhideWhenUsed/>
    <w:rsid w:val="002B59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9A5"/>
    <w:rPr>
      <w:rFonts w:ascii="Tahoma" w:hAnsi="Tahoma" w:cs="Tahoma"/>
      <w:sz w:val="16"/>
      <w:szCs w:val="16"/>
    </w:rPr>
  </w:style>
  <w:style w:type="character" w:styleId="Hyperlink">
    <w:name w:val="Hyperlink"/>
    <w:basedOn w:val="DefaultParagraphFont"/>
    <w:uiPriority w:val="99"/>
    <w:unhideWhenUsed/>
    <w:rsid w:val="00B376CC"/>
    <w:rPr>
      <w:color w:val="0000FF" w:themeColor="hyperlink"/>
      <w:u w:val="single"/>
    </w:rPr>
  </w:style>
  <w:style w:type="character" w:styleId="CommentReference">
    <w:name w:val="annotation reference"/>
    <w:basedOn w:val="DefaultParagraphFont"/>
    <w:semiHidden/>
    <w:unhideWhenUsed/>
    <w:rsid w:val="00AF09DB"/>
    <w:rPr>
      <w:sz w:val="16"/>
      <w:szCs w:val="16"/>
    </w:rPr>
  </w:style>
  <w:style w:type="paragraph" w:styleId="CommentText">
    <w:name w:val="annotation text"/>
    <w:basedOn w:val="Normal"/>
    <w:link w:val="CommentTextChar"/>
    <w:semiHidden/>
    <w:unhideWhenUsed/>
    <w:rsid w:val="00AF09DB"/>
    <w:pPr>
      <w:spacing w:line="240" w:lineRule="auto"/>
    </w:pPr>
    <w:rPr>
      <w:sz w:val="20"/>
      <w:szCs w:val="20"/>
    </w:rPr>
  </w:style>
  <w:style w:type="character" w:customStyle="1" w:styleId="CommentTextChar">
    <w:name w:val="Comment Text Char"/>
    <w:basedOn w:val="DefaultParagraphFont"/>
    <w:link w:val="CommentText"/>
    <w:uiPriority w:val="99"/>
    <w:semiHidden/>
    <w:rsid w:val="00AF09DB"/>
    <w:rPr>
      <w:sz w:val="20"/>
      <w:szCs w:val="20"/>
    </w:rPr>
  </w:style>
  <w:style w:type="paragraph" w:styleId="CommentSubject">
    <w:name w:val="annotation subject"/>
    <w:basedOn w:val="CommentText"/>
    <w:next w:val="CommentText"/>
    <w:link w:val="CommentSubjectChar"/>
    <w:uiPriority w:val="99"/>
    <w:semiHidden/>
    <w:unhideWhenUsed/>
    <w:rsid w:val="00AF09DB"/>
    <w:rPr>
      <w:b/>
      <w:bCs/>
    </w:rPr>
  </w:style>
  <w:style w:type="character" w:customStyle="1" w:styleId="CommentSubjectChar">
    <w:name w:val="Comment Subject Char"/>
    <w:basedOn w:val="CommentTextChar"/>
    <w:link w:val="CommentSubject"/>
    <w:uiPriority w:val="99"/>
    <w:semiHidden/>
    <w:rsid w:val="00AF09DB"/>
    <w:rPr>
      <w:b/>
      <w:bCs/>
      <w:sz w:val="20"/>
      <w:szCs w:val="20"/>
    </w:rPr>
  </w:style>
  <w:style w:type="paragraph" w:styleId="Revision">
    <w:name w:val="Revision"/>
    <w:hidden/>
    <w:uiPriority w:val="99"/>
    <w:semiHidden/>
    <w:rsid w:val="00FC4088"/>
    <w:pPr>
      <w:spacing w:after="0" w:line="240" w:lineRule="auto"/>
    </w:pPr>
  </w:style>
  <w:style w:type="paragraph" w:styleId="PlainText">
    <w:name w:val="Plain Text"/>
    <w:basedOn w:val="Normal"/>
    <w:link w:val="PlainTextChar"/>
    <w:uiPriority w:val="99"/>
    <w:semiHidden/>
    <w:unhideWhenUsed/>
    <w:rsid w:val="00584D1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84D1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package" Target="embeddings/Microsoft_Excel_Worksheet1.xlsx"/><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oleObject" Target="embeddings/oleObject24.bin"/><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emf"/><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7.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8" Type="http://schemas.openxmlformats.org/officeDocument/2006/relationships/image" Target="media/image2.wmf"/><Relationship Id="rId51" Type="http://schemas.openxmlformats.org/officeDocument/2006/relationships/oleObject" Target="embeddings/oleObject22.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1579</Words>
  <Characters>9002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GOA</Company>
  <LinksUpToDate>false</LinksUpToDate>
  <CharactersWithSpaces>10560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doug.dover</dc:creator>
  <cp:lastModifiedBy>doug.dover</cp:lastModifiedBy>
  <cp:revision>3</cp:revision>
  <cp:lastPrinted>2015-08-06T15:23:00Z</cp:lastPrinted>
  <dcterms:created xsi:type="dcterms:W3CDTF">2016-08-13T21:45:00Z</dcterms:created>
  <dcterms:modified xsi:type="dcterms:W3CDTF">2016-08-13T21:48:00Z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