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0BDE" w:rsidRDefault="00614E02" w:rsidP="00282EDF">
      <w:pPr>
        <w:spacing w:line="480" w:lineRule="auto"/>
        <w:rPr>
          <w:rFonts w:cs="Times New Roman"/>
          <w:b/>
          <w:szCs w:val="24"/>
        </w:rPr>
      </w:pPr>
      <w:r>
        <w:rPr>
          <w:rFonts w:cs="Times New Roman"/>
          <w:b/>
          <w:szCs w:val="24"/>
        </w:rPr>
        <w:t>Supplementary material</w:t>
      </w:r>
      <w:r w:rsidR="00042D20" w:rsidRPr="003040F1">
        <w:rPr>
          <w:rFonts w:cs="Times New Roman"/>
          <w:b/>
          <w:szCs w:val="24"/>
        </w:rPr>
        <w:t xml:space="preserve"> </w:t>
      </w:r>
      <w:r w:rsidR="00042D20">
        <w:rPr>
          <w:rFonts w:cs="Times New Roman"/>
          <w:b/>
          <w:szCs w:val="24"/>
        </w:rPr>
        <w:t>4</w:t>
      </w:r>
      <w:r w:rsidR="007A0BDE">
        <w:rPr>
          <w:rFonts w:cs="Times New Roman"/>
          <w:b/>
          <w:szCs w:val="24"/>
        </w:rPr>
        <w:t>: S</w:t>
      </w:r>
      <w:r w:rsidR="007A0BDE" w:rsidRPr="008D65D9">
        <w:rPr>
          <w:rFonts w:cs="Times New Roman"/>
          <w:b/>
          <w:szCs w:val="24"/>
        </w:rPr>
        <w:t>ensitivity analysis</w:t>
      </w:r>
    </w:p>
    <w:p w:rsidR="007A0BDE" w:rsidRPr="00EB3802" w:rsidRDefault="007A0BDE" w:rsidP="00282EDF">
      <w:pPr>
        <w:spacing w:line="480" w:lineRule="auto"/>
        <w:rPr>
          <w:rFonts w:cs="Times New Roman"/>
          <w:szCs w:val="24"/>
        </w:rPr>
      </w:pPr>
      <w:r>
        <w:rPr>
          <w:rFonts w:cs="Times New Roman"/>
          <w:szCs w:val="24"/>
        </w:rPr>
        <w:t xml:space="preserve">We assessed the sensitivity of results to two key structural assumptions for which there is limited a priori support. That the higher PID rate lasts for two years, and that the ratio of this higher rate to the lower rate is the same as the ratio of the CT re-infection rate to the first infection rate. Note that these assumptions are very highly related. For example if the higher rate were assumed to only act for </w:t>
      </w:r>
      <w:r w:rsidRPr="00EB3802">
        <w:rPr>
          <w:rFonts w:cs="Times New Roman"/>
          <w:szCs w:val="24"/>
        </w:rPr>
        <w:t>1 year results would be almost identic</w:t>
      </w:r>
      <w:r>
        <w:rPr>
          <w:rFonts w:cs="Times New Roman"/>
          <w:szCs w:val="24"/>
        </w:rPr>
        <w:t>a</w:t>
      </w:r>
      <w:r w:rsidRPr="00EB3802">
        <w:rPr>
          <w:rFonts w:cs="Times New Roman"/>
          <w:szCs w:val="24"/>
        </w:rPr>
        <w:t xml:space="preserve">l to the two year model with the value of </w:t>
      </w:r>
      <w:r w:rsidRPr="00EB3802">
        <w:rPr>
          <w:rFonts w:cs="Times New Roman"/>
          <w:position w:val="-10"/>
          <w:szCs w:val="24"/>
        </w:rPr>
        <w:object w:dxaOrig="20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8pt;height:13.1pt" o:ole="">
            <v:imagedata r:id="rId5" o:title=""/>
          </v:shape>
          <o:OLEObject Type="Embed" ProgID="Equation.DSMT4" ShapeID="_x0000_i1025" DrawAspect="Content" ObjectID="_1533893582" r:id="rId6"/>
        </w:object>
      </w:r>
      <w:r w:rsidRPr="00EB3802">
        <w:rPr>
          <w:rFonts w:cs="Times New Roman"/>
          <w:szCs w:val="24"/>
        </w:rPr>
        <w:t xml:space="preserve">. Likewise, doubling </w:t>
      </w:r>
      <w:r w:rsidRPr="00EB3802">
        <w:rPr>
          <w:rFonts w:cs="Times New Roman"/>
          <w:position w:val="-10"/>
          <w:szCs w:val="24"/>
        </w:rPr>
        <w:object w:dxaOrig="200" w:dyaOrig="260">
          <v:shape id="_x0000_i1026" type="#_x0000_t75" style="width:9.8pt;height:13.1pt" o:ole="">
            <v:imagedata r:id="rId5" o:title=""/>
          </v:shape>
          <o:OLEObject Type="Embed" ProgID="Equation.DSMT4" ShapeID="_x0000_i1026" DrawAspect="Content" ObjectID="_1533893583" r:id="rId7"/>
        </w:object>
      </w:r>
      <w:r w:rsidRPr="00EB3802">
        <w:rPr>
          <w:rFonts w:cs="Times New Roman"/>
          <w:szCs w:val="24"/>
        </w:rPr>
        <w:t xml:space="preserve"> would have a very similar effect to increasing this period to 4 years.</w:t>
      </w:r>
      <w:r>
        <w:rPr>
          <w:rFonts w:cs="Times New Roman"/>
          <w:szCs w:val="24"/>
        </w:rPr>
        <w:t xml:space="preserve"> As such we perform a single deterministic sensitivity analysis on the parameter </w:t>
      </w:r>
      <w:r w:rsidRPr="00EB3802">
        <w:rPr>
          <w:rFonts w:cs="Times New Roman"/>
          <w:position w:val="-10"/>
          <w:szCs w:val="24"/>
        </w:rPr>
        <w:object w:dxaOrig="200" w:dyaOrig="260">
          <v:shape id="_x0000_i1027" type="#_x0000_t75" style="width:9.8pt;height:13.1pt" o:ole="">
            <v:imagedata r:id="rId5" o:title=""/>
          </v:shape>
          <o:OLEObject Type="Embed" ProgID="Equation.DSMT4" ShapeID="_x0000_i1027" DrawAspect="Content" ObjectID="_1533893584" r:id="rId8"/>
        </w:object>
      </w:r>
      <w:r>
        <w:rPr>
          <w:rFonts w:cs="Times New Roman"/>
          <w:szCs w:val="24"/>
        </w:rPr>
        <w:t xml:space="preserve"> by generating results with this parameter halved, doubled, and the extreme case where it’s assumed to equal one (</w:t>
      </w:r>
      <w:proofErr w:type="spellStart"/>
      <w:r>
        <w:rPr>
          <w:rFonts w:cs="Times New Roman"/>
          <w:szCs w:val="24"/>
        </w:rPr>
        <w:t>i.e</w:t>
      </w:r>
      <w:proofErr w:type="spellEnd"/>
      <w:r>
        <w:rPr>
          <w:rFonts w:cs="Times New Roman"/>
          <w:szCs w:val="24"/>
        </w:rPr>
        <w:t xml:space="preserve"> the two rates are equal). In each case the calibration constant </w:t>
      </w:r>
      <w:r w:rsidRPr="00C45DD6">
        <w:rPr>
          <w:rFonts w:cs="Times New Roman"/>
          <w:position w:val="-10"/>
          <w:szCs w:val="24"/>
        </w:rPr>
        <w:object w:dxaOrig="240" w:dyaOrig="260">
          <v:shape id="_x0000_i1028" type="#_x0000_t75" style="width:11.8pt;height:12.45pt" o:ole="">
            <v:imagedata r:id="rId9" o:title=""/>
          </v:shape>
          <o:OLEObject Type="Embed" ProgID="Equation.DSMT4" ShapeID="_x0000_i1028" DrawAspect="Content" ObjectID="_1533893585" r:id="rId10"/>
        </w:object>
      </w:r>
      <w:r>
        <w:rPr>
          <w:rFonts w:cs="Times New Roman"/>
          <w:szCs w:val="24"/>
        </w:rPr>
        <w:t xml:space="preserve"> is calculated as for the primary analysis.</w:t>
      </w:r>
    </w:p>
    <w:p w:rsidR="007A0BDE" w:rsidRDefault="007A0BDE" w:rsidP="00282EDF">
      <w:pPr>
        <w:spacing w:line="480" w:lineRule="auto"/>
        <w:rPr>
          <w:rFonts w:cs="Times New Roman"/>
          <w:szCs w:val="24"/>
        </w:rPr>
      </w:pPr>
      <w:r w:rsidRPr="00403B96">
        <w:rPr>
          <w:rFonts w:cs="Times New Roman"/>
          <w:szCs w:val="24"/>
        </w:rPr>
        <w:t xml:space="preserve">Results of the effect of changing </w:t>
      </w:r>
      <w:r w:rsidRPr="00403B96">
        <w:rPr>
          <w:rFonts w:cs="Times New Roman"/>
          <w:position w:val="-10"/>
          <w:szCs w:val="24"/>
        </w:rPr>
        <w:object w:dxaOrig="200" w:dyaOrig="260">
          <v:shape id="_x0000_i1029" type="#_x0000_t75" style="width:9.8pt;height:13.1pt" o:ole="">
            <v:imagedata r:id="rId11" o:title=""/>
          </v:shape>
          <o:OLEObject Type="Embed" ProgID="Equation.DSMT4" ShapeID="_x0000_i1029" DrawAspect="Content" ObjectID="_1533893586" r:id="rId12"/>
        </w:object>
      </w:r>
      <w:r w:rsidRPr="00403B96">
        <w:rPr>
          <w:rFonts w:cs="Times New Roman"/>
          <w:szCs w:val="24"/>
        </w:rPr>
        <w:t xml:space="preserve"> on the distribution of PID are shown in </w:t>
      </w:r>
      <w:r>
        <w:rPr>
          <w:rFonts w:cs="Times New Roman"/>
          <w:szCs w:val="24"/>
        </w:rPr>
        <w:t>T</w:t>
      </w:r>
      <w:r w:rsidRPr="00403B96">
        <w:rPr>
          <w:rFonts w:cs="Times New Roman"/>
          <w:szCs w:val="24"/>
        </w:rPr>
        <w:t xml:space="preserve">able </w:t>
      </w:r>
      <w:r>
        <w:rPr>
          <w:rFonts w:cs="Times New Roman"/>
          <w:szCs w:val="24"/>
        </w:rPr>
        <w:t>WA4.1</w:t>
      </w:r>
      <w:r w:rsidRPr="00403B96">
        <w:rPr>
          <w:rFonts w:cs="Times New Roman"/>
          <w:szCs w:val="24"/>
        </w:rPr>
        <w:t xml:space="preserve">. The proportion of women who have had 1 PID reduces or increases by between 10% and 20% depending on age when </w:t>
      </w:r>
      <w:r w:rsidRPr="00403B96">
        <w:rPr>
          <w:rFonts w:cs="Times New Roman"/>
          <w:position w:val="-10"/>
          <w:szCs w:val="24"/>
        </w:rPr>
        <w:object w:dxaOrig="200" w:dyaOrig="260">
          <v:shape id="_x0000_i1030" type="#_x0000_t75" style="width:9.8pt;height:13.1pt" o:ole="">
            <v:imagedata r:id="rId13" o:title=""/>
          </v:shape>
          <o:OLEObject Type="Embed" ProgID="Equation.DSMT4" ShapeID="_x0000_i1030" DrawAspect="Content" ObjectID="_1533893587" r:id="rId14"/>
        </w:object>
      </w:r>
      <w:r w:rsidRPr="00403B96">
        <w:rPr>
          <w:rFonts w:cs="Times New Roman"/>
          <w:szCs w:val="24"/>
        </w:rPr>
        <w:t xml:space="preserve"> is doubled or halved respectively. In women with 2 PID episodes the change in proportion is between around 0% and 40%, and the change in proportion in the 3+ PID state is between 30% and 70%. In the extreme case where </w:t>
      </w:r>
      <w:r w:rsidRPr="00EE54C4">
        <w:rPr>
          <w:rFonts w:cs="Times New Roman"/>
          <w:position w:val="-10"/>
          <w:szCs w:val="24"/>
        </w:rPr>
        <w:object w:dxaOrig="200" w:dyaOrig="260">
          <v:shape id="_x0000_i1031" type="#_x0000_t75" style="width:9.8pt;height:13.1pt" o:ole="">
            <v:imagedata r:id="rId15" o:title=""/>
          </v:shape>
          <o:OLEObject Type="Embed" ProgID="Equation.DSMT4" ShapeID="_x0000_i1031" DrawAspect="Content" ObjectID="_1533893588" r:id="rId16"/>
        </w:object>
      </w:r>
      <w:r w:rsidRPr="00403B96">
        <w:rPr>
          <w:rFonts w:cs="Times New Roman"/>
          <w:szCs w:val="24"/>
        </w:rPr>
        <w:t xml:space="preserve"> is assumed to equal 1 the proportions with 1 PID increases by between 25% and 40%. The proportion falls by between 10% and 75% in women with 2 PIDs and by between 30% and 100% in women with 3+ PIDs. </w:t>
      </w:r>
      <w:r>
        <w:rPr>
          <w:rFonts w:cs="Times New Roman"/>
          <w:szCs w:val="24"/>
        </w:rPr>
        <w:t>Similar magnitudes of effect would be observed for models 2 and 3.</w:t>
      </w:r>
    </w:p>
    <w:p w:rsidR="007A0BDE" w:rsidRDefault="007A0BDE" w:rsidP="00282EDF">
      <w:pPr>
        <w:pStyle w:val="Tabletitle"/>
        <w:spacing w:line="480" w:lineRule="auto"/>
        <w:rPr>
          <w:rFonts w:ascii="Times New Roman" w:hAnsi="Times New Roman" w:cs="Times New Roman"/>
          <w:b/>
          <w:bCs/>
          <w:sz w:val="24"/>
        </w:rPr>
      </w:pPr>
    </w:p>
    <w:p w:rsidR="007A0BDE" w:rsidRDefault="007A0BDE" w:rsidP="00282EDF">
      <w:pPr>
        <w:spacing w:line="480" w:lineRule="auto"/>
        <w:rPr>
          <w:rFonts w:cs="Times New Roman"/>
          <w:b/>
          <w:bCs/>
          <w:szCs w:val="24"/>
        </w:rPr>
      </w:pPr>
      <w:r>
        <w:rPr>
          <w:rFonts w:cs="Times New Roman"/>
          <w:b/>
          <w:bCs/>
        </w:rPr>
        <w:br w:type="page"/>
      </w:r>
    </w:p>
    <w:p w:rsidR="007A0BDE" w:rsidRPr="007776D2" w:rsidRDefault="007A0BDE" w:rsidP="007A0BDE">
      <w:pPr>
        <w:pStyle w:val="Tabletitle"/>
        <w:rPr>
          <w:rFonts w:ascii="Times New Roman" w:hAnsi="Times New Roman" w:cs="Times New Roman"/>
          <w:bCs/>
          <w:sz w:val="24"/>
        </w:rPr>
      </w:pPr>
      <w:r w:rsidRPr="007776D2">
        <w:rPr>
          <w:rFonts w:ascii="Times New Roman" w:hAnsi="Times New Roman" w:cs="Times New Roman"/>
          <w:b/>
          <w:bCs/>
          <w:sz w:val="24"/>
        </w:rPr>
        <w:lastRenderedPageBreak/>
        <w:t xml:space="preserve">Table </w:t>
      </w:r>
      <w:r w:rsidR="00042D20">
        <w:rPr>
          <w:rFonts w:ascii="Times New Roman" w:hAnsi="Times New Roman" w:cs="Times New Roman"/>
          <w:b/>
          <w:bCs/>
          <w:sz w:val="24"/>
        </w:rPr>
        <w:t>S</w:t>
      </w:r>
      <w:bookmarkStart w:id="0" w:name="_GoBack"/>
      <w:bookmarkEnd w:id="0"/>
      <w:r>
        <w:rPr>
          <w:rFonts w:ascii="Times New Roman" w:hAnsi="Times New Roman" w:cs="Times New Roman"/>
          <w:b/>
          <w:bCs/>
          <w:sz w:val="24"/>
        </w:rPr>
        <w:t>4</w:t>
      </w:r>
      <w:r w:rsidRPr="007776D2">
        <w:rPr>
          <w:rFonts w:ascii="Times New Roman" w:hAnsi="Times New Roman" w:cs="Times New Roman"/>
          <w:b/>
          <w:bCs/>
          <w:sz w:val="24"/>
        </w:rPr>
        <w:t>.</w:t>
      </w:r>
      <w:r>
        <w:rPr>
          <w:rFonts w:ascii="Times New Roman" w:hAnsi="Times New Roman" w:cs="Times New Roman"/>
          <w:b/>
          <w:bCs/>
          <w:sz w:val="24"/>
        </w:rPr>
        <w:t>1</w:t>
      </w:r>
      <w:r w:rsidRPr="007776D2">
        <w:rPr>
          <w:rFonts w:ascii="Times New Roman" w:hAnsi="Times New Roman" w:cs="Times New Roman"/>
          <w:bCs/>
          <w:sz w:val="24"/>
        </w:rPr>
        <w:t xml:space="preserve">. Sensitivity analysis </w:t>
      </w:r>
      <w:r w:rsidRPr="007776D2">
        <w:rPr>
          <w:rFonts w:ascii="Times New Roman" w:hAnsi="Times New Roman" w:cs="Times New Roman"/>
          <w:sz w:val="24"/>
        </w:rPr>
        <w:t xml:space="preserve">of numbers of episodes from the Markov model. </w:t>
      </w:r>
      <w:r w:rsidR="00282EDF">
        <w:rPr>
          <w:rFonts w:ascii="Times New Roman" w:hAnsi="Times New Roman" w:cs="Times New Roman"/>
          <w:sz w:val="24"/>
        </w:rPr>
        <w:t>P</w:t>
      </w:r>
      <w:r w:rsidRPr="007776D2">
        <w:rPr>
          <w:rFonts w:ascii="Times New Roman" w:hAnsi="Times New Roman" w:cs="Times New Roman"/>
          <w:bCs/>
          <w:sz w:val="24"/>
        </w:rPr>
        <w:t>osterior mean % in each category (95% credible intervals)</w:t>
      </w:r>
    </w:p>
    <w:p w:rsidR="007A0BDE" w:rsidRPr="007776D2" w:rsidRDefault="007A0BDE" w:rsidP="007A0BDE">
      <w:pPr>
        <w:pStyle w:val="Tabletitle"/>
        <w:rPr>
          <w:rFonts w:ascii="Times New Roman" w:hAnsi="Times New Roman" w:cs="Times New Roman"/>
          <w:bCs/>
          <w:sz w:val="24"/>
        </w:rPr>
      </w:pPr>
    </w:p>
    <w:p w:rsidR="007A0BDE" w:rsidRPr="007776D2" w:rsidRDefault="007A0BDE" w:rsidP="007A0BDE">
      <w:pPr>
        <w:pStyle w:val="Tabletext"/>
        <w:numPr>
          <w:ilvl w:val="0"/>
          <w:numId w:val="1"/>
        </w:numPr>
        <w:ind w:left="284"/>
        <w:rPr>
          <w:rFonts w:ascii="Times New Roman" w:hAnsi="Times New Roman" w:cs="Times New Roman"/>
          <w:sz w:val="24"/>
        </w:rPr>
      </w:pPr>
      <w:r w:rsidRPr="007776D2">
        <w:rPr>
          <w:rFonts w:ascii="Times New Roman" w:hAnsi="Times New Roman" w:cs="Times New Roman"/>
          <w:sz w:val="24"/>
        </w:rPr>
        <w:t xml:space="preserve">PID rate ratio </w:t>
      </w:r>
      <w:r w:rsidRPr="007776D2">
        <w:rPr>
          <w:rFonts w:ascii="Times New Roman" w:hAnsi="Times New Roman" w:cs="Times New Roman"/>
          <w:position w:val="-10"/>
          <w:sz w:val="24"/>
        </w:rPr>
        <w:object w:dxaOrig="200" w:dyaOrig="260">
          <v:shape id="_x0000_i1032" type="#_x0000_t75" style="width:9.8pt;height:13.1pt" o:ole="">
            <v:imagedata r:id="rId17" o:title=""/>
          </v:shape>
          <o:OLEObject Type="Embed" ProgID="Equation.DSMT4" ShapeID="_x0000_i1032" DrawAspect="Content" ObjectID="_1533893589" r:id="rId18"/>
        </w:object>
      </w:r>
      <w:r w:rsidRPr="007776D2">
        <w:rPr>
          <w:rFonts w:ascii="Times New Roman" w:hAnsi="Times New Roman" w:cs="Times New Roman"/>
          <w:sz w:val="24"/>
        </w:rPr>
        <w:t xml:space="preserve"> halved</w:t>
      </w:r>
    </w:p>
    <w:p w:rsidR="007A0BDE" w:rsidRPr="007776D2" w:rsidRDefault="007A0BDE" w:rsidP="007A0BDE">
      <w:pPr>
        <w:pStyle w:val="Tabletext"/>
        <w:rPr>
          <w:rFonts w:ascii="Times New Roman" w:hAnsi="Times New Roman" w:cs="Times New Roman"/>
          <w:sz w:val="24"/>
        </w:rPr>
      </w:pPr>
    </w:p>
    <w:tbl>
      <w:tblPr>
        <w:tblW w:w="0" w:type="auto"/>
        <w:tblInd w:w="2" w:type="dxa"/>
        <w:tblLook w:val="04A0" w:firstRow="1" w:lastRow="0" w:firstColumn="1" w:lastColumn="0" w:noHBand="0" w:noVBand="1"/>
      </w:tblPr>
      <w:tblGrid>
        <w:gridCol w:w="1846"/>
        <w:gridCol w:w="1848"/>
        <w:gridCol w:w="1848"/>
        <w:gridCol w:w="1849"/>
        <w:gridCol w:w="1849"/>
      </w:tblGrid>
      <w:tr w:rsidR="007A0BDE" w:rsidRPr="007776D2" w:rsidTr="00906726">
        <w:tc>
          <w:tcPr>
            <w:tcW w:w="1846" w:type="dxa"/>
            <w:tcBorders>
              <w:top w:val="single" w:sz="4" w:space="0" w:color="auto"/>
              <w:left w:val="nil"/>
              <w:bottom w:val="single" w:sz="4" w:space="0" w:color="auto"/>
              <w:right w:val="nil"/>
            </w:tcBorders>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Age</w:t>
            </w:r>
          </w:p>
        </w:tc>
        <w:tc>
          <w:tcPr>
            <w:tcW w:w="1848" w:type="dxa"/>
            <w:tcBorders>
              <w:top w:val="single" w:sz="4" w:space="0" w:color="auto"/>
              <w:left w:val="nil"/>
              <w:bottom w:val="single" w:sz="4" w:space="0" w:color="auto"/>
              <w:right w:val="nil"/>
            </w:tcBorders>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0 PID</w:t>
            </w:r>
          </w:p>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episodes</w:t>
            </w:r>
          </w:p>
        </w:tc>
        <w:tc>
          <w:tcPr>
            <w:tcW w:w="1848" w:type="dxa"/>
            <w:tcBorders>
              <w:top w:val="single" w:sz="4" w:space="0" w:color="auto"/>
              <w:left w:val="nil"/>
              <w:bottom w:val="single" w:sz="4" w:space="0" w:color="auto"/>
              <w:right w:val="nil"/>
            </w:tcBorders>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1 PID</w:t>
            </w:r>
          </w:p>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episodes</w:t>
            </w:r>
          </w:p>
        </w:tc>
        <w:tc>
          <w:tcPr>
            <w:tcW w:w="1849" w:type="dxa"/>
            <w:tcBorders>
              <w:top w:val="single" w:sz="4" w:space="0" w:color="auto"/>
              <w:left w:val="nil"/>
              <w:bottom w:val="single" w:sz="4" w:space="0" w:color="auto"/>
              <w:right w:val="nil"/>
            </w:tcBorders>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2 PID</w:t>
            </w:r>
          </w:p>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episodes</w:t>
            </w:r>
          </w:p>
        </w:tc>
        <w:tc>
          <w:tcPr>
            <w:tcW w:w="1849" w:type="dxa"/>
            <w:tcBorders>
              <w:top w:val="single" w:sz="4" w:space="0" w:color="auto"/>
              <w:left w:val="nil"/>
              <w:bottom w:val="single" w:sz="4" w:space="0" w:color="auto"/>
              <w:right w:val="nil"/>
            </w:tcBorders>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3+ PID</w:t>
            </w:r>
          </w:p>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Episodes</w:t>
            </w:r>
          </w:p>
        </w:tc>
      </w:tr>
      <w:tr w:rsidR="007A0BDE" w:rsidRPr="007776D2" w:rsidTr="00906726">
        <w:tc>
          <w:tcPr>
            <w:tcW w:w="1846" w:type="dxa"/>
            <w:tcBorders>
              <w:top w:val="single" w:sz="4" w:space="0" w:color="auto"/>
              <w:left w:val="nil"/>
              <w:bottom w:val="nil"/>
              <w:right w:val="nil"/>
            </w:tcBorders>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All PID</w:t>
            </w:r>
          </w:p>
        </w:tc>
        <w:tc>
          <w:tcPr>
            <w:tcW w:w="1848" w:type="dxa"/>
            <w:tcBorders>
              <w:top w:val="single" w:sz="4" w:space="0" w:color="auto"/>
              <w:left w:val="nil"/>
              <w:bottom w:val="nil"/>
              <w:right w:val="nil"/>
            </w:tcBorders>
          </w:tcPr>
          <w:p w:rsidR="007A0BDE" w:rsidRPr="007776D2" w:rsidRDefault="007A0BDE" w:rsidP="00906726">
            <w:pPr>
              <w:pStyle w:val="Tabletext"/>
              <w:spacing w:line="276" w:lineRule="auto"/>
              <w:rPr>
                <w:rFonts w:ascii="Times New Roman" w:hAnsi="Times New Roman" w:cs="Times New Roman"/>
                <w:sz w:val="24"/>
                <w:lang w:val="en-US"/>
              </w:rPr>
            </w:pPr>
          </w:p>
        </w:tc>
        <w:tc>
          <w:tcPr>
            <w:tcW w:w="1848" w:type="dxa"/>
            <w:tcBorders>
              <w:top w:val="single" w:sz="4" w:space="0" w:color="auto"/>
              <w:left w:val="nil"/>
              <w:bottom w:val="nil"/>
              <w:right w:val="nil"/>
            </w:tcBorders>
          </w:tcPr>
          <w:p w:rsidR="007A0BDE" w:rsidRPr="007776D2" w:rsidRDefault="007A0BDE" w:rsidP="00906726">
            <w:pPr>
              <w:pStyle w:val="Tabletext"/>
              <w:spacing w:line="276" w:lineRule="auto"/>
              <w:rPr>
                <w:rFonts w:ascii="Times New Roman" w:hAnsi="Times New Roman" w:cs="Times New Roman"/>
                <w:sz w:val="24"/>
                <w:lang w:val="en-US"/>
              </w:rPr>
            </w:pPr>
          </w:p>
        </w:tc>
        <w:tc>
          <w:tcPr>
            <w:tcW w:w="1849" w:type="dxa"/>
            <w:tcBorders>
              <w:top w:val="single" w:sz="4" w:space="0" w:color="auto"/>
              <w:left w:val="nil"/>
              <w:bottom w:val="nil"/>
              <w:right w:val="nil"/>
            </w:tcBorders>
          </w:tcPr>
          <w:p w:rsidR="007A0BDE" w:rsidRPr="007776D2" w:rsidRDefault="007A0BDE" w:rsidP="00906726">
            <w:pPr>
              <w:pStyle w:val="Tabletext"/>
              <w:spacing w:line="276" w:lineRule="auto"/>
              <w:rPr>
                <w:rFonts w:ascii="Times New Roman" w:hAnsi="Times New Roman" w:cs="Times New Roman"/>
                <w:sz w:val="24"/>
                <w:lang w:val="en-US"/>
              </w:rPr>
            </w:pPr>
          </w:p>
        </w:tc>
        <w:tc>
          <w:tcPr>
            <w:tcW w:w="1849" w:type="dxa"/>
            <w:tcBorders>
              <w:top w:val="single" w:sz="4" w:space="0" w:color="auto"/>
              <w:left w:val="nil"/>
              <w:bottom w:val="nil"/>
              <w:right w:val="nil"/>
            </w:tcBorders>
          </w:tcPr>
          <w:p w:rsidR="007A0BDE" w:rsidRPr="007776D2" w:rsidRDefault="007A0BDE" w:rsidP="00906726">
            <w:pPr>
              <w:pStyle w:val="Tabletext"/>
              <w:spacing w:line="276" w:lineRule="auto"/>
              <w:rPr>
                <w:rFonts w:ascii="Times New Roman" w:hAnsi="Times New Roman" w:cs="Times New Roman"/>
                <w:sz w:val="24"/>
                <w:lang w:val="en-US"/>
              </w:rPr>
            </w:pPr>
          </w:p>
        </w:tc>
      </w:tr>
      <w:tr w:rsidR="007A0BDE" w:rsidRPr="007776D2" w:rsidTr="00906726">
        <w:tc>
          <w:tcPr>
            <w:tcW w:w="1846" w:type="dxa"/>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16-19</w:t>
            </w:r>
          </w:p>
        </w:tc>
        <w:tc>
          <w:tcPr>
            <w:tcW w:w="1848" w:type="dxa"/>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95.3 (93.7,96.5)</w:t>
            </w:r>
          </w:p>
        </w:tc>
        <w:tc>
          <w:tcPr>
            <w:tcW w:w="1848" w:type="dxa"/>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4.45 (3.30,5.85)</w:t>
            </w:r>
          </w:p>
        </w:tc>
        <w:tc>
          <w:tcPr>
            <w:tcW w:w="1849" w:type="dxa"/>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0.28 (0.12,0.55)</w:t>
            </w:r>
          </w:p>
        </w:tc>
        <w:tc>
          <w:tcPr>
            <w:tcW w:w="1849" w:type="dxa"/>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0.01 (0.00,0.04)</w:t>
            </w:r>
          </w:p>
        </w:tc>
      </w:tr>
      <w:tr w:rsidR="007A0BDE" w:rsidRPr="007776D2" w:rsidTr="00906726">
        <w:tc>
          <w:tcPr>
            <w:tcW w:w="1846" w:type="dxa"/>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20-24</w:t>
            </w:r>
          </w:p>
        </w:tc>
        <w:tc>
          <w:tcPr>
            <w:tcW w:w="1848" w:type="dxa"/>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85.6 (81.1,89.3)</w:t>
            </w:r>
          </w:p>
        </w:tc>
        <w:tc>
          <w:tcPr>
            <w:tcW w:w="1848" w:type="dxa"/>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12.3 (9.47,15.4)</w:t>
            </w:r>
          </w:p>
        </w:tc>
        <w:tc>
          <w:tcPr>
            <w:tcW w:w="1849" w:type="dxa"/>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1.88 (0.95,3.26)</w:t>
            </w:r>
          </w:p>
        </w:tc>
        <w:tc>
          <w:tcPr>
            <w:tcW w:w="1849" w:type="dxa"/>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0.28 (0.07,0.76)</w:t>
            </w:r>
          </w:p>
        </w:tc>
      </w:tr>
      <w:tr w:rsidR="007A0BDE" w:rsidRPr="007776D2" w:rsidTr="00906726">
        <w:tc>
          <w:tcPr>
            <w:tcW w:w="1846" w:type="dxa"/>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25-34</w:t>
            </w:r>
          </w:p>
        </w:tc>
        <w:tc>
          <w:tcPr>
            <w:tcW w:w="1848" w:type="dxa"/>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73.3 (65.2,80.2)</w:t>
            </w:r>
          </w:p>
        </w:tc>
        <w:tc>
          <w:tcPr>
            <w:tcW w:w="1848" w:type="dxa"/>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20.6 (16.4,25.1)</w:t>
            </w:r>
          </w:p>
        </w:tc>
        <w:tc>
          <w:tcPr>
            <w:tcW w:w="1849" w:type="dxa"/>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4.85 (2.66,7.82)</w:t>
            </w:r>
          </w:p>
        </w:tc>
        <w:tc>
          <w:tcPr>
            <w:tcW w:w="1849" w:type="dxa"/>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1.21 (0.35,3.01)</w:t>
            </w:r>
          </w:p>
        </w:tc>
      </w:tr>
      <w:tr w:rsidR="007A0BDE" w:rsidRPr="007776D2" w:rsidTr="00906726">
        <w:tc>
          <w:tcPr>
            <w:tcW w:w="1846" w:type="dxa"/>
            <w:tcBorders>
              <w:bottom w:val="single" w:sz="4" w:space="0" w:color="auto"/>
            </w:tcBorders>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35-44</w:t>
            </w:r>
          </w:p>
        </w:tc>
        <w:tc>
          <w:tcPr>
            <w:tcW w:w="1848" w:type="dxa"/>
            <w:tcBorders>
              <w:bottom w:val="single" w:sz="4" w:space="0" w:color="auto"/>
            </w:tcBorders>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63.9 (54.1,72.3)</w:t>
            </w:r>
          </w:p>
        </w:tc>
        <w:tc>
          <w:tcPr>
            <w:tcW w:w="1848" w:type="dxa"/>
            <w:tcBorders>
              <w:bottom w:val="single" w:sz="4" w:space="0" w:color="auto"/>
            </w:tcBorders>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26.1 (21.8,30.3)</w:t>
            </w:r>
          </w:p>
        </w:tc>
        <w:tc>
          <w:tcPr>
            <w:tcW w:w="1849" w:type="dxa"/>
            <w:tcBorders>
              <w:bottom w:val="single" w:sz="4" w:space="0" w:color="auto"/>
            </w:tcBorders>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7.65 (4.59,11.5)</w:t>
            </w:r>
          </w:p>
        </w:tc>
        <w:tc>
          <w:tcPr>
            <w:tcW w:w="1849" w:type="dxa"/>
            <w:tcBorders>
              <w:bottom w:val="single" w:sz="4" w:space="0" w:color="auto"/>
            </w:tcBorders>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2.37 (0.82,0.54)</w:t>
            </w:r>
          </w:p>
        </w:tc>
      </w:tr>
    </w:tbl>
    <w:p w:rsidR="007A0BDE" w:rsidRPr="007776D2" w:rsidRDefault="007A0BDE" w:rsidP="007A0BDE"/>
    <w:p w:rsidR="007A0BDE" w:rsidRPr="007776D2" w:rsidRDefault="007A0BDE" w:rsidP="007A0BDE">
      <w:pPr>
        <w:pStyle w:val="Tabletext"/>
        <w:numPr>
          <w:ilvl w:val="0"/>
          <w:numId w:val="1"/>
        </w:numPr>
        <w:ind w:left="360"/>
        <w:rPr>
          <w:rFonts w:ascii="Times New Roman" w:hAnsi="Times New Roman" w:cs="Times New Roman"/>
          <w:sz w:val="24"/>
        </w:rPr>
      </w:pPr>
      <w:r w:rsidRPr="007776D2">
        <w:rPr>
          <w:rFonts w:ascii="Times New Roman" w:hAnsi="Times New Roman" w:cs="Times New Roman"/>
          <w:sz w:val="24"/>
        </w:rPr>
        <w:t xml:space="preserve">PID rate ratio </w:t>
      </w:r>
      <w:r w:rsidRPr="007776D2">
        <w:rPr>
          <w:rFonts w:ascii="Times New Roman" w:hAnsi="Times New Roman" w:cs="Times New Roman"/>
          <w:position w:val="-10"/>
          <w:sz w:val="24"/>
        </w:rPr>
        <w:object w:dxaOrig="200" w:dyaOrig="260">
          <v:shape id="_x0000_i1033" type="#_x0000_t75" style="width:9.8pt;height:13.1pt" o:ole="">
            <v:imagedata r:id="rId17" o:title=""/>
          </v:shape>
          <o:OLEObject Type="Embed" ProgID="Equation.DSMT4" ShapeID="_x0000_i1033" DrawAspect="Content" ObjectID="_1533893590" r:id="rId19"/>
        </w:object>
      </w:r>
      <w:r w:rsidRPr="007776D2">
        <w:rPr>
          <w:rFonts w:ascii="Times New Roman" w:hAnsi="Times New Roman" w:cs="Times New Roman"/>
          <w:sz w:val="24"/>
        </w:rPr>
        <w:t xml:space="preserve"> doubled</w:t>
      </w:r>
    </w:p>
    <w:p w:rsidR="007A0BDE" w:rsidRPr="007776D2" w:rsidRDefault="007A0BDE" w:rsidP="007A0BDE">
      <w:pPr>
        <w:pStyle w:val="Tabletext"/>
        <w:rPr>
          <w:rFonts w:ascii="Times New Roman" w:hAnsi="Times New Roman" w:cs="Times New Roman"/>
          <w:sz w:val="24"/>
        </w:rPr>
      </w:pPr>
    </w:p>
    <w:tbl>
      <w:tblPr>
        <w:tblW w:w="0" w:type="auto"/>
        <w:tblInd w:w="2" w:type="dxa"/>
        <w:tblLook w:val="04A0" w:firstRow="1" w:lastRow="0" w:firstColumn="1" w:lastColumn="0" w:noHBand="0" w:noVBand="1"/>
      </w:tblPr>
      <w:tblGrid>
        <w:gridCol w:w="1846"/>
        <w:gridCol w:w="1848"/>
        <w:gridCol w:w="1848"/>
        <w:gridCol w:w="1849"/>
        <w:gridCol w:w="1849"/>
      </w:tblGrid>
      <w:tr w:rsidR="007A0BDE" w:rsidRPr="007776D2" w:rsidTr="00906726">
        <w:tc>
          <w:tcPr>
            <w:tcW w:w="1846" w:type="dxa"/>
            <w:tcBorders>
              <w:top w:val="single" w:sz="4" w:space="0" w:color="auto"/>
              <w:left w:val="nil"/>
              <w:bottom w:val="single" w:sz="4" w:space="0" w:color="auto"/>
              <w:right w:val="nil"/>
            </w:tcBorders>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Age</w:t>
            </w:r>
          </w:p>
        </w:tc>
        <w:tc>
          <w:tcPr>
            <w:tcW w:w="1848" w:type="dxa"/>
            <w:tcBorders>
              <w:top w:val="single" w:sz="4" w:space="0" w:color="auto"/>
              <w:left w:val="nil"/>
              <w:bottom w:val="single" w:sz="4" w:space="0" w:color="auto"/>
              <w:right w:val="nil"/>
            </w:tcBorders>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0 PID</w:t>
            </w:r>
          </w:p>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Episodes</w:t>
            </w:r>
          </w:p>
        </w:tc>
        <w:tc>
          <w:tcPr>
            <w:tcW w:w="1848" w:type="dxa"/>
            <w:tcBorders>
              <w:top w:val="single" w:sz="4" w:space="0" w:color="auto"/>
              <w:left w:val="nil"/>
              <w:bottom w:val="single" w:sz="4" w:space="0" w:color="auto"/>
              <w:right w:val="nil"/>
            </w:tcBorders>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1 PID</w:t>
            </w:r>
          </w:p>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episodes</w:t>
            </w:r>
          </w:p>
        </w:tc>
        <w:tc>
          <w:tcPr>
            <w:tcW w:w="1849" w:type="dxa"/>
            <w:tcBorders>
              <w:top w:val="single" w:sz="4" w:space="0" w:color="auto"/>
              <w:left w:val="nil"/>
              <w:bottom w:val="single" w:sz="4" w:space="0" w:color="auto"/>
              <w:right w:val="nil"/>
            </w:tcBorders>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2 PID</w:t>
            </w:r>
          </w:p>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episodes</w:t>
            </w:r>
          </w:p>
        </w:tc>
        <w:tc>
          <w:tcPr>
            <w:tcW w:w="1849" w:type="dxa"/>
            <w:tcBorders>
              <w:top w:val="single" w:sz="4" w:space="0" w:color="auto"/>
              <w:left w:val="nil"/>
              <w:bottom w:val="single" w:sz="4" w:space="0" w:color="auto"/>
              <w:right w:val="nil"/>
            </w:tcBorders>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3+ PID</w:t>
            </w:r>
          </w:p>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Episodes</w:t>
            </w:r>
          </w:p>
        </w:tc>
      </w:tr>
      <w:tr w:rsidR="007A0BDE" w:rsidRPr="007776D2" w:rsidTr="00906726">
        <w:tc>
          <w:tcPr>
            <w:tcW w:w="1846" w:type="dxa"/>
            <w:tcBorders>
              <w:top w:val="single" w:sz="4" w:space="0" w:color="auto"/>
              <w:left w:val="nil"/>
              <w:bottom w:val="nil"/>
              <w:right w:val="nil"/>
            </w:tcBorders>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All PID</w:t>
            </w:r>
          </w:p>
        </w:tc>
        <w:tc>
          <w:tcPr>
            <w:tcW w:w="1848" w:type="dxa"/>
            <w:tcBorders>
              <w:top w:val="single" w:sz="4" w:space="0" w:color="auto"/>
              <w:left w:val="nil"/>
              <w:bottom w:val="nil"/>
              <w:right w:val="nil"/>
            </w:tcBorders>
          </w:tcPr>
          <w:p w:rsidR="007A0BDE" w:rsidRPr="007776D2" w:rsidRDefault="007A0BDE" w:rsidP="00906726">
            <w:pPr>
              <w:pStyle w:val="Tabletext"/>
              <w:spacing w:line="276" w:lineRule="auto"/>
              <w:rPr>
                <w:rFonts w:ascii="Times New Roman" w:hAnsi="Times New Roman" w:cs="Times New Roman"/>
                <w:sz w:val="24"/>
                <w:lang w:val="en-US"/>
              </w:rPr>
            </w:pPr>
          </w:p>
        </w:tc>
        <w:tc>
          <w:tcPr>
            <w:tcW w:w="1848" w:type="dxa"/>
            <w:tcBorders>
              <w:top w:val="single" w:sz="4" w:space="0" w:color="auto"/>
              <w:left w:val="nil"/>
              <w:bottom w:val="nil"/>
              <w:right w:val="nil"/>
            </w:tcBorders>
          </w:tcPr>
          <w:p w:rsidR="007A0BDE" w:rsidRPr="007776D2" w:rsidRDefault="007A0BDE" w:rsidP="00906726">
            <w:pPr>
              <w:pStyle w:val="Tabletext"/>
              <w:spacing w:line="276" w:lineRule="auto"/>
              <w:rPr>
                <w:rFonts w:ascii="Times New Roman" w:hAnsi="Times New Roman" w:cs="Times New Roman"/>
                <w:sz w:val="24"/>
                <w:lang w:val="en-US"/>
              </w:rPr>
            </w:pPr>
          </w:p>
        </w:tc>
        <w:tc>
          <w:tcPr>
            <w:tcW w:w="1849" w:type="dxa"/>
            <w:tcBorders>
              <w:top w:val="single" w:sz="4" w:space="0" w:color="auto"/>
              <w:left w:val="nil"/>
              <w:bottom w:val="nil"/>
              <w:right w:val="nil"/>
            </w:tcBorders>
          </w:tcPr>
          <w:p w:rsidR="007A0BDE" w:rsidRPr="007776D2" w:rsidRDefault="007A0BDE" w:rsidP="00906726">
            <w:pPr>
              <w:pStyle w:val="Tabletext"/>
              <w:spacing w:line="276" w:lineRule="auto"/>
              <w:rPr>
                <w:rFonts w:ascii="Times New Roman" w:hAnsi="Times New Roman" w:cs="Times New Roman"/>
                <w:sz w:val="24"/>
                <w:lang w:val="en-US"/>
              </w:rPr>
            </w:pPr>
          </w:p>
        </w:tc>
        <w:tc>
          <w:tcPr>
            <w:tcW w:w="1849" w:type="dxa"/>
            <w:tcBorders>
              <w:top w:val="single" w:sz="4" w:space="0" w:color="auto"/>
              <w:left w:val="nil"/>
              <w:bottom w:val="nil"/>
              <w:right w:val="nil"/>
            </w:tcBorders>
          </w:tcPr>
          <w:p w:rsidR="007A0BDE" w:rsidRPr="007776D2" w:rsidRDefault="007A0BDE" w:rsidP="00906726">
            <w:pPr>
              <w:pStyle w:val="Tabletext"/>
              <w:spacing w:line="276" w:lineRule="auto"/>
              <w:rPr>
                <w:rFonts w:ascii="Times New Roman" w:hAnsi="Times New Roman" w:cs="Times New Roman"/>
                <w:sz w:val="24"/>
                <w:lang w:val="en-US"/>
              </w:rPr>
            </w:pPr>
          </w:p>
        </w:tc>
      </w:tr>
      <w:tr w:rsidR="007A0BDE" w:rsidRPr="007776D2" w:rsidTr="00906726">
        <w:tc>
          <w:tcPr>
            <w:tcW w:w="1846" w:type="dxa"/>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16-19</w:t>
            </w:r>
          </w:p>
        </w:tc>
        <w:tc>
          <w:tcPr>
            <w:tcW w:w="1848" w:type="dxa"/>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96.3 (95.0,97.3)</w:t>
            </w:r>
          </w:p>
        </w:tc>
        <w:tc>
          <w:tcPr>
            <w:tcW w:w="1848" w:type="dxa"/>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3.12 (2.36,4.04)</w:t>
            </w:r>
          </w:p>
        </w:tc>
        <w:tc>
          <w:tcPr>
            <w:tcW w:w="1849" w:type="dxa"/>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0.55 (0.26,0.99)</w:t>
            </w:r>
          </w:p>
        </w:tc>
        <w:tc>
          <w:tcPr>
            <w:tcW w:w="1849" w:type="dxa"/>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0.07 (0.02,0.20)</w:t>
            </w:r>
          </w:p>
        </w:tc>
      </w:tr>
      <w:tr w:rsidR="007A0BDE" w:rsidRPr="007776D2" w:rsidTr="00906726">
        <w:tc>
          <w:tcPr>
            <w:tcW w:w="1846" w:type="dxa"/>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20-24</w:t>
            </w:r>
          </w:p>
        </w:tc>
        <w:tc>
          <w:tcPr>
            <w:tcW w:w="1848" w:type="dxa"/>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88.5 (84.8,91.5)</w:t>
            </w:r>
          </w:p>
        </w:tc>
        <w:tc>
          <w:tcPr>
            <w:tcW w:w="1848" w:type="dxa"/>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7.71 (5.89,9.82)</w:t>
            </w:r>
          </w:p>
        </w:tc>
        <w:tc>
          <w:tcPr>
            <w:tcW w:w="1849" w:type="dxa"/>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2.60 (1.50,3.89)</w:t>
            </w:r>
          </w:p>
        </w:tc>
        <w:tc>
          <w:tcPr>
            <w:tcW w:w="1849" w:type="dxa"/>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1.21 (0.33,2.98)</w:t>
            </w:r>
          </w:p>
        </w:tc>
      </w:tr>
      <w:tr w:rsidR="007A0BDE" w:rsidRPr="007776D2" w:rsidTr="00906726">
        <w:tc>
          <w:tcPr>
            <w:tcW w:w="1846" w:type="dxa"/>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25-34</w:t>
            </w:r>
          </w:p>
        </w:tc>
        <w:tc>
          <w:tcPr>
            <w:tcW w:w="1848" w:type="dxa"/>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78.4 (71.4,84.1)</w:t>
            </w:r>
          </w:p>
        </w:tc>
        <w:tc>
          <w:tcPr>
            <w:tcW w:w="1848" w:type="dxa"/>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12.9 (9.67,16.3)</w:t>
            </w:r>
          </w:p>
        </w:tc>
        <w:tc>
          <w:tcPr>
            <w:tcW w:w="1849" w:type="dxa"/>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5.20 (3.25,7.27)</w:t>
            </w:r>
          </w:p>
        </w:tc>
        <w:tc>
          <w:tcPr>
            <w:tcW w:w="1849" w:type="dxa"/>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3.57 (1.05,8.48)</w:t>
            </w:r>
          </w:p>
        </w:tc>
      </w:tr>
      <w:tr w:rsidR="007A0BDE" w:rsidRPr="007776D2" w:rsidTr="00906726">
        <w:tc>
          <w:tcPr>
            <w:tcW w:w="1846" w:type="dxa"/>
            <w:tcBorders>
              <w:bottom w:val="single" w:sz="4" w:space="0" w:color="auto"/>
            </w:tcBorders>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35-44</w:t>
            </w:r>
          </w:p>
        </w:tc>
        <w:tc>
          <w:tcPr>
            <w:tcW w:w="1848" w:type="dxa"/>
            <w:tcBorders>
              <w:bottom w:val="single" w:sz="4" w:space="0" w:color="auto"/>
            </w:tcBorders>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70.3 (61.8,77.6)</w:t>
            </w:r>
          </w:p>
        </w:tc>
        <w:tc>
          <w:tcPr>
            <w:tcW w:w="1848" w:type="dxa"/>
            <w:tcBorders>
              <w:bottom w:val="single" w:sz="4" w:space="0" w:color="auto"/>
            </w:tcBorders>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17.0 (13.1,21.0)</w:t>
            </w:r>
          </w:p>
        </w:tc>
        <w:tc>
          <w:tcPr>
            <w:tcW w:w="1849" w:type="dxa"/>
            <w:tcBorders>
              <w:bottom w:val="single" w:sz="4" w:space="0" w:color="auto"/>
            </w:tcBorders>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7.26 (4.82,9.71)</w:t>
            </w:r>
          </w:p>
        </w:tc>
        <w:tc>
          <w:tcPr>
            <w:tcW w:w="1849" w:type="dxa"/>
            <w:tcBorders>
              <w:bottom w:val="single" w:sz="4" w:space="0" w:color="auto"/>
            </w:tcBorders>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5.41 (1.75,12.3)</w:t>
            </w:r>
          </w:p>
        </w:tc>
      </w:tr>
    </w:tbl>
    <w:p w:rsidR="007A0BDE" w:rsidRPr="007776D2" w:rsidRDefault="007A0BDE" w:rsidP="007A0BDE"/>
    <w:p w:rsidR="007A0BDE" w:rsidRPr="007776D2" w:rsidRDefault="007A0BDE" w:rsidP="007A0BDE">
      <w:pPr>
        <w:pStyle w:val="Tabletext"/>
        <w:numPr>
          <w:ilvl w:val="0"/>
          <w:numId w:val="1"/>
        </w:numPr>
        <w:ind w:left="360"/>
        <w:rPr>
          <w:rFonts w:ascii="Times New Roman" w:hAnsi="Times New Roman" w:cs="Times New Roman"/>
          <w:sz w:val="24"/>
        </w:rPr>
      </w:pPr>
      <w:r w:rsidRPr="007776D2">
        <w:rPr>
          <w:rFonts w:ascii="Times New Roman" w:hAnsi="Times New Roman" w:cs="Times New Roman"/>
          <w:sz w:val="24"/>
        </w:rPr>
        <w:t xml:space="preserve">PID rate ratio </w:t>
      </w:r>
      <w:r w:rsidRPr="007776D2">
        <w:rPr>
          <w:rFonts w:ascii="Times New Roman" w:hAnsi="Times New Roman" w:cs="Times New Roman"/>
          <w:position w:val="-10"/>
          <w:sz w:val="24"/>
        </w:rPr>
        <w:object w:dxaOrig="520" w:dyaOrig="320">
          <v:shape id="_x0000_i1034" type="#_x0000_t75" style="width:26.2pt;height:17pt" o:ole="">
            <v:imagedata r:id="rId20" o:title=""/>
          </v:shape>
          <o:OLEObject Type="Embed" ProgID="Equation.DSMT4" ShapeID="_x0000_i1034" DrawAspect="Content" ObjectID="_1533893591" r:id="rId21"/>
        </w:object>
      </w:r>
    </w:p>
    <w:p w:rsidR="007A0BDE" w:rsidRPr="007776D2" w:rsidRDefault="007A0BDE" w:rsidP="007A0BDE">
      <w:pPr>
        <w:pStyle w:val="Tabletext"/>
        <w:rPr>
          <w:rFonts w:ascii="Times New Roman" w:hAnsi="Times New Roman" w:cs="Times New Roman"/>
          <w:sz w:val="24"/>
        </w:rPr>
      </w:pPr>
    </w:p>
    <w:tbl>
      <w:tblPr>
        <w:tblW w:w="0" w:type="auto"/>
        <w:tblInd w:w="2" w:type="dxa"/>
        <w:tblLook w:val="04A0" w:firstRow="1" w:lastRow="0" w:firstColumn="1" w:lastColumn="0" w:noHBand="0" w:noVBand="1"/>
      </w:tblPr>
      <w:tblGrid>
        <w:gridCol w:w="1846"/>
        <w:gridCol w:w="1848"/>
        <w:gridCol w:w="1848"/>
        <w:gridCol w:w="1849"/>
        <w:gridCol w:w="1849"/>
      </w:tblGrid>
      <w:tr w:rsidR="007A0BDE" w:rsidRPr="007776D2" w:rsidTr="00906726">
        <w:tc>
          <w:tcPr>
            <w:tcW w:w="1846" w:type="dxa"/>
            <w:tcBorders>
              <w:top w:val="single" w:sz="4" w:space="0" w:color="auto"/>
              <w:left w:val="nil"/>
              <w:bottom w:val="single" w:sz="4" w:space="0" w:color="auto"/>
              <w:right w:val="nil"/>
            </w:tcBorders>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Age</w:t>
            </w:r>
          </w:p>
        </w:tc>
        <w:tc>
          <w:tcPr>
            <w:tcW w:w="1848" w:type="dxa"/>
            <w:tcBorders>
              <w:top w:val="single" w:sz="4" w:space="0" w:color="auto"/>
              <w:left w:val="nil"/>
              <w:bottom w:val="single" w:sz="4" w:space="0" w:color="auto"/>
              <w:right w:val="nil"/>
            </w:tcBorders>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0 PID</w:t>
            </w:r>
          </w:p>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episodes</w:t>
            </w:r>
          </w:p>
        </w:tc>
        <w:tc>
          <w:tcPr>
            <w:tcW w:w="1848" w:type="dxa"/>
            <w:tcBorders>
              <w:top w:val="single" w:sz="4" w:space="0" w:color="auto"/>
              <w:left w:val="nil"/>
              <w:bottom w:val="single" w:sz="4" w:space="0" w:color="auto"/>
              <w:right w:val="nil"/>
            </w:tcBorders>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1 PID</w:t>
            </w:r>
          </w:p>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Episodes</w:t>
            </w:r>
          </w:p>
        </w:tc>
        <w:tc>
          <w:tcPr>
            <w:tcW w:w="1849" w:type="dxa"/>
            <w:tcBorders>
              <w:top w:val="single" w:sz="4" w:space="0" w:color="auto"/>
              <w:left w:val="nil"/>
              <w:bottom w:val="single" w:sz="4" w:space="0" w:color="auto"/>
              <w:right w:val="nil"/>
            </w:tcBorders>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2 PID</w:t>
            </w:r>
          </w:p>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Episodes</w:t>
            </w:r>
          </w:p>
        </w:tc>
        <w:tc>
          <w:tcPr>
            <w:tcW w:w="1849" w:type="dxa"/>
            <w:tcBorders>
              <w:top w:val="single" w:sz="4" w:space="0" w:color="auto"/>
              <w:left w:val="nil"/>
              <w:bottom w:val="single" w:sz="4" w:space="0" w:color="auto"/>
              <w:right w:val="nil"/>
            </w:tcBorders>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3+ PID</w:t>
            </w:r>
          </w:p>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Episodes</w:t>
            </w:r>
          </w:p>
        </w:tc>
      </w:tr>
      <w:tr w:rsidR="007A0BDE" w:rsidRPr="007776D2" w:rsidTr="00906726">
        <w:tc>
          <w:tcPr>
            <w:tcW w:w="1846" w:type="dxa"/>
            <w:tcBorders>
              <w:top w:val="single" w:sz="4" w:space="0" w:color="auto"/>
              <w:left w:val="nil"/>
              <w:bottom w:val="nil"/>
              <w:right w:val="nil"/>
            </w:tcBorders>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All PID</w:t>
            </w:r>
          </w:p>
        </w:tc>
        <w:tc>
          <w:tcPr>
            <w:tcW w:w="1848" w:type="dxa"/>
            <w:tcBorders>
              <w:top w:val="single" w:sz="4" w:space="0" w:color="auto"/>
              <w:left w:val="nil"/>
              <w:bottom w:val="nil"/>
              <w:right w:val="nil"/>
            </w:tcBorders>
          </w:tcPr>
          <w:p w:rsidR="007A0BDE" w:rsidRPr="007776D2" w:rsidRDefault="007A0BDE" w:rsidP="00906726">
            <w:pPr>
              <w:pStyle w:val="Tabletext"/>
              <w:spacing w:line="276" w:lineRule="auto"/>
              <w:rPr>
                <w:rFonts w:ascii="Times New Roman" w:hAnsi="Times New Roman" w:cs="Times New Roman"/>
                <w:sz w:val="24"/>
                <w:lang w:val="en-US"/>
              </w:rPr>
            </w:pPr>
          </w:p>
        </w:tc>
        <w:tc>
          <w:tcPr>
            <w:tcW w:w="1848" w:type="dxa"/>
            <w:tcBorders>
              <w:top w:val="single" w:sz="4" w:space="0" w:color="auto"/>
              <w:left w:val="nil"/>
              <w:bottom w:val="nil"/>
              <w:right w:val="nil"/>
            </w:tcBorders>
          </w:tcPr>
          <w:p w:rsidR="007A0BDE" w:rsidRPr="007776D2" w:rsidRDefault="007A0BDE" w:rsidP="00906726">
            <w:pPr>
              <w:pStyle w:val="Tabletext"/>
              <w:spacing w:line="276" w:lineRule="auto"/>
              <w:rPr>
                <w:rFonts w:ascii="Times New Roman" w:hAnsi="Times New Roman" w:cs="Times New Roman"/>
                <w:sz w:val="24"/>
                <w:lang w:val="en-US"/>
              </w:rPr>
            </w:pPr>
          </w:p>
        </w:tc>
        <w:tc>
          <w:tcPr>
            <w:tcW w:w="1849" w:type="dxa"/>
            <w:tcBorders>
              <w:top w:val="single" w:sz="4" w:space="0" w:color="auto"/>
              <w:left w:val="nil"/>
              <w:bottom w:val="nil"/>
              <w:right w:val="nil"/>
            </w:tcBorders>
          </w:tcPr>
          <w:p w:rsidR="007A0BDE" w:rsidRPr="007776D2" w:rsidRDefault="007A0BDE" w:rsidP="00906726">
            <w:pPr>
              <w:pStyle w:val="Tabletext"/>
              <w:spacing w:line="276" w:lineRule="auto"/>
              <w:rPr>
                <w:rFonts w:ascii="Times New Roman" w:hAnsi="Times New Roman" w:cs="Times New Roman"/>
                <w:sz w:val="24"/>
                <w:lang w:val="en-US"/>
              </w:rPr>
            </w:pPr>
          </w:p>
        </w:tc>
        <w:tc>
          <w:tcPr>
            <w:tcW w:w="1849" w:type="dxa"/>
            <w:tcBorders>
              <w:top w:val="single" w:sz="4" w:space="0" w:color="auto"/>
              <w:left w:val="nil"/>
              <w:bottom w:val="nil"/>
              <w:right w:val="nil"/>
            </w:tcBorders>
          </w:tcPr>
          <w:p w:rsidR="007A0BDE" w:rsidRPr="007776D2" w:rsidRDefault="007A0BDE" w:rsidP="00906726">
            <w:pPr>
              <w:pStyle w:val="Tabletext"/>
              <w:spacing w:line="276" w:lineRule="auto"/>
              <w:rPr>
                <w:rFonts w:ascii="Times New Roman" w:hAnsi="Times New Roman" w:cs="Times New Roman"/>
                <w:sz w:val="24"/>
                <w:lang w:val="en-US"/>
              </w:rPr>
            </w:pPr>
          </w:p>
        </w:tc>
      </w:tr>
      <w:tr w:rsidR="007A0BDE" w:rsidRPr="007776D2" w:rsidTr="00906726">
        <w:tc>
          <w:tcPr>
            <w:tcW w:w="1846" w:type="dxa"/>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16-19</w:t>
            </w:r>
          </w:p>
        </w:tc>
        <w:tc>
          <w:tcPr>
            <w:tcW w:w="1848" w:type="dxa"/>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94.9 (93.2,96.3)</w:t>
            </w:r>
          </w:p>
        </w:tc>
        <w:tc>
          <w:tcPr>
            <w:tcW w:w="1848" w:type="dxa"/>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4.99 (3.66,6.62)</w:t>
            </w:r>
          </w:p>
        </w:tc>
        <w:tc>
          <w:tcPr>
            <w:tcW w:w="1849" w:type="dxa"/>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0.11 (0.06,0.19)</w:t>
            </w:r>
          </w:p>
        </w:tc>
        <w:tc>
          <w:tcPr>
            <w:tcW w:w="1849" w:type="dxa"/>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0.00 (0.00,0.00)</w:t>
            </w:r>
          </w:p>
        </w:tc>
      </w:tr>
      <w:tr w:rsidR="007A0BDE" w:rsidRPr="007776D2" w:rsidTr="00906726">
        <w:tc>
          <w:tcPr>
            <w:tcW w:w="1846" w:type="dxa"/>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20-24</w:t>
            </w:r>
          </w:p>
        </w:tc>
        <w:tc>
          <w:tcPr>
            <w:tcW w:w="1848" w:type="dxa"/>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84.6 (79.8,88.6)</w:t>
            </w:r>
          </w:p>
        </w:tc>
        <w:tc>
          <w:tcPr>
            <w:tcW w:w="1848" w:type="dxa"/>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14.2 (10.8,18.2)</w:t>
            </w:r>
          </w:p>
        </w:tc>
        <w:tc>
          <w:tcPr>
            <w:tcW w:w="1849" w:type="dxa"/>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1.11 (0.60,1.88)</w:t>
            </w:r>
          </w:p>
        </w:tc>
        <w:tc>
          <w:tcPr>
            <w:tcW w:w="1849" w:type="dxa"/>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0.06 (0.02,0.12)</w:t>
            </w:r>
          </w:p>
        </w:tc>
      </w:tr>
      <w:tr w:rsidR="007A0BDE" w:rsidRPr="007776D2" w:rsidTr="00906726">
        <w:tc>
          <w:tcPr>
            <w:tcW w:w="1846" w:type="dxa"/>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25-34</w:t>
            </w:r>
          </w:p>
        </w:tc>
        <w:tc>
          <w:tcPr>
            <w:tcW w:w="1848" w:type="dxa"/>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71.7 (63.1,78.9)</w:t>
            </w:r>
          </w:p>
        </w:tc>
        <w:tc>
          <w:tcPr>
            <w:tcW w:w="1848" w:type="dxa"/>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23.9 (18.8,29.3)</w:t>
            </w:r>
          </w:p>
        </w:tc>
        <w:tc>
          <w:tcPr>
            <w:tcW w:w="1849" w:type="dxa"/>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3.94 (2.13,6.54)</w:t>
            </w:r>
          </w:p>
        </w:tc>
        <w:tc>
          <w:tcPr>
            <w:tcW w:w="1849" w:type="dxa"/>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0.46 (0.16,1.04)</w:t>
            </w:r>
          </w:p>
        </w:tc>
      </w:tr>
      <w:tr w:rsidR="007A0BDE" w:rsidRPr="00A1483F" w:rsidTr="00906726">
        <w:tc>
          <w:tcPr>
            <w:tcW w:w="1846" w:type="dxa"/>
            <w:tcBorders>
              <w:bottom w:val="single" w:sz="4" w:space="0" w:color="auto"/>
            </w:tcBorders>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35-44</w:t>
            </w:r>
          </w:p>
        </w:tc>
        <w:tc>
          <w:tcPr>
            <w:tcW w:w="1848" w:type="dxa"/>
            <w:tcBorders>
              <w:bottom w:val="single" w:sz="4" w:space="0" w:color="auto"/>
            </w:tcBorders>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61.8 (51.7,70.6)</w:t>
            </w:r>
          </w:p>
        </w:tc>
        <w:tc>
          <w:tcPr>
            <w:tcW w:w="1848" w:type="dxa"/>
            <w:tcBorders>
              <w:bottom w:val="single" w:sz="4" w:space="0" w:color="auto"/>
            </w:tcBorders>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29.9 (24.7,34.6)</w:t>
            </w:r>
          </w:p>
        </w:tc>
        <w:tc>
          <w:tcPr>
            <w:tcW w:w="1849" w:type="dxa"/>
            <w:tcBorders>
              <w:bottom w:val="single" w:sz="4" w:space="0" w:color="auto"/>
            </w:tcBorders>
            <w:hideMark/>
          </w:tcPr>
          <w:p w:rsidR="007A0BDE" w:rsidRPr="007776D2"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7.12 (4.17,11.1)</w:t>
            </w:r>
          </w:p>
        </w:tc>
        <w:tc>
          <w:tcPr>
            <w:tcW w:w="1849" w:type="dxa"/>
            <w:tcBorders>
              <w:bottom w:val="single" w:sz="4" w:space="0" w:color="auto"/>
            </w:tcBorders>
            <w:hideMark/>
          </w:tcPr>
          <w:p w:rsidR="007A0BDE" w:rsidRPr="00A1483F" w:rsidRDefault="007A0BDE" w:rsidP="00906726">
            <w:pPr>
              <w:pStyle w:val="Tabletext"/>
              <w:spacing w:line="276" w:lineRule="auto"/>
              <w:rPr>
                <w:rFonts w:ascii="Times New Roman" w:hAnsi="Times New Roman" w:cs="Times New Roman"/>
                <w:sz w:val="24"/>
                <w:lang w:val="en-US"/>
              </w:rPr>
            </w:pPr>
            <w:r w:rsidRPr="007776D2">
              <w:rPr>
                <w:rFonts w:ascii="Times New Roman" w:hAnsi="Times New Roman" w:cs="Times New Roman"/>
                <w:sz w:val="24"/>
                <w:lang w:val="en-US"/>
              </w:rPr>
              <w:t>1.26 (0.49,2.65)</w:t>
            </w:r>
          </w:p>
        </w:tc>
      </w:tr>
    </w:tbl>
    <w:p w:rsidR="007A0BDE" w:rsidRDefault="007A0BDE" w:rsidP="007A0BDE"/>
    <w:p w:rsidR="004F3230" w:rsidRDefault="004F3230"/>
    <w:p w:rsidR="004F3230" w:rsidRDefault="004F3230"/>
    <w:p w:rsidR="004F3230" w:rsidRDefault="004F3230"/>
    <w:p w:rsidR="004F3230" w:rsidRDefault="004F3230"/>
    <w:p w:rsidR="004F3230" w:rsidRDefault="004F3230"/>
    <w:sectPr w:rsidR="004F323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E9915C4"/>
    <w:multiLevelType w:val="hybridMultilevel"/>
    <w:tmpl w:val="630A01FE"/>
    <w:lvl w:ilvl="0" w:tplc="B998990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Brit Medical J&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Libraries&gt;"/>
  </w:docVars>
  <w:rsids>
    <w:rsidRoot w:val="0071140B"/>
    <w:rsid w:val="00042D20"/>
    <w:rsid w:val="00224EB6"/>
    <w:rsid w:val="00282EDF"/>
    <w:rsid w:val="004F3230"/>
    <w:rsid w:val="005202F3"/>
    <w:rsid w:val="0056458F"/>
    <w:rsid w:val="00614E02"/>
    <w:rsid w:val="006F528F"/>
    <w:rsid w:val="0071140B"/>
    <w:rsid w:val="007A0BDE"/>
    <w:rsid w:val="008A5B44"/>
    <w:rsid w:val="00D16F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E3DDD3-DD0E-4CB4-8F48-5495B6DC2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References"/>
    <w:qFormat/>
    <w:rsid w:val="0071140B"/>
    <w:pPr>
      <w:tabs>
        <w:tab w:val="left" w:pos="0"/>
      </w:tabs>
      <w:spacing w:after="0" w:line="360" w:lineRule="auto"/>
    </w:pPr>
    <w:rPr>
      <w:rFonts w:ascii="Times New Roman" w:hAnsi="Times New Roman"/>
      <w:sz w:val="24"/>
    </w:rPr>
  </w:style>
  <w:style w:type="paragraph" w:styleId="Heading4">
    <w:name w:val="heading 4"/>
    <w:basedOn w:val="Normal"/>
    <w:next w:val="Normal"/>
    <w:link w:val="Heading4Char"/>
    <w:qFormat/>
    <w:rsid w:val="007A0BDE"/>
    <w:pPr>
      <w:keepNext/>
      <w:keepLines/>
      <w:spacing w:after="120" w:line="240" w:lineRule="auto"/>
      <w:outlineLvl w:val="3"/>
    </w:pPr>
    <w:rPr>
      <w:rFonts w:ascii="Arial" w:eastAsiaTheme="majorEastAsia" w:hAnsi="Arial" w:cstheme="majorBidi"/>
      <w:bCs/>
      <w:i/>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1140B"/>
  </w:style>
  <w:style w:type="character" w:customStyle="1" w:styleId="Heading4Char">
    <w:name w:val="Heading 4 Char"/>
    <w:basedOn w:val="DefaultParagraphFont"/>
    <w:link w:val="Heading4"/>
    <w:rsid w:val="007A0BDE"/>
    <w:rPr>
      <w:rFonts w:ascii="Arial" w:eastAsiaTheme="majorEastAsia" w:hAnsi="Arial" w:cstheme="majorBidi"/>
      <w:bCs/>
      <w:i/>
      <w:iCs/>
      <w:sz w:val="28"/>
    </w:rPr>
  </w:style>
  <w:style w:type="paragraph" w:customStyle="1" w:styleId="Tabletext">
    <w:name w:val="Table text"/>
    <w:basedOn w:val="Normal"/>
    <w:qFormat/>
    <w:rsid w:val="007A0BDE"/>
    <w:pPr>
      <w:spacing w:line="240" w:lineRule="auto"/>
    </w:pPr>
    <w:rPr>
      <w:rFonts w:ascii="Arial" w:hAnsi="Arial"/>
      <w:sz w:val="20"/>
      <w:szCs w:val="24"/>
    </w:rPr>
  </w:style>
  <w:style w:type="paragraph" w:customStyle="1" w:styleId="Tabletitle">
    <w:name w:val="Table title"/>
    <w:basedOn w:val="Normal"/>
    <w:qFormat/>
    <w:rsid w:val="007A0BDE"/>
    <w:pPr>
      <w:shd w:val="clear" w:color="auto" w:fill="FFFFFF"/>
      <w:spacing w:line="240" w:lineRule="auto"/>
    </w:pPr>
    <w:rPr>
      <w:rFonts w:ascii="Arial" w:hAnsi="Arial"/>
      <w:sz w:val="22"/>
      <w:szCs w:val="24"/>
    </w:rPr>
  </w:style>
  <w:style w:type="table" w:styleId="TableGrid">
    <w:name w:val="Table Grid"/>
    <w:basedOn w:val="TableNormal"/>
    <w:uiPriority w:val="59"/>
    <w:rsid w:val="007A0BD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F323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3230"/>
    <w:rPr>
      <w:rFonts w:ascii="Tahoma" w:hAnsi="Tahoma" w:cs="Tahoma"/>
      <w:sz w:val="16"/>
      <w:szCs w:val="16"/>
    </w:rPr>
  </w:style>
  <w:style w:type="character" w:styleId="Hyperlink">
    <w:name w:val="Hyperlink"/>
    <w:basedOn w:val="DefaultParagraphFont"/>
    <w:uiPriority w:val="99"/>
    <w:unhideWhenUsed/>
    <w:rsid w:val="004F323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3.bin"/><Relationship Id="rId13" Type="http://schemas.openxmlformats.org/officeDocument/2006/relationships/image" Target="media/image4.wmf"/><Relationship Id="rId18" Type="http://schemas.openxmlformats.org/officeDocument/2006/relationships/oleObject" Target="embeddings/oleObject8.bin"/><Relationship Id="rId3" Type="http://schemas.openxmlformats.org/officeDocument/2006/relationships/settings" Target="settings.xml"/><Relationship Id="rId21" Type="http://schemas.openxmlformats.org/officeDocument/2006/relationships/oleObject" Target="embeddings/oleObject10.bin"/><Relationship Id="rId7" Type="http://schemas.openxmlformats.org/officeDocument/2006/relationships/oleObject" Target="embeddings/oleObject2.bin"/><Relationship Id="rId12" Type="http://schemas.openxmlformats.org/officeDocument/2006/relationships/oleObject" Target="embeddings/oleObject5.bin"/><Relationship Id="rId17" Type="http://schemas.openxmlformats.org/officeDocument/2006/relationships/image" Target="media/image6.wmf"/><Relationship Id="rId2" Type="http://schemas.openxmlformats.org/officeDocument/2006/relationships/styles" Target="styles.xml"/><Relationship Id="rId16" Type="http://schemas.openxmlformats.org/officeDocument/2006/relationships/oleObject" Target="embeddings/oleObject7.bin"/><Relationship Id="rId20" Type="http://schemas.openxmlformats.org/officeDocument/2006/relationships/image" Target="media/image7.wmf"/><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3.wmf"/><Relationship Id="rId5" Type="http://schemas.openxmlformats.org/officeDocument/2006/relationships/image" Target="media/image1.wmf"/><Relationship Id="rId15" Type="http://schemas.openxmlformats.org/officeDocument/2006/relationships/image" Target="media/image5.wmf"/><Relationship Id="rId23" Type="http://schemas.openxmlformats.org/officeDocument/2006/relationships/theme" Target="theme/theme1.xml"/><Relationship Id="rId10" Type="http://schemas.openxmlformats.org/officeDocument/2006/relationships/oleObject" Target="embeddings/oleObject4.bin"/><Relationship Id="rId19" Type="http://schemas.openxmlformats.org/officeDocument/2006/relationships/oleObject" Target="embeddings/oleObject9.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6.bin"/><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483</Words>
  <Characters>2756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Malcolm Price</dc:creator>
  <cp:lastModifiedBy>User</cp:lastModifiedBy>
  <cp:revision>4</cp:revision>
  <dcterms:created xsi:type="dcterms:W3CDTF">2016-04-13T15:44:00Z</dcterms:created>
  <dcterms:modified xsi:type="dcterms:W3CDTF">2016-08-28T11:44:00Z</dcterms:modified>
</cp:coreProperties>
</file>