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748" w:rsidRPr="00934EC2" w:rsidRDefault="00C27748">
      <w:pPr>
        <w:widowControl/>
        <w:jc w:val="left"/>
        <w:rPr>
          <w:rFonts w:ascii="Times New Roman" w:hAnsi="Times New Roman" w:cs="Times New Roman"/>
          <w:i/>
          <w:sz w:val="24"/>
        </w:rPr>
      </w:pPr>
      <w:r w:rsidRPr="00934EC2">
        <w:rPr>
          <w:rFonts w:ascii="Times New Roman" w:hAnsi="Times New Roman" w:cs="Times New Roman"/>
          <w:i/>
          <w:sz w:val="24"/>
        </w:rPr>
        <w:t>Epidemiology and Infection</w:t>
      </w:r>
    </w:p>
    <w:p w:rsidR="00C27748" w:rsidRPr="00934EC2" w:rsidRDefault="00C27748">
      <w:pPr>
        <w:widowControl/>
        <w:jc w:val="left"/>
        <w:rPr>
          <w:rFonts w:ascii="Times New Roman" w:hAnsi="Times New Roman" w:cs="Times New Roman"/>
          <w:sz w:val="24"/>
        </w:rPr>
      </w:pPr>
    </w:p>
    <w:p w:rsidR="00C27748" w:rsidRPr="00934EC2" w:rsidRDefault="00C27748">
      <w:pPr>
        <w:widowControl/>
        <w:jc w:val="left"/>
        <w:rPr>
          <w:rFonts w:ascii="Times New Roman" w:hAnsi="Times New Roman" w:cs="Times New Roman"/>
          <w:sz w:val="24"/>
          <w:szCs w:val="24"/>
          <w:lang w:val="en-GB"/>
        </w:rPr>
      </w:pPr>
      <w:r w:rsidRPr="00934EC2">
        <w:rPr>
          <w:rFonts w:ascii="Times New Roman" w:hAnsi="Times New Roman" w:cs="Times New Roman"/>
          <w:sz w:val="24"/>
          <w:szCs w:val="24"/>
          <w:lang w:val="en-GB"/>
        </w:rPr>
        <w:t>Meteorological factors affecting Scrub typhus occurrence: a retrospective study of Yamagata Prefecture, Japan, 1984–2014</w:t>
      </w:r>
    </w:p>
    <w:p w:rsidR="00C27748" w:rsidRPr="00934EC2" w:rsidRDefault="00C27748">
      <w:pPr>
        <w:widowControl/>
        <w:jc w:val="left"/>
        <w:rPr>
          <w:rFonts w:ascii="Times New Roman" w:hAnsi="Times New Roman" w:cs="Times New Roman"/>
          <w:sz w:val="24"/>
          <w:szCs w:val="24"/>
          <w:lang w:val="en-GB"/>
        </w:rPr>
      </w:pPr>
    </w:p>
    <w:p w:rsidR="00C27748" w:rsidRPr="00934EC2" w:rsidRDefault="00C27748">
      <w:pPr>
        <w:widowControl/>
        <w:jc w:val="left"/>
        <w:rPr>
          <w:rFonts w:ascii="Times New Roman" w:hAnsi="Times New Roman" w:cs="Times New Roman"/>
          <w:sz w:val="24"/>
          <w:szCs w:val="24"/>
          <w:vertAlign w:val="superscript"/>
          <w:lang w:val="en-GB"/>
        </w:rPr>
      </w:pPr>
      <w:r w:rsidRPr="00934EC2">
        <w:rPr>
          <w:rFonts w:ascii="Times New Roman" w:hAnsi="Times New Roman" w:cs="Times New Roman"/>
          <w:sz w:val="24"/>
          <w:szCs w:val="24"/>
          <w:lang w:val="en-GB"/>
        </w:rPr>
        <w:t>J. Seto, Y. Suzuki, R. Nakao, K. Otani, K. Yahagi, and K. Mizuta</w:t>
      </w:r>
    </w:p>
    <w:p w:rsidR="00921810" w:rsidRPr="00934EC2" w:rsidRDefault="00921810">
      <w:pPr>
        <w:widowControl/>
        <w:jc w:val="left"/>
        <w:rPr>
          <w:rFonts w:ascii="Times New Roman" w:hAnsi="Times New Roman" w:cs="Times New Roman"/>
          <w:sz w:val="24"/>
          <w:szCs w:val="24"/>
          <w:vertAlign w:val="superscript"/>
          <w:lang w:val="en-GB"/>
        </w:rPr>
      </w:pPr>
    </w:p>
    <w:p w:rsidR="002761A1" w:rsidRPr="00934EC2" w:rsidRDefault="002761A1">
      <w:pPr>
        <w:widowControl/>
        <w:jc w:val="left"/>
        <w:rPr>
          <w:rFonts w:ascii="Times New Roman" w:hAnsi="Times New Roman" w:cs="Times New Roman"/>
          <w:sz w:val="24"/>
          <w:szCs w:val="24"/>
          <w:vertAlign w:val="superscript"/>
          <w:lang w:val="en-GB"/>
        </w:rPr>
      </w:pPr>
    </w:p>
    <w:p w:rsidR="00C27748" w:rsidRPr="00934EC2" w:rsidRDefault="00921810">
      <w:pPr>
        <w:rPr>
          <w:rFonts w:ascii="Times New Roman" w:hAnsi="Times New Roman" w:cs="Times New Roman"/>
          <w:b/>
          <w:sz w:val="24"/>
          <w:szCs w:val="24"/>
          <w:u w:val="single"/>
          <w:lang w:val="en-GB"/>
        </w:rPr>
      </w:pPr>
      <w:r w:rsidRPr="00934EC2">
        <w:rPr>
          <w:rFonts w:ascii="Times New Roman" w:hAnsi="Times New Roman" w:cs="Times New Roman"/>
          <w:b/>
          <w:sz w:val="24"/>
          <w:szCs w:val="24"/>
          <w:u w:val="single"/>
          <w:lang w:val="en-GB"/>
        </w:rPr>
        <w:t>Supplementary Material</w:t>
      </w:r>
    </w:p>
    <w:p w:rsidR="00921810" w:rsidRPr="00934EC2" w:rsidRDefault="00921810">
      <w:pPr>
        <w:rPr>
          <w:rFonts w:ascii="Times New Roman" w:hAnsi="Times New Roman" w:cs="Times New Roman"/>
          <w:sz w:val="24"/>
          <w:szCs w:val="24"/>
          <w:lang w:val="en-GB"/>
        </w:rPr>
      </w:pPr>
    </w:p>
    <w:p w:rsidR="00921810" w:rsidRPr="00934EC2" w:rsidRDefault="00921810" w:rsidP="00934EC2">
      <w:pPr>
        <w:rPr>
          <w:rFonts w:ascii="Times New Roman" w:hAnsi="Times New Roman" w:cs="Times New Roman"/>
          <w:sz w:val="24"/>
          <w:szCs w:val="24"/>
          <w:lang w:val="en-GB"/>
        </w:rPr>
      </w:pPr>
      <w:r w:rsidRPr="00934EC2">
        <w:rPr>
          <w:rFonts w:ascii="Times New Roman" w:hAnsi="Times New Roman" w:cs="Times New Roman" w:hint="eastAsia"/>
          <w:b/>
          <w:sz w:val="24"/>
          <w:szCs w:val="24"/>
          <w:lang w:val="en-GB"/>
        </w:rPr>
        <w:t>Supplementary F</w:t>
      </w:r>
      <w:r w:rsidRPr="00934EC2">
        <w:rPr>
          <w:rFonts w:ascii="Times New Roman" w:hAnsi="Times New Roman" w:cs="Times New Roman"/>
          <w:b/>
          <w:sz w:val="24"/>
          <w:szCs w:val="24"/>
          <w:lang w:val="en-GB"/>
        </w:rPr>
        <w:t>i</w:t>
      </w:r>
      <w:r w:rsidRPr="00934EC2">
        <w:rPr>
          <w:rFonts w:ascii="Times New Roman" w:hAnsi="Times New Roman" w:cs="Times New Roman" w:hint="eastAsia"/>
          <w:b/>
          <w:sz w:val="24"/>
          <w:szCs w:val="24"/>
          <w:lang w:val="en-GB"/>
        </w:rPr>
        <w:t xml:space="preserve">gure </w:t>
      </w:r>
      <w:r w:rsidRPr="00934EC2">
        <w:rPr>
          <w:rFonts w:ascii="Times New Roman" w:hAnsi="Times New Roman" w:cs="Times New Roman"/>
          <w:b/>
          <w:sz w:val="24"/>
          <w:szCs w:val="24"/>
          <w:lang w:val="en-GB"/>
        </w:rPr>
        <w:t>S1</w:t>
      </w:r>
      <w:r w:rsidR="00934EC2" w:rsidRPr="00934EC2">
        <w:rPr>
          <w:rFonts w:ascii="Times New Roman" w:hAnsi="Times New Roman" w:cs="Times New Roman"/>
          <w:sz w:val="24"/>
          <w:szCs w:val="24"/>
          <w:lang w:val="en-GB"/>
        </w:rPr>
        <w:t xml:space="preserve">. </w:t>
      </w:r>
      <w:r w:rsidRPr="00934EC2">
        <w:rPr>
          <w:rFonts w:ascii="Times New Roman" w:hAnsi="Times New Roman" w:cs="Times New Roman"/>
          <w:sz w:val="24"/>
          <w:szCs w:val="24"/>
          <w:lang w:val="en-GB"/>
        </w:rPr>
        <w:t>Location of Yamagata Prefecture</w:t>
      </w:r>
      <w:r w:rsidR="0046466D" w:rsidRPr="00934EC2">
        <w:rPr>
          <w:rFonts w:ascii="Times New Roman" w:hAnsi="Times New Roman" w:cs="Times New Roman"/>
          <w:sz w:val="24"/>
          <w:szCs w:val="24"/>
          <w:lang w:val="en-GB"/>
        </w:rPr>
        <w:t xml:space="preserve"> and geographical features of scrub typhus in </w:t>
      </w:r>
      <w:r w:rsidRPr="00934EC2">
        <w:rPr>
          <w:rFonts w:ascii="Times New Roman" w:hAnsi="Times New Roman" w:cs="Times New Roman"/>
          <w:sz w:val="24"/>
          <w:szCs w:val="24"/>
          <w:lang w:val="en-GB"/>
        </w:rPr>
        <w:t>Japan.</w:t>
      </w:r>
    </w:p>
    <w:p w:rsidR="00100607" w:rsidRPr="00934EC2" w:rsidRDefault="00100607" w:rsidP="00100607">
      <w:pPr>
        <w:ind w:firstLine="840"/>
        <w:rPr>
          <w:rFonts w:ascii="Times New Roman" w:hAnsi="Times New Roman" w:cs="Times New Roman"/>
          <w:sz w:val="24"/>
          <w:szCs w:val="24"/>
          <w:lang w:val="en-GB"/>
        </w:rPr>
      </w:pPr>
    </w:p>
    <w:p w:rsidR="00921810" w:rsidRPr="00934EC2" w:rsidRDefault="00100607" w:rsidP="00934EC2">
      <w:pPr>
        <w:rPr>
          <w:rFonts w:ascii="Times New Roman" w:hAnsi="Times New Roman" w:cs="Times New Roman"/>
          <w:b/>
          <w:sz w:val="24"/>
          <w:szCs w:val="24"/>
          <w:lang w:val="en-GB"/>
        </w:rPr>
      </w:pPr>
      <w:r w:rsidRPr="00934EC2">
        <w:rPr>
          <w:rFonts w:ascii="Times New Roman" w:hAnsi="Times New Roman" w:cs="Times New Roman"/>
          <w:b/>
          <w:sz w:val="24"/>
          <w:szCs w:val="24"/>
          <w:lang w:val="en-GB"/>
        </w:rPr>
        <w:t>Supplementary Table S1</w:t>
      </w:r>
      <w:r w:rsidR="00934EC2" w:rsidRPr="00934EC2">
        <w:rPr>
          <w:rFonts w:ascii="Times New Roman" w:hAnsi="Times New Roman" w:cs="Times New Roman"/>
          <w:b/>
          <w:sz w:val="24"/>
          <w:szCs w:val="24"/>
          <w:lang w:val="en-GB"/>
        </w:rPr>
        <w:t xml:space="preserve">. </w:t>
      </w:r>
      <w:r w:rsidRPr="00934EC2">
        <w:rPr>
          <w:rFonts w:ascii="Times New Roman" w:hAnsi="Times New Roman" w:cs="Times New Roman"/>
          <w:sz w:val="24"/>
          <w:szCs w:val="24"/>
          <w:lang w:val="en-GB"/>
        </w:rPr>
        <w:t>Results of negative binomial regression between each meteorological factor and the number of scrub typhus cases in Yamagata, Japan, 1984</w:t>
      </w:r>
      <w:r w:rsidRPr="00934EC2">
        <w:rPr>
          <w:rFonts w:ascii="Times New Roman" w:hAnsi="Times New Roman" w:cs="Times New Roman"/>
          <w:sz w:val="24"/>
          <w:szCs w:val="24"/>
        </w:rPr>
        <w:t>–</w:t>
      </w:r>
      <w:r w:rsidRPr="00934EC2">
        <w:rPr>
          <w:rFonts w:ascii="Times New Roman" w:hAnsi="Times New Roman" w:cs="Times New Roman"/>
          <w:sz w:val="24"/>
          <w:szCs w:val="24"/>
          <w:lang w:val="en-GB"/>
        </w:rPr>
        <w:t>2014.</w:t>
      </w:r>
    </w:p>
    <w:p w:rsidR="00100607" w:rsidRPr="00934EC2" w:rsidRDefault="00100607">
      <w:pPr>
        <w:rPr>
          <w:rFonts w:ascii="Times New Roman" w:hAnsi="Times New Roman" w:cs="Times New Roman"/>
          <w:b/>
          <w:sz w:val="24"/>
          <w:szCs w:val="24"/>
          <w:lang w:val="en-GB"/>
        </w:rPr>
        <w:sectPr w:rsidR="00100607" w:rsidRPr="00934EC2">
          <w:pgSz w:w="11906" w:h="16838"/>
          <w:pgMar w:top="1985" w:right="1701" w:bottom="1701" w:left="1701" w:header="851" w:footer="992" w:gutter="0"/>
          <w:cols w:space="425"/>
          <w:docGrid w:type="lines" w:linePitch="360"/>
        </w:sectPr>
      </w:pPr>
    </w:p>
    <w:p w:rsidR="008D4916" w:rsidRPr="00934EC2" w:rsidRDefault="008D4916">
      <w:pPr>
        <w:rPr>
          <w:rFonts w:ascii="Times New Roman" w:hAnsi="Times New Roman" w:cs="Times New Roman"/>
          <w:sz w:val="24"/>
        </w:rPr>
      </w:pPr>
    </w:p>
    <w:p w:rsidR="008D4916" w:rsidRPr="00934EC2" w:rsidRDefault="008D4916">
      <w:pPr>
        <w:rPr>
          <w:rFonts w:ascii="Times New Roman" w:hAnsi="Times New Roman" w:cs="Times New Roman"/>
          <w:sz w:val="24"/>
        </w:rPr>
      </w:pPr>
    </w:p>
    <w:p w:rsidR="008D4916" w:rsidRPr="00934EC2" w:rsidRDefault="008D4916">
      <w:pPr>
        <w:rPr>
          <w:rFonts w:ascii="Times New Roman" w:hAnsi="Times New Roman" w:cs="Times New Roman"/>
          <w:sz w:val="24"/>
        </w:rPr>
      </w:pPr>
    </w:p>
    <w:p w:rsidR="00C27748" w:rsidRPr="00934EC2" w:rsidRDefault="00921810">
      <w:pPr>
        <w:rPr>
          <w:rFonts w:ascii="Times New Roman" w:hAnsi="Times New Roman" w:cs="Times New Roman"/>
          <w:sz w:val="24"/>
        </w:rPr>
      </w:pPr>
      <w:r w:rsidRPr="00934EC2">
        <w:rPr>
          <w:rFonts w:ascii="Times New Roman" w:hAnsi="Times New Roman" w:cs="Times New Roman"/>
          <w:noProof/>
          <w:sz w:val="24"/>
          <w:lang w:val="en-GB" w:eastAsia="en-GB"/>
        </w:rPr>
        <w:drawing>
          <wp:inline distT="0" distB="0" distL="0" distR="0" wp14:anchorId="01D09904" wp14:editId="3A8AE048">
            <wp:extent cx="6204769" cy="55372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2520" cy="5544117"/>
                    </a:xfrm>
                    <a:prstGeom prst="rect">
                      <a:avLst/>
                    </a:prstGeom>
                    <a:noFill/>
                    <a:ln>
                      <a:noFill/>
                    </a:ln>
                  </pic:spPr>
                </pic:pic>
              </a:graphicData>
            </a:graphic>
          </wp:inline>
        </w:drawing>
      </w:r>
    </w:p>
    <w:p w:rsidR="008D4916" w:rsidRPr="00934EC2" w:rsidRDefault="008D4916">
      <w:pPr>
        <w:rPr>
          <w:rFonts w:ascii="Times New Roman" w:hAnsi="Times New Roman" w:cs="Times New Roman"/>
          <w:sz w:val="24"/>
        </w:rPr>
      </w:pPr>
    </w:p>
    <w:p w:rsidR="00921810" w:rsidRPr="00934EC2" w:rsidRDefault="00921810">
      <w:pPr>
        <w:rPr>
          <w:rFonts w:ascii="Times New Roman" w:hAnsi="Times New Roman" w:cs="Times New Roman"/>
          <w:sz w:val="24"/>
        </w:rPr>
      </w:pPr>
    </w:p>
    <w:p w:rsidR="00921810" w:rsidRPr="00934EC2" w:rsidRDefault="00D42952" w:rsidP="00921810">
      <w:pPr>
        <w:pStyle w:val="NormalWeb"/>
        <w:spacing w:before="0" w:beforeAutospacing="0" w:after="0" w:afterAutospacing="0"/>
        <w:jc w:val="both"/>
      </w:pPr>
      <w:r w:rsidRPr="00934EC2">
        <w:rPr>
          <w:rFonts w:ascii="Times New Roman" w:hAnsi="Times New Roman" w:cs="Times New Roman"/>
          <w:b/>
        </w:rPr>
        <w:t>Supplementary Figure S1.</w:t>
      </w:r>
      <w:r w:rsidRPr="00934EC2">
        <w:rPr>
          <w:rFonts w:ascii="Times New Roman" w:hAnsi="Times New Roman" w:cs="Times New Roman"/>
        </w:rPr>
        <w:t xml:space="preserve"> Yamagata Prefecture is located in the Tohoku region, which is in the northern part of Honshu Island, Japan. In the Tohoku and Hokuriku regions, scrub typhus occurs mainly in spring – early summer because </w:t>
      </w:r>
      <w:r w:rsidRPr="00934EC2">
        <w:rPr>
          <w:rFonts w:ascii="Times New Roman" w:hAnsi="Times New Roman" w:cs="Times New Roman"/>
          <w:i/>
        </w:rPr>
        <w:t>Leptotrombidium pallidum,</w:t>
      </w:r>
      <w:r w:rsidRPr="00934EC2">
        <w:rPr>
          <w:rFonts w:ascii="Times New Roman" w:hAnsi="Times New Roman" w:cs="Times New Roman"/>
        </w:rPr>
        <w:t xml:space="preserve"> a major vector of Karp and Gilliam type scrub typhus, is widely distributed. By contrast, in the southern part of Japan such as in the Kyushu region, scrub typhus occurs mainly in autumn – early winter because </w:t>
      </w:r>
      <w:r w:rsidRPr="00934EC2">
        <w:rPr>
          <w:rFonts w:ascii="Times New Roman" w:hAnsi="Times New Roman" w:cs="Times New Roman"/>
          <w:i/>
        </w:rPr>
        <w:t>L. scutellare</w:t>
      </w:r>
      <w:r w:rsidRPr="00934EC2">
        <w:rPr>
          <w:rFonts w:ascii="Times New Roman" w:hAnsi="Times New Roman" w:cs="Times New Roman"/>
        </w:rPr>
        <w:t>, a major vector of Kawasaki and Kuroki type scrub typhus, is widely distributed.</w:t>
      </w:r>
    </w:p>
    <w:p w:rsidR="00921810" w:rsidRPr="00934EC2" w:rsidRDefault="00921810">
      <w:pPr>
        <w:rPr>
          <w:rFonts w:ascii="Times New Roman" w:hAnsi="Times New Roman" w:cs="Times New Roman"/>
          <w:sz w:val="24"/>
        </w:rPr>
        <w:sectPr w:rsidR="00921810" w:rsidRPr="00934EC2" w:rsidSect="00921810">
          <w:pgSz w:w="11906" w:h="16838"/>
          <w:pgMar w:top="1440" w:right="1080" w:bottom="1440" w:left="1080" w:header="851" w:footer="992" w:gutter="0"/>
          <w:cols w:space="425"/>
          <w:docGrid w:type="lines" w:linePitch="360"/>
        </w:sectPr>
      </w:pPr>
    </w:p>
    <w:tbl>
      <w:tblPr>
        <w:tblW w:w="10429" w:type="dxa"/>
        <w:tblCellMar>
          <w:left w:w="99" w:type="dxa"/>
          <w:right w:w="99" w:type="dxa"/>
        </w:tblCellMar>
        <w:tblLook w:val="04A0" w:firstRow="1" w:lastRow="0" w:firstColumn="1" w:lastColumn="0" w:noHBand="0" w:noVBand="1"/>
      </w:tblPr>
      <w:tblGrid>
        <w:gridCol w:w="3611"/>
        <w:gridCol w:w="3052"/>
        <w:gridCol w:w="1275"/>
        <w:gridCol w:w="754"/>
        <w:gridCol w:w="1044"/>
        <w:gridCol w:w="693"/>
      </w:tblGrid>
      <w:tr w:rsidR="00934EC2" w:rsidRPr="00934EC2" w:rsidTr="0097459E">
        <w:trPr>
          <w:trHeight w:val="564"/>
        </w:trPr>
        <w:tc>
          <w:tcPr>
            <w:tcW w:w="10429" w:type="dxa"/>
            <w:gridSpan w:val="6"/>
            <w:tcBorders>
              <w:top w:val="nil"/>
              <w:left w:val="nil"/>
              <w:bottom w:val="single" w:sz="4" w:space="0" w:color="auto"/>
              <w:right w:val="nil"/>
            </w:tcBorders>
            <w:shd w:val="clear" w:color="auto" w:fill="auto"/>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b/>
                <w:bCs/>
                <w:kern w:val="0"/>
                <w:sz w:val="22"/>
              </w:rPr>
              <w:lastRenderedPageBreak/>
              <w:t>Supplementary Table S1</w:t>
            </w:r>
            <w:r w:rsidR="00934EC2">
              <w:rPr>
                <w:rFonts w:ascii="Times New Roman" w:eastAsia="MS PGothic" w:hAnsi="Times New Roman" w:cs="Times New Roman"/>
                <w:b/>
                <w:bCs/>
                <w:kern w:val="0"/>
                <w:sz w:val="22"/>
              </w:rPr>
              <w:t>.</w:t>
            </w:r>
            <w:bookmarkStart w:id="0" w:name="_GoBack"/>
            <w:bookmarkEnd w:id="0"/>
            <w:r w:rsidRPr="00934EC2">
              <w:rPr>
                <w:rFonts w:ascii="Times New Roman" w:eastAsia="MS PGothic" w:hAnsi="Times New Roman" w:cs="Times New Roman"/>
                <w:b/>
                <w:bCs/>
                <w:kern w:val="0"/>
                <w:sz w:val="22"/>
              </w:rPr>
              <w:t xml:space="preserve"> </w:t>
            </w:r>
            <w:r w:rsidRPr="00934EC2">
              <w:rPr>
                <w:rFonts w:ascii="Times New Roman" w:eastAsia="MS PGothic" w:hAnsi="Times New Roman" w:cs="Times New Roman"/>
                <w:kern w:val="0"/>
                <w:sz w:val="22"/>
              </w:rPr>
              <w:t>Results of negative binomial regression between each meteorological factor and the number of scrub typhus cases in Yamagata, Japan, 1984–2014.</w:t>
            </w:r>
          </w:p>
        </w:tc>
      </w:tr>
      <w:tr w:rsidR="00934EC2" w:rsidRPr="00934EC2" w:rsidTr="0097459E">
        <w:trPr>
          <w:trHeight w:val="276"/>
        </w:trPr>
        <w:tc>
          <w:tcPr>
            <w:tcW w:w="3611" w:type="dxa"/>
            <w:tcBorders>
              <w:top w:val="nil"/>
              <w:left w:val="nil"/>
              <w:bottom w:val="single" w:sz="4" w:space="0" w:color="auto"/>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Category</w:t>
            </w:r>
          </w:p>
        </w:tc>
        <w:tc>
          <w:tcPr>
            <w:tcW w:w="3052" w:type="dxa"/>
            <w:tcBorders>
              <w:top w:val="nil"/>
              <w:left w:val="nil"/>
              <w:bottom w:val="single" w:sz="4" w:space="0" w:color="auto"/>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Month</w:t>
            </w:r>
          </w:p>
        </w:tc>
        <w:tc>
          <w:tcPr>
            <w:tcW w:w="1275" w:type="dxa"/>
            <w:tcBorders>
              <w:top w:val="nil"/>
              <w:left w:val="nil"/>
              <w:bottom w:val="single" w:sz="4" w:space="0" w:color="auto"/>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Coefficient</w:t>
            </w:r>
          </w:p>
        </w:tc>
        <w:tc>
          <w:tcPr>
            <w:tcW w:w="754" w:type="dxa"/>
            <w:tcBorders>
              <w:top w:val="nil"/>
              <w:left w:val="nil"/>
              <w:bottom w:val="single" w:sz="4" w:space="0" w:color="auto"/>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S. E.</w:t>
            </w:r>
          </w:p>
        </w:tc>
        <w:tc>
          <w:tcPr>
            <w:tcW w:w="1044" w:type="dxa"/>
            <w:tcBorders>
              <w:top w:val="nil"/>
              <w:left w:val="nil"/>
              <w:bottom w:val="single" w:sz="4" w:space="0" w:color="auto"/>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i/>
                <w:iCs/>
                <w:kern w:val="0"/>
                <w:sz w:val="22"/>
              </w:rPr>
              <w:t>P</w:t>
            </w:r>
            <w:r w:rsidRPr="00934EC2">
              <w:rPr>
                <w:rFonts w:ascii="Times New Roman" w:eastAsia="MS PGothic" w:hAnsi="Times New Roman" w:cs="Times New Roman"/>
                <w:kern w:val="0"/>
                <w:sz w:val="22"/>
              </w:rPr>
              <w:t xml:space="preserve"> value</w:t>
            </w:r>
          </w:p>
        </w:tc>
        <w:tc>
          <w:tcPr>
            <w:tcW w:w="693" w:type="dxa"/>
            <w:tcBorders>
              <w:top w:val="nil"/>
              <w:left w:val="nil"/>
              <w:bottom w:val="single" w:sz="4" w:space="0" w:color="auto"/>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AIC</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Average temperature (°C)</w:t>
            </w: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-4.662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3.469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0.179</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1.442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2.219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0.516</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July (prior year)</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0.225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0.071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b/>
                <w:bCs/>
                <w:kern w:val="0"/>
                <w:sz w:val="22"/>
                <w:u w:val="single"/>
              </w:rPr>
            </w:pPr>
            <w:r w:rsidRPr="00934EC2">
              <w:rPr>
                <w:rFonts w:ascii="Times New Roman" w:eastAsia="MS PGothic" w:hAnsi="Times New Roman" w:cs="Times New Roman"/>
                <w:b/>
                <w:bCs/>
                <w:kern w:val="0"/>
                <w:sz w:val="22"/>
                <w:u w:val="single"/>
              </w:rPr>
              <w:t>0.002</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182.4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-7.337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2.705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0.007</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1.225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1.685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0.467</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August (prior year)</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0.331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0.059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b/>
                <w:bCs/>
                <w:kern w:val="0"/>
                <w:sz w:val="22"/>
                <w:u w:val="single"/>
              </w:rPr>
            </w:pPr>
            <w:r w:rsidRPr="00934EC2">
              <w:rPr>
                <w:rFonts w:ascii="Times New Roman" w:eastAsia="MS PGothic" w:hAnsi="Times New Roman" w:cs="Times New Roman"/>
                <w:b/>
                <w:bCs/>
                <w:kern w:val="0"/>
                <w:sz w:val="22"/>
                <w:u w:val="single"/>
              </w:rPr>
              <w:t>0.000</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168.8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-4.231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4.182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0.312</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2.109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2.552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0.408</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September (prior year)</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0.195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0.087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0.026</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186.6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-1.129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3.994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0.777</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1.113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2.634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0.673</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October (prior year)</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0.150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0.101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0.138</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189.0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1.952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3.093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0.528</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-0.279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2.429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0.908</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November (prior year)</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0.087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0.078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0.265</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189.9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2.856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2.971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0.336</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-0.437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2.419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0.857</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December (prior year)</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-0.061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0.091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0.499</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190.5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1.849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2.819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0.512</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0.148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2.293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0.949</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January</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-0.170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0.081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0.037</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187.1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2.386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2.958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0.420</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-0.190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2.406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0.937</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February</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-0.086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0.081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0.288</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189.9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2.612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2.973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0.380</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-0.197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2.427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0.935</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March</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-0.070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0.087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0.421</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190.4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Aggregate rainfall (mm)</w:t>
            </w: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4.775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2.598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0.066</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-1.487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2.092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0.477</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July of prior year</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-0.004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0.001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b/>
                <w:bCs/>
                <w:kern w:val="0"/>
                <w:sz w:val="22"/>
                <w:u w:val="single"/>
              </w:rPr>
            </w:pPr>
            <w:r w:rsidRPr="00934EC2">
              <w:rPr>
                <w:rFonts w:ascii="Times New Roman" w:eastAsia="MS PGothic" w:hAnsi="Times New Roman" w:cs="Times New Roman"/>
                <w:b/>
                <w:bCs/>
                <w:kern w:val="0"/>
                <w:sz w:val="22"/>
                <w:u w:val="single"/>
              </w:rPr>
              <w:t>0.000</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178.4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3.417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2.955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0.248</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-0.838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2.394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0.726</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August (prior year)</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-0.001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0.001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0.260</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189.7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1.544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2.532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0.542</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0.013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2.054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0.995</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September (prior year)</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0.004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0.001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b/>
                <w:bCs/>
                <w:kern w:val="0"/>
                <w:sz w:val="22"/>
                <w:u w:val="single"/>
              </w:rPr>
            </w:pPr>
            <w:r w:rsidRPr="00934EC2">
              <w:rPr>
                <w:rFonts w:ascii="Times New Roman" w:eastAsia="MS PGothic" w:hAnsi="Times New Roman" w:cs="Times New Roman"/>
                <w:b/>
                <w:bCs/>
                <w:kern w:val="0"/>
                <w:sz w:val="22"/>
                <w:u w:val="single"/>
              </w:rPr>
              <w:t>0.001</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181.1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3.586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2.943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0.223</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-0.693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2.355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0.768</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October (prior year)</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-0.004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0.002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0.080</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188.2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3.583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3.155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0.256</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-0.897 </w:t>
            </w:r>
          </w:p>
        </w:tc>
        <w:tc>
          <w:tcPr>
            <w:tcW w:w="754" w:type="dxa"/>
            <w:tcBorders>
              <w:top w:val="nil"/>
              <w:left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2.491 </w:t>
            </w:r>
          </w:p>
        </w:tc>
        <w:tc>
          <w:tcPr>
            <w:tcW w:w="1044" w:type="dxa"/>
            <w:tcBorders>
              <w:top w:val="nil"/>
              <w:left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0.719</w:t>
            </w:r>
          </w:p>
        </w:tc>
        <w:tc>
          <w:tcPr>
            <w:tcW w:w="693" w:type="dxa"/>
            <w:tcBorders>
              <w:top w:val="nil"/>
              <w:left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　</w:t>
            </w:r>
          </w:p>
        </w:tc>
        <w:tc>
          <w:tcPr>
            <w:tcW w:w="3052" w:type="dxa"/>
            <w:tcBorders>
              <w:top w:val="nil"/>
              <w:left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November (prior year)</w:t>
            </w:r>
          </w:p>
        </w:tc>
        <w:tc>
          <w:tcPr>
            <w:tcW w:w="1275" w:type="dxa"/>
            <w:tcBorders>
              <w:top w:val="nil"/>
              <w:left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-0.001 </w:t>
            </w:r>
          </w:p>
        </w:tc>
        <w:tc>
          <w:tcPr>
            <w:tcW w:w="754" w:type="dxa"/>
            <w:tcBorders>
              <w:top w:val="nil"/>
              <w:left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0.002 </w:t>
            </w:r>
          </w:p>
        </w:tc>
        <w:tc>
          <w:tcPr>
            <w:tcW w:w="1044" w:type="dxa"/>
            <w:tcBorders>
              <w:top w:val="nil"/>
              <w:left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0.427</w:t>
            </w:r>
          </w:p>
        </w:tc>
        <w:tc>
          <w:tcPr>
            <w:tcW w:w="693" w:type="dxa"/>
            <w:tcBorders>
              <w:top w:val="nil"/>
              <w:left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190.4 </w:t>
            </w:r>
          </w:p>
        </w:tc>
      </w:tr>
      <w:tr w:rsidR="00934EC2" w:rsidRPr="00934EC2" w:rsidTr="0097459E">
        <w:trPr>
          <w:trHeight w:val="276"/>
        </w:trPr>
        <w:tc>
          <w:tcPr>
            <w:tcW w:w="3611" w:type="dxa"/>
            <w:tcBorders>
              <w:top w:val="nil"/>
              <w:left w:val="nil"/>
              <w:right w:val="nil"/>
            </w:tcBorders>
            <w:shd w:val="clear" w:color="auto" w:fill="auto"/>
            <w:noWrap/>
            <w:vAlign w:val="center"/>
          </w:tcPr>
          <w:p w:rsidR="0097459E" w:rsidRPr="00934EC2" w:rsidRDefault="0097459E" w:rsidP="0097459E">
            <w:pPr>
              <w:widowControl/>
              <w:jc w:val="left"/>
              <w:rPr>
                <w:rFonts w:ascii="Times New Roman" w:eastAsia="MS PGothic" w:hAnsi="Times New Roman" w:cs="Times New Roman"/>
                <w:kern w:val="0"/>
                <w:sz w:val="22"/>
              </w:rPr>
            </w:pPr>
          </w:p>
        </w:tc>
        <w:tc>
          <w:tcPr>
            <w:tcW w:w="3052" w:type="dxa"/>
            <w:tcBorders>
              <w:top w:val="nil"/>
              <w:left w:val="nil"/>
              <w:right w:val="nil"/>
            </w:tcBorders>
            <w:shd w:val="clear" w:color="auto" w:fill="auto"/>
            <w:noWrap/>
            <w:vAlign w:val="center"/>
          </w:tcPr>
          <w:p w:rsidR="0097459E" w:rsidRPr="00934EC2" w:rsidRDefault="0097459E" w:rsidP="0097459E">
            <w:pPr>
              <w:widowControl/>
              <w:jc w:val="left"/>
              <w:rPr>
                <w:rFonts w:ascii="Times New Roman" w:eastAsia="MS PGothic" w:hAnsi="Times New Roman" w:cs="Times New Roman"/>
                <w:kern w:val="0"/>
                <w:sz w:val="22"/>
              </w:rPr>
            </w:pPr>
          </w:p>
        </w:tc>
        <w:tc>
          <w:tcPr>
            <w:tcW w:w="1275" w:type="dxa"/>
            <w:tcBorders>
              <w:top w:val="nil"/>
              <w:left w:val="nil"/>
              <w:right w:val="nil"/>
            </w:tcBorders>
            <w:shd w:val="clear" w:color="auto" w:fill="auto"/>
            <w:noWrap/>
            <w:vAlign w:val="center"/>
          </w:tcPr>
          <w:p w:rsidR="0097459E" w:rsidRPr="00934EC2" w:rsidRDefault="0097459E" w:rsidP="0097459E">
            <w:pPr>
              <w:widowControl/>
              <w:jc w:val="right"/>
              <w:rPr>
                <w:rFonts w:ascii="Times New Roman" w:eastAsia="MS PGothic" w:hAnsi="Times New Roman" w:cs="Times New Roman"/>
                <w:kern w:val="0"/>
                <w:sz w:val="22"/>
              </w:rPr>
            </w:pPr>
          </w:p>
        </w:tc>
        <w:tc>
          <w:tcPr>
            <w:tcW w:w="754" w:type="dxa"/>
            <w:tcBorders>
              <w:top w:val="nil"/>
              <w:left w:val="nil"/>
              <w:right w:val="nil"/>
            </w:tcBorders>
            <w:shd w:val="clear" w:color="auto" w:fill="auto"/>
            <w:noWrap/>
            <w:vAlign w:val="center"/>
          </w:tcPr>
          <w:p w:rsidR="0097459E" w:rsidRPr="00934EC2" w:rsidRDefault="0097459E" w:rsidP="0097459E">
            <w:pPr>
              <w:widowControl/>
              <w:jc w:val="right"/>
              <w:rPr>
                <w:rFonts w:ascii="Times New Roman" w:eastAsia="MS PGothic" w:hAnsi="Times New Roman" w:cs="Times New Roman"/>
                <w:kern w:val="0"/>
                <w:sz w:val="22"/>
              </w:rPr>
            </w:pPr>
          </w:p>
        </w:tc>
        <w:tc>
          <w:tcPr>
            <w:tcW w:w="1044" w:type="dxa"/>
            <w:tcBorders>
              <w:top w:val="nil"/>
              <w:left w:val="nil"/>
              <w:right w:val="nil"/>
            </w:tcBorders>
            <w:shd w:val="clear" w:color="auto" w:fill="auto"/>
            <w:noWrap/>
            <w:vAlign w:val="center"/>
          </w:tcPr>
          <w:p w:rsidR="0097459E" w:rsidRPr="00934EC2" w:rsidRDefault="0097459E" w:rsidP="0097459E">
            <w:pPr>
              <w:widowControl/>
              <w:jc w:val="center"/>
              <w:rPr>
                <w:rFonts w:ascii="Times New Roman" w:eastAsia="MS PGothic" w:hAnsi="Times New Roman" w:cs="Times New Roman"/>
                <w:kern w:val="0"/>
                <w:sz w:val="22"/>
              </w:rPr>
            </w:pPr>
          </w:p>
        </w:tc>
        <w:tc>
          <w:tcPr>
            <w:tcW w:w="693" w:type="dxa"/>
            <w:tcBorders>
              <w:top w:val="nil"/>
              <w:left w:val="nil"/>
              <w:right w:val="nil"/>
            </w:tcBorders>
            <w:shd w:val="clear" w:color="auto" w:fill="auto"/>
            <w:noWrap/>
            <w:vAlign w:val="center"/>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Aggregate snowfall (cm)</w:t>
            </w: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1.226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2.918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0.674</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0.496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2.339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0.832</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December (prior year)</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0.003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0.001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0.049</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187.2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2.152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2.705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0.426</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-0.794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2.223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0.721</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January</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0.004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0.002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0.015</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185.1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3.085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2.944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0.295</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-0.961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2.426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0.692</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February</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0.002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0.002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0.364</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190.1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0.679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3.069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0.825</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0.978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2.449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0.690</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March</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0.003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0.002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0.103</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188.3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Total snowfall (cm)</w:t>
            </w: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0.653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2.700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0.809</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0.325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2.153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0.880</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December (prior year) to March</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0.002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0.001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b/>
                <w:bCs/>
                <w:kern w:val="0"/>
                <w:sz w:val="22"/>
                <w:u w:val="single"/>
              </w:rPr>
            </w:pPr>
            <w:r w:rsidRPr="00934EC2">
              <w:rPr>
                <w:rFonts w:ascii="Times New Roman" w:eastAsia="MS PGothic" w:hAnsi="Times New Roman" w:cs="Times New Roman"/>
                <w:b/>
                <w:bCs/>
                <w:kern w:val="0"/>
                <w:sz w:val="22"/>
                <w:u w:val="single"/>
              </w:rPr>
              <w:t>0.003</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183.5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Maximum depth of snow cover (cm)</w:t>
            </w: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0.194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3.115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0.950</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1.326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2.476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0.592</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December (prior year)</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0.009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0.005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0.050</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187.4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-1.418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2.988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0.635</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2.346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2.347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0.318</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January</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0.009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0.003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b/>
                <w:bCs/>
                <w:kern w:val="0"/>
                <w:sz w:val="22"/>
                <w:u w:val="single"/>
              </w:rPr>
            </w:pPr>
            <w:r w:rsidRPr="00934EC2">
              <w:rPr>
                <w:rFonts w:ascii="Times New Roman" w:eastAsia="MS PGothic" w:hAnsi="Times New Roman" w:cs="Times New Roman"/>
                <w:b/>
                <w:bCs/>
                <w:kern w:val="0"/>
                <w:sz w:val="22"/>
                <w:u w:val="single"/>
              </w:rPr>
              <w:t>0.007</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184.2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-1.507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2.861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0.598</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2.334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2.250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0.299</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February</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0.008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0.003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b/>
                <w:bCs/>
                <w:kern w:val="0"/>
                <w:sz w:val="22"/>
                <w:u w:val="single"/>
              </w:rPr>
            </w:pPr>
            <w:r w:rsidRPr="00934EC2">
              <w:rPr>
                <w:rFonts w:ascii="Times New Roman" w:eastAsia="MS PGothic" w:hAnsi="Times New Roman" w:cs="Times New Roman"/>
                <w:b/>
                <w:bCs/>
                <w:kern w:val="0"/>
                <w:sz w:val="22"/>
                <w:u w:val="single"/>
              </w:rPr>
              <w:t>0.002</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182.2 </w:t>
            </w: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Intercept</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0.749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2.939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0.799</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3052"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Population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0.889 </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2.357 </w:t>
            </w: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0.706</w:t>
            </w: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p>
        </w:tc>
      </w:tr>
      <w:tr w:rsidR="00934EC2" w:rsidRPr="00934EC2" w:rsidTr="0097459E">
        <w:trPr>
          <w:trHeight w:val="276"/>
        </w:trPr>
        <w:tc>
          <w:tcPr>
            <w:tcW w:w="3611" w:type="dxa"/>
            <w:tcBorders>
              <w:top w:val="nil"/>
              <w:left w:val="nil"/>
              <w:bottom w:val="single" w:sz="4" w:space="0" w:color="auto"/>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　</w:t>
            </w:r>
          </w:p>
        </w:tc>
        <w:tc>
          <w:tcPr>
            <w:tcW w:w="3052" w:type="dxa"/>
            <w:tcBorders>
              <w:top w:val="nil"/>
              <w:left w:val="nil"/>
              <w:bottom w:val="single" w:sz="4" w:space="0" w:color="auto"/>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March</w:t>
            </w:r>
          </w:p>
        </w:tc>
        <w:tc>
          <w:tcPr>
            <w:tcW w:w="1275" w:type="dxa"/>
            <w:tcBorders>
              <w:top w:val="nil"/>
              <w:left w:val="nil"/>
              <w:bottom w:val="single" w:sz="4" w:space="0" w:color="auto"/>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0.005 </w:t>
            </w:r>
          </w:p>
        </w:tc>
        <w:tc>
          <w:tcPr>
            <w:tcW w:w="754" w:type="dxa"/>
            <w:tcBorders>
              <w:top w:val="nil"/>
              <w:left w:val="nil"/>
              <w:bottom w:val="single" w:sz="4" w:space="0" w:color="auto"/>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0.002 </w:t>
            </w:r>
          </w:p>
        </w:tc>
        <w:tc>
          <w:tcPr>
            <w:tcW w:w="1044" w:type="dxa"/>
            <w:tcBorders>
              <w:top w:val="nil"/>
              <w:left w:val="nil"/>
              <w:bottom w:val="single" w:sz="4" w:space="0" w:color="auto"/>
              <w:right w:val="nil"/>
            </w:tcBorders>
            <w:shd w:val="clear" w:color="auto" w:fill="auto"/>
            <w:noWrap/>
            <w:vAlign w:val="center"/>
            <w:hideMark/>
          </w:tcPr>
          <w:p w:rsidR="0097459E" w:rsidRPr="00934EC2" w:rsidRDefault="0097459E" w:rsidP="0097459E">
            <w:pPr>
              <w:widowControl/>
              <w:jc w:val="center"/>
              <w:rPr>
                <w:rFonts w:ascii="Times New Roman" w:eastAsia="MS PGothic" w:hAnsi="Times New Roman" w:cs="Times New Roman"/>
                <w:kern w:val="0"/>
                <w:sz w:val="22"/>
              </w:rPr>
            </w:pPr>
            <w:r w:rsidRPr="00934EC2">
              <w:rPr>
                <w:rFonts w:ascii="Times New Roman" w:eastAsia="MS PGothic" w:hAnsi="Times New Roman" w:cs="Times New Roman"/>
                <w:kern w:val="0"/>
                <w:sz w:val="22"/>
              </w:rPr>
              <w:t>0.044</w:t>
            </w:r>
          </w:p>
        </w:tc>
        <w:tc>
          <w:tcPr>
            <w:tcW w:w="693" w:type="dxa"/>
            <w:tcBorders>
              <w:top w:val="nil"/>
              <w:left w:val="nil"/>
              <w:bottom w:val="single" w:sz="4" w:space="0" w:color="auto"/>
              <w:right w:val="nil"/>
            </w:tcBorders>
            <w:shd w:val="clear" w:color="auto" w:fill="auto"/>
            <w:noWrap/>
            <w:vAlign w:val="center"/>
            <w:hideMark/>
          </w:tcPr>
          <w:p w:rsidR="0097459E" w:rsidRPr="00934EC2" w:rsidRDefault="0097459E" w:rsidP="0097459E">
            <w:pPr>
              <w:widowControl/>
              <w:jc w:val="right"/>
              <w:rPr>
                <w:rFonts w:ascii="Times New Roman" w:eastAsia="MS PGothic" w:hAnsi="Times New Roman" w:cs="Times New Roman"/>
                <w:kern w:val="0"/>
                <w:sz w:val="22"/>
              </w:rPr>
            </w:pPr>
            <w:r w:rsidRPr="00934EC2">
              <w:rPr>
                <w:rFonts w:ascii="Times New Roman" w:eastAsia="MS PGothic" w:hAnsi="Times New Roman" w:cs="Times New Roman"/>
                <w:kern w:val="0"/>
                <w:sz w:val="22"/>
              </w:rPr>
              <w:t xml:space="preserve">187.3 </w:t>
            </w:r>
          </w:p>
        </w:tc>
      </w:tr>
      <w:tr w:rsidR="00934EC2" w:rsidRPr="00934EC2" w:rsidTr="0097459E">
        <w:trPr>
          <w:trHeight w:val="276"/>
        </w:trPr>
        <w:tc>
          <w:tcPr>
            <w:tcW w:w="7938" w:type="dxa"/>
            <w:gridSpan w:val="3"/>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Each negative binomial regression model was adjusted by annual population.</w:t>
            </w: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r w:rsidR="0097459E" w:rsidRPr="00934EC2" w:rsidTr="0097459E">
        <w:trPr>
          <w:trHeight w:val="276"/>
        </w:trPr>
        <w:tc>
          <w:tcPr>
            <w:tcW w:w="6663" w:type="dxa"/>
            <w:gridSpan w:val="2"/>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r w:rsidRPr="00934EC2">
              <w:rPr>
                <w:rFonts w:ascii="Times New Roman" w:eastAsia="MS PGothic" w:hAnsi="Times New Roman" w:cs="Times New Roman"/>
                <w:kern w:val="0"/>
                <w:sz w:val="22"/>
              </w:rPr>
              <w:t>S.E., Standard error; AIC, Akaike's Information Criterion</w:t>
            </w:r>
          </w:p>
        </w:tc>
        <w:tc>
          <w:tcPr>
            <w:tcW w:w="1275"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MS PGothic" w:hAnsi="Times New Roman" w:cs="Times New Roman"/>
                <w:kern w:val="0"/>
                <w:sz w:val="22"/>
              </w:rPr>
            </w:pPr>
          </w:p>
        </w:tc>
        <w:tc>
          <w:tcPr>
            <w:tcW w:w="75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1044"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c>
          <w:tcPr>
            <w:tcW w:w="693" w:type="dxa"/>
            <w:tcBorders>
              <w:top w:val="nil"/>
              <w:left w:val="nil"/>
              <w:bottom w:val="nil"/>
              <w:right w:val="nil"/>
            </w:tcBorders>
            <w:shd w:val="clear" w:color="auto" w:fill="auto"/>
            <w:noWrap/>
            <w:vAlign w:val="center"/>
            <w:hideMark/>
          </w:tcPr>
          <w:p w:rsidR="0097459E" w:rsidRPr="00934EC2" w:rsidRDefault="0097459E" w:rsidP="0097459E">
            <w:pPr>
              <w:widowControl/>
              <w:jc w:val="left"/>
              <w:rPr>
                <w:rFonts w:ascii="Times New Roman" w:eastAsia="Times New Roman" w:hAnsi="Times New Roman" w:cs="Times New Roman"/>
                <w:kern w:val="0"/>
                <w:sz w:val="20"/>
                <w:szCs w:val="20"/>
              </w:rPr>
            </w:pPr>
          </w:p>
        </w:tc>
      </w:tr>
    </w:tbl>
    <w:p w:rsidR="00044266" w:rsidRPr="00934EC2" w:rsidRDefault="00044266">
      <w:pPr>
        <w:rPr>
          <w:rFonts w:ascii="Times New Roman" w:hAnsi="Times New Roman" w:cs="Times New Roman"/>
          <w:sz w:val="24"/>
        </w:rPr>
      </w:pPr>
    </w:p>
    <w:sectPr w:rsidR="00044266" w:rsidRPr="00934EC2" w:rsidSect="009745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48A" w:rsidRDefault="0021648A" w:rsidP="008D4916">
      <w:r>
        <w:separator/>
      </w:r>
    </w:p>
  </w:endnote>
  <w:endnote w:type="continuationSeparator" w:id="0">
    <w:p w:rsidR="0021648A" w:rsidRDefault="0021648A" w:rsidP="008D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48A" w:rsidRDefault="0021648A" w:rsidP="008D4916">
      <w:r>
        <w:separator/>
      </w:r>
    </w:p>
  </w:footnote>
  <w:footnote w:type="continuationSeparator" w:id="0">
    <w:p w:rsidR="0021648A" w:rsidRDefault="0021648A" w:rsidP="008D4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48"/>
    <w:rsid w:val="00044266"/>
    <w:rsid w:val="000B0E53"/>
    <w:rsid w:val="00100607"/>
    <w:rsid w:val="0021648A"/>
    <w:rsid w:val="002761A1"/>
    <w:rsid w:val="0046466D"/>
    <w:rsid w:val="005B7660"/>
    <w:rsid w:val="008D4916"/>
    <w:rsid w:val="00921810"/>
    <w:rsid w:val="00934EC2"/>
    <w:rsid w:val="0097459E"/>
    <w:rsid w:val="00C27748"/>
    <w:rsid w:val="00CC27A2"/>
    <w:rsid w:val="00D42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17C3E0C6-2642-476C-900F-9531A07C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1810"/>
    <w:pPr>
      <w:widowControl/>
      <w:spacing w:before="100" w:beforeAutospacing="1" w:after="100" w:afterAutospacing="1"/>
      <w:jc w:val="left"/>
    </w:pPr>
    <w:rPr>
      <w:rFonts w:ascii="MS PGothic" w:eastAsia="MS PGothic" w:hAnsi="MS PGothic" w:cs="MS PGothic"/>
      <w:kern w:val="0"/>
      <w:sz w:val="24"/>
      <w:szCs w:val="24"/>
    </w:rPr>
  </w:style>
  <w:style w:type="paragraph" w:styleId="Header">
    <w:name w:val="header"/>
    <w:basedOn w:val="Normal"/>
    <w:link w:val="HeaderChar"/>
    <w:uiPriority w:val="99"/>
    <w:unhideWhenUsed/>
    <w:rsid w:val="008D4916"/>
    <w:pPr>
      <w:tabs>
        <w:tab w:val="center" w:pos="4252"/>
        <w:tab w:val="right" w:pos="8504"/>
      </w:tabs>
      <w:snapToGrid w:val="0"/>
    </w:pPr>
  </w:style>
  <w:style w:type="character" w:customStyle="1" w:styleId="HeaderChar">
    <w:name w:val="Header Char"/>
    <w:basedOn w:val="DefaultParagraphFont"/>
    <w:link w:val="Header"/>
    <w:uiPriority w:val="99"/>
    <w:rsid w:val="008D4916"/>
  </w:style>
  <w:style w:type="paragraph" w:styleId="Footer">
    <w:name w:val="footer"/>
    <w:basedOn w:val="Normal"/>
    <w:link w:val="FooterChar"/>
    <w:uiPriority w:val="99"/>
    <w:unhideWhenUsed/>
    <w:rsid w:val="008D4916"/>
    <w:pPr>
      <w:tabs>
        <w:tab w:val="center" w:pos="4252"/>
        <w:tab w:val="right" w:pos="8504"/>
      </w:tabs>
      <w:snapToGrid w:val="0"/>
    </w:pPr>
  </w:style>
  <w:style w:type="character" w:customStyle="1" w:styleId="FooterChar">
    <w:name w:val="Footer Char"/>
    <w:basedOn w:val="DefaultParagraphFont"/>
    <w:link w:val="Footer"/>
    <w:uiPriority w:val="99"/>
    <w:rsid w:val="008D4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719662">
      <w:bodyDiv w:val="1"/>
      <w:marLeft w:val="0"/>
      <w:marRight w:val="0"/>
      <w:marTop w:val="0"/>
      <w:marBottom w:val="0"/>
      <w:divBdr>
        <w:top w:val="none" w:sz="0" w:space="0" w:color="auto"/>
        <w:left w:val="none" w:sz="0" w:space="0" w:color="auto"/>
        <w:bottom w:val="none" w:sz="0" w:space="0" w:color="auto"/>
        <w:right w:val="none" w:sz="0" w:space="0" w:color="auto"/>
      </w:divBdr>
    </w:div>
    <w:div w:id="929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User</cp:lastModifiedBy>
  <cp:revision>12</cp:revision>
  <dcterms:created xsi:type="dcterms:W3CDTF">2016-05-10T01:09:00Z</dcterms:created>
  <dcterms:modified xsi:type="dcterms:W3CDTF">2016-10-10T15:31:00Z</dcterms:modified>
</cp:coreProperties>
</file>