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8B" w:rsidRDefault="00A3608D" w:rsidP="00B8438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val="en-GB" w:bidi="en-US"/>
        </w:rPr>
      </w:pPr>
      <w:r>
        <w:rPr>
          <w:rFonts w:ascii="TimesNewRomanPSMT" w:hAnsi="TimesNewRomanPSMT" w:cs="TimesNewRomanPSMT"/>
          <w:b/>
          <w:bCs/>
          <w:lang w:val="en-GB" w:bidi="en-US"/>
        </w:rPr>
        <w:t>SUPPLEMENTARY</w:t>
      </w:r>
      <w:r w:rsidR="00D47396">
        <w:rPr>
          <w:rFonts w:ascii="TimesNewRomanPSMT" w:hAnsi="TimesNewRomanPSMT" w:cs="TimesNewRomanPSMT"/>
          <w:b/>
          <w:bCs/>
          <w:lang w:val="en-GB" w:bidi="en-US"/>
        </w:rPr>
        <w:t xml:space="preserve"> </w:t>
      </w:r>
      <w:r>
        <w:rPr>
          <w:rFonts w:ascii="TimesNewRomanPSMT" w:hAnsi="TimesNewRomanPSMT" w:cs="TimesNewRomanPSMT"/>
          <w:b/>
          <w:bCs/>
          <w:lang w:val="en-GB" w:bidi="en-US"/>
        </w:rPr>
        <w:t>MATERIAL</w:t>
      </w:r>
    </w:p>
    <w:p w:rsidR="00D47396" w:rsidRDefault="00D47396" w:rsidP="00B8438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val="en-GB" w:bidi="en-US"/>
        </w:rPr>
      </w:pPr>
    </w:p>
    <w:p w:rsidR="00B8438B" w:rsidRDefault="00217CF9" w:rsidP="00B8438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val="en-GB" w:bidi="en-US"/>
        </w:rPr>
      </w:pPr>
      <w:r>
        <w:rPr>
          <w:rFonts w:ascii="TimesNewRomanPSMT" w:hAnsi="TimesNewRomanPSMT" w:cs="TimesNewRomanPSMT"/>
          <w:b/>
          <w:bCs/>
          <w:lang w:val="en-GB" w:bidi="en-US"/>
        </w:rPr>
        <w:t xml:space="preserve">  </w:t>
      </w:r>
      <w:r w:rsidR="00A3608D">
        <w:rPr>
          <w:rFonts w:ascii="TimesNewRomanPSMT" w:hAnsi="TimesNewRomanPSMT" w:cs="TimesNewRomanPSMT"/>
          <w:b/>
          <w:bCs/>
          <w:lang w:val="en-GB" w:bidi="en-US"/>
        </w:rPr>
        <w:t xml:space="preserve">Supplementary </w:t>
      </w:r>
      <w:bookmarkStart w:id="0" w:name="_GoBack"/>
      <w:bookmarkEnd w:id="0"/>
      <w:r w:rsidR="00A3608D">
        <w:rPr>
          <w:rFonts w:ascii="TimesNewRomanPSMT" w:hAnsi="TimesNewRomanPSMT" w:cs="TimesNewRomanPSMT"/>
          <w:b/>
          <w:bCs/>
          <w:lang w:val="en-GB" w:bidi="en-US"/>
        </w:rPr>
        <w:t xml:space="preserve">Table S1. </w:t>
      </w:r>
      <w:r w:rsidR="00B8438B">
        <w:rPr>
          <w:rFonts w:ascii="TimesNewRomanPSMT" w:hAnsi="TimesNewRomanPSMT" w:cs="TimesNewRomanPSMT"/>
          <w:b/>
          <w:bCs/>
          <w:lang w:val="en-GB" w:bidi="en-US"/>
        </w:rPr>
        <w:t>Comparison of s</w:t>
      </w:r>
      <w:r w:rsidR="00B8438B" w:rsidRPr="003250BE">
        <w:rPr>
          <w:rFonts w:ascii="TimesNewRomanPSMT" w:hAnsi="TimesNewRomanPSMT" w:cs="TimesNewRomanPSMT"/>
          <w:b/>
          <w:bCs/>
          <w:lang w:val="en-GB" w:bidi="en-US"/>
        </w:rPr>
        <w:t xml:space="preserve">mall intestinal histopathology classifications </w:t>
      </w:r>
    </w:p>
    <w:p w:rsidR="00A3608D" w:rsidRPr="003250BE" w:rsidRDefault="00A3608D" w:rsidP="00B8438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en-GB" w:bidi="en-US"/>
        </w:rPr>
      </w:pPr>
    </w:p>
    <w:tbl>
      <w:tblPr>
        <w:tblW w:w="9740" w:type="dxa"/>
        <w:tblInd w:w="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1260"/>
        <w:gridCol w:w="1350"/>
        <w:gridCol w:w="1530"/>
        <w:gridCol w:w="1260"/>
        <w:gridCol w:w="1260"/>
        <w:gridCol w:w="1260"/>
      </w:tblGrid>
      <w:tr w:rsidR="00B8438B" w:rsidRPr="0034198A" w:rsidTr="00321DE5">
        <w:trPr>
          <w:trHeight w:val="305"/>
        </w:trPr>
        <w:tc>
          <w:tcPr>
            <w:tcW w:w="1820" w:type="dxa"/>
            <w:shd w:val="clear" w:color="auto" w:fill="E6E6E6"/>
          </w:tcPr>
          <w:p w:rsidR="00B8438B" w:rsidRPr="00217CF9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Cs/>
                <w:lang w:val="en-GB" w:bidi="en-US"/>
              </w:rPr>
            </w:pPr>
            <w:r w:rsidRPr="00217CF9">
              <w:rPr>
                <w:rFonts w:ascii="TimesNewRomanPSMT" w:hAnsi="TimesNewRomanPSMT" w:cs="TimesNewRomanPSMT"/>
                <w:b/>
                <w:bCs/>
                <w:iCs/>
                <w:lang w:val="en-GB" w:bidi="en-US"/>
              </w:rPr>
              <w:t>Classification used in this project</w:t>
            </w:r>
          </w:p>
        </w:tc>
        <w:tc>
          <w:tcPr>
            <w:tcW w:w="1260" w:type="dxa"/>
            <w:shd w:val="clear" w:color="auto" w:fill="E6E6E6"/>
          </w:tcPr>
          <w:p w:rsidR="00B8438B" w:rsidRPr="00217CF9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Cs/>
                <w:lang w:val="en-GB" w:bidi="en-US"/>
              </w:rPr>
            </w:pPr>
            <w:r w:rsidRPr="00217CF9">
              <w:rPr>
                <w:rFonts w:ascii="TimesNewRomanPSMT" w:hAnsi="TimesNewRomanPSMT" w:cs="TimesNewRomanPSMT"/>
                <w:b/>
                <w:bCs/>
                <w:iCs/>
                <w:lang w:val="en-GB" w:bidi="en-US"/>
              </w:rPr>
              <w:t>Normal</w:t>
            </w:r>
          </w:p>
        </w:tc>
        <w:tc>
          <w:tcPr>
            <w:tcW w:w="2880" w:type="dxa"/>
            <w:gridSpan w:val="2"/>
            <w:shd w:val="clear" w:color="auto" w:fill="E6E6E6"/>
          </w:tcPr>
          <w:p w:rsidR="00B8438B" w:rsidRPr="00217CF9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Cs/>
                <w:lang w:val="en-GB" w:bidi="en-US"/>
              </w:rPr>
            </w:pPr>
            <w:r w:rsidRPr="00217CF9">
              <w:rPr>
                <w:rFonts w:ascii="TimesNewRomanPSMT" w:hAnsi="TimesNewRomanPSMT" w:cs="TimesNewRomanPSMT"/>
                <w:b/>
                <w:bCs/>
                <w:iCs/>
                <w:lang w:val="en-GB" w:bidi="en-US"/>
              </w:rPr>
              <w:t>Inflammation</w:t>
            </w:r>
          </w:p>
        </w:tc>
        <w:tc>
          <w:tcPr>
            <w:tcW w:w="3780" w:type="dxa"/>
            <w:gridSpan w:val="3"/>
            <w:shd w:val="clear" w:color="auto" w:fill="E6E6E6"/>
          </w:tcPr>
          <w:p w:rsidR="00B8438B" w:rsidRPr="00217CF9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iCs/>
                <w:lang w:val="en-GB" w:bidi="en-US"/>
              </w:rPr>
            </w:pPr>
            <w:r w:rsidRPr="00217CF9">
              <w:rPr>
                <w:rFonts w:ascii="TimesNewRomanPSMT" w:hAnsi="TimesNewRomanPSMT" w:cs="TimesNewRomanPSMT"/>
                <w:b/>
                <w:bCs/>
                <w:iCs/>
                <w:lang w:val="en-GB" w:bidi="en-US"/>
              </w:rPr>
              <w:t>Villous atrophy</w:t>
            </w:r>
          </w:p>
        </w:tc>
      </w:tr>
      <w:tr w:rsidR="00B8438B" w:rsidRPr="0034198A" w:rsidTr="00321DE5">
        <w:trPr>
          <w:trHeight w:val="260"/>
        </w:trPr>
        <w:tc>
          <w:tcPr>
            <w:tcW w:w="182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Marsh Classification*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B8438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Type 0</w:t>
            </w:r>
          </w:p>
        </w:tc>
        <w:tc>
          <w:tcPr>
            <w:tcW w:w="1350" w:type="dxa"/>
            <w:shd w:val="clear" w:color="auto" w:fill="auto"/>
          </w:tcPr>
          <w:p w:rsidR="00B8438B" w:rsidRPr="0034198A" w:rsidRDefault="00B8438B" w:rsidP="00B8438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Type 1</w:t>
            </w:r>
          </w:p>
        </w:tc>
        <w:tc>
          <w:tcPr>
            <w:tcW w:w="1530" w:type="dxa"/>
            <w:shd w:val="clear" w:color="auto" w:fill="auto"/>
          </w:tcPr>
          <w:p w:rsidR="00B8438B" w:rsidRPr="0034198A" w:rsidRDefault="00B8438B" w:rsidP="00B8438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Type 2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B8438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Type 3a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B8438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Type 3b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B8438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Type 3c</w:t>
            </w:r>
          </w:p>
        </w:tc>
      </w:tr>
      <w:tr w:rsidR="00B8438B" w:rsidRPr="0034198A" w:rsidTr="00321DE5">
        <w:trPr>
          <w:trHeight w:val="260"/>
        </w:trPr>
        <w:tc>
          <w:tcPr>
            <w:tcW w:w="182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Marsh</w:t>
            </w:r>
          </w:p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Description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Pre-infi</w:t>
            </w:r>
            <w:r>
              <w:rPr>
                <w:rFonts w:ascii="TimesNewRomanPSMT" w:hAnsi="TimesNewRomanPSMT" w:cs="TimesNewRomanPSMT"/>
                <w:lang w:val="en-GB" w:bidi="en-US"/>
              </w:rPr>
              <w:t>l</w:t>
            </w:r>
            <w:r w:rsidRPr="0034198A">
              <w:rPr>
                <w:rFonts w:ascii="TimesNewRomanPSMT" w:hAnsi="TimesNewRomanPSMT" w:cs="TimesNewRomanPSMT"/>
                <w:lang w:val="en-GB" w:bidi="en-US"/>
              </w:rPr>
              <w:t>trative</w:t>
            </w:r>
          </w:p>
        </w:tc>
        <w:tc>
          <w:tcPr>
            <w:tcW w:w="135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Infiltrative</w:t>
            </w:r>
          </w:p>
        </w:tc>
        <w:tc>
          <w:tcPr>
            <w:tcW w:w="153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Infiltrative-hyperplastic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Flat destructive</w:t>
            </w:r>
          </w:p>
        </w:tc>
      </w:tr>
      <w:tr w:rsidR="00B8438B" w:rsidRPr="0034198A" w:rsidTr="00321DE5">
        <w:trPr>
          <w:trHeight w:val="260"/>
        </w:trPr>
        <w:tc>
          <w:tcPr>
            <w:tcW w:w="182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proofErr w:type="spellStart"/>
            <w:r w:rsidRPr="0034198A">
              <w:rPr>
                <w:rFonts w:ascii="TimesNewRomanPSMT" w:hAnsi="TimesNewRomanPSMT" w:cs="TimesNewRomanPSMT"/>
                <w:lang w:val="en-GB" w:bidi="en-US"/>
              </w:rPr>
              <w:t>Corazza</w:t>
            </w:r>
            <w:proofErr w:type="spellEnd"/>
            <w:r w:rsidRPr="0034198A">
              <w:rPr>
                <w:rFonts w:ascii="TimesNewRomanPSMT" w:hAnsi="TimesNewRomanPSMT" w:cs="TimesNewRomanPSMT"/>
                <w:lang w:val="en-GB" w:bidi="en-US"/>
              </w:rPr>
              <w:t xml:space="preserve"> et al (</w:t>
            </w:r>
            <w:r w:rsidRPr="0034198A">
              <w:rPr>
                <w:rFonts w:ascii="TimesNewRomanPSMT" w:hAnsi="TimesNewRomanPSMT" w:cs="TimesNewRomanPSMT"/>
                <w:i/>
                <w:lang w:val="en-GB" w:bidi="en-US"/>
              </w:rPr>
              <w:t>ref A</w:t>
            </w:r>
            <w:r w:rsidRPr="0034198A">
              <w:rPr>
                <w:rFonts w:ascii="TimesNewRomanPSMT" w:hAnsi="TimesNewRomanPSMT" w:cs="TimesNewRomanPSMT"/>
                <w:lang w:val="en-GB" w:bidi="en-US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-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Grade A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Grade B1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Grade B2</w:t>
            </w:r>
          </w:p>
        </w:tc>
      </w:tr>
      <w:tr w:rsidR="00B8438B" w:rsidRPr="0034198A" w:rsidTr="00321DE5">
        <w:trPr>
          <w:trHeight w:val="260"/>
        </w:trPr>
        <w:tc>
          <w:tcPr>
            <w:tcW w:w="182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proofErr w:type="spellStart"/>
            <w:r w:rsidRPr="0034198A">
              <w:rPr>
                <w:rFonts w:ascii="TimesNewRomanPSMT" w:hAnsi="TimesNewRomanPSMT" w:cs="TimesNewRomanPSMT"/>
                <w:lang w:val="en-GB" w:bidi="en-US"/>
              </w:rPr>
              <w:t>SnoMed</w:t>
            </w:r>
            <w:proofErr w:type="spellEnd"/>
            <w:r w:rsidRPr="0034198A">
              <w:rPr>
                <w:rFonts w:ascii="TimesNewRomanPSMT" w:hAnsi="TimesNewRomanPSMT" w:cs="TimesNewRomanPSMT"/>
                <w:lang w:val="en-GB" w:bidi="en-US"/>
              </w:rPr>
              <w:t xml:space="preserve"> Codes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M0010, M0011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M40000, M41000, M42000, M43000, M47000, M47170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M58,</w:t>
            </w:r>
          </w:p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D6218,</w:t>
            </w:r>
          </w:p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M58005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M58,</w:t>
            </w:r>
          </w:p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D6218,</w:t>
            </w:r>
          </w:p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M58006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M58,</w:t>
            </w:r>
          </w:p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D6218,</w:t>
            </w:r>
          </w:p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M58007</w:t>
            </w:r>
          </w:p>
        </w:tc>
      </w:tr>
      <w:tr w:rsidR="00B8438B" w:rsidRPr="0034198A" w:rsidTr="00321DE5">
        <w:trPr>
          <w:trHeight w:val="260"/>
        </w:trPr>
        <w:tc>
          <w:tcPr>
            <w:tcW w:w="182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KVAST/Alexander classification</w:t>
            </w:r>
          </w:p>
        </w:tc>
        <w:tc>
          <w:tcPr>
            <w:tcW w:w="1260" w:type="dxa"/>
            <w:shd w:val="clear" w:color="auto" w:fill="auto"/>
          </w:tcPr>
          <w:p w:rsidR="00B8438B" w:rsidRDefault="00B8438B" w:rsidP="00B8438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I</w:t>
            </w:r>
          </w:p>
          <w:p w:rsidR="00B8438B" w:rsidRPr="0034198A" w:rsidRDefault="00B8438B" w:rsidP="00B8438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Normal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II</w:t>
            </w:r>
          </w:p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Intraepithelial lymphocytosis (IEL)#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III</w:t>
            </w:r>
          </w:p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Partial VA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IV</w:t>
            </w:r>
          </w:p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Subtotal VA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IV</w:t>
            </w:r>
          </w:p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Total VA</w:t>
            </w:r>
          </w:p>
        </w:tc>
      </w:tr>
      <w:tr w:rsidR="00B8438B" w:rsidRPr="0034198A" w:rsidTr="00321DE5">
        <w:trPr>
          <w:trHeight w:val="260"/>
        </w:trPr>
        <w:tc>
          <w:tcPr>
            <w:tcW w:w="182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lang w:val="en-GB" w:bidi="en-US"/>
              </w:rPr>
            </w:pP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  <w:tc>
          <w:tcPr>
            <w:tcW w:w="135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  <w:tc>
          <w:tcPr>
            <w:tcW w:w="153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</w:tr>
      <w:tr w:rsidR="00B8438B" w:rsidRPr="0034198A" w:rsidTr="00321DE5">
        <w:trPr>
          <w:trHeight w:val="260"/>
        </w:trPr>
        <w:tc>
          <w:tcPr>
            <w:tcW w:w="182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i/>
                <w:iCs/>
                <w:lang w:val="en-GB" w:bidi="en-US"/>
              </w:rPr>
              <w:t>Characteristics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  <w:tc>
          <w:tcPr>
            <w:tcW w:w="135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  <w:tc>
          <w:tcPr>
            <w:tcW w:w="153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</w:p>
        </w:tc>
      </w:tr>
      <w:tr w:rsidR="00B8438B" w:rsidRPr="0034198A" w:rsidTr="00321DE5">
        <w:trPr>
          <w:trHeight w:val="260"/>
        </w:trPr>
        <w:tc>
          <w:tcPr>
            <w:tcW w:w="182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Villous atrophy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++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++</w:t>
            </w:r>
          </w:p>
        </w:tc>
      </w:tr>
      <w:tr w:rsidR="00B8438B" w:rsidRPr="0034198A" w:rsidTr="00321DE5">
        <w:trPr>
          <w:trHeight w:val="260"/>
        </w:trPr>
        <w:tc>
          <w:tcPr>
            <w:tcW w:w="182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IEL#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</w:t>
            </w:r>
          </w:p>
        </w:tc>
        <w:tc>
          <w:tcPr>
            <w:tcW w:w="153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</w:t>
            </w:r>
          </w:p>
        </w:tc>
      </w:tr>
      <w:tr w:rsidR="00B8438B" w:rsidRPr="0034198A" w:rsidTr="00321DE5">
        <w:trPr>
          <w:trHeight w:val="260"/>
        </w:trPr>
        <w:tc>
          <w:tcPr>
            <w:tcW w:w="182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Crypt hyperplasia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++</w:t>
            </w:r>
          </w:p>
        </w:tc>
        <w:tc>
          <w:tcPr>
            <w:tcW w:w="1260" w:type="dxa"/>
            <w:shd w:val="clear" w:color="auto" w:fill="auto"/>
          </w:tcPr>
          <w:p w:rsidR="00B8438B" w:rsidRPr="0034198A" w:rsidRDefault="00B8438B" w:rsidP="00321DE5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GB" w:bidi="en-US"/>
              </w:rPr>
            </w:pPr>
            <w:r w:rsidRPr="0034198A">
              <w:rPr>
                <w:rFonts w:ascii="TimesNewRomanPSMT" w:hAnsi="TimesNewRomanPSMT" w:cs="TimesNewRomanPSMT"/>
                <w:lang w:val="en-GB" w:bidi="en-US"/>
              </w:rPr>
              <w:t>++</w:t>
            </w:r>
          </w:p>
        </w:tc>
      </w:tr>
    </w:tbl>
    <w:p w:rsidR="00A3608D" w:rsidRDefault="00A3608D" w:rsidP="00B8438B">
      <w:pPr>
        <w:widowControl w:val="0"/>
        <w:suppressAutoHyphens/>
        <w:rPr>
          <w:lang w:val="en-GB" w:bidi="x-none"/>
        </w:rPr>
      </w:pPr>
    </w:p>
    <w:p w:rsidR="00B8438B" w:rsidRPr="003250BE" w:rsidRDefault="00B8438B" w:rsidP="00B8438B">
      <w:pPr>
        <w:widowControl w:val="0"/>
        <w:suppressAutoHyphens/>
        <w:rPr>
          <w:lang w:val="en-GB" w:bidi="x-none"/>
        </w:rPr>
      </w:pPr>
      <w:r w:rsidRPr="003250BE">
        <w:rPr>
          <w:lang w:val="en-GB" w:bidi="x-none"/>
        </w:rPr>
        <w:t>*We</w:t>
      </w:r>
      <w:r>
        <w:rPr>
          <w:lang w:val="en-GB" w:bidi="x-none"/>
        </w:rPr>
        <w:t xml:space="preserve"> did not</w:t>
      </w:r>
      <w:r w:rsidRPr="003250BE">
        <w:rPr>
          <w:lang w:val="en-GB" w:bidi="x-none"/>
        </w:rPr>
        <w:t xml:space="preserve"> include Marsh type 4 in this classification since such lesions are very rare and cannot be identified through </w:t>
      </w:r>
      <w:proofErr w:type="spellStart"/>
      <w:r w:rsidRPr="003250BE">
        <w:rPr>
          <w:lang w:val="en-GB" w:bidi="x-none"/>
        </w:rPr>
        <w:t>SnoMed</w:t>
      </w:r>
      <w:proofErr w:type="spellEnd"/>
      <w:r w:rsidRPr="003250BE">
        <w:rPr>
          <w:lang w:val="en-GB" w:bidi="x-none"/>
        </w:rPr>
        <w:t xml:space="preserve"> Codes. </w:t>
      </w:r>
    </w:p>
    <w:p w:rsidR="00B8438B" w:rsidRPr="003250BE" w:rsidRDefault="00B8438B" w:rsidP="00B8438B">
      <w:pPr>
        <w:rPr>
          <w:lang w:val="en-GB" w:bidi="x-none"/>
        </w:rPr>
      </w:pPr>
      <w:r w:rsidRPr="003250BE">
        <w:rPr>
          <w:lang w:val="en-GB" w:bidi="x-none"/>
        </w:rPr>
        <w:t># Increased intraepithelial lymphocyte count (often &gt;30/100 epithelial cells).</w:t>
      </w:r>
    </w:p>
    <w:p w:rsidR="00B8438B" w:rsidRPr="003250BE" w:rsidRDefault="00B8438B" w:rsidP="00B8438B">
      <w:pPr>
        <w:rPr>
          <w:lang w:val="en-GB" w:bidi="x-none"/>
        </w:rPr>
      </w:pPr>
      <w:r w:rsidRPr="003250BE">
        <w:rPr>
          <w:lang w:val="en-GB" w:bidi="x-none"/>
        </w:rPr>
        <w:t xml:space="preserve">KVAST: </w:t>
      </w:r>
      <w:proofErr w:type="spellStart"/>
      <w:r w:rsidRPr="003250BE">
        <w:rPr>
          <w:lang w:val="en-GB" w:bidi="x-none"/>
        </w:rPr>
        <w:t>Kvalitets</w:t>
      </w:r>
      <w:proofErr w:type="spellEnd"/>
      <w:r w:rsidRPr="003250BE">
        <w:rPr>
          <w:lang w:val="en-GB" w:bidi="x-none"/>
        </w:rPr>
        <w:t xml:space="preserve">- </w:t>
      </w:r>
      <w:proofErr w:type="spellStart"/>
      <w:r w:rsidRPr="003250BE">
        <w:rPr>
          <w:lang w:val="en-GB" w:bidi="x-none"/>
        </w:rPr>
        <w:t>och</w:t>
      </w:r>
      <w:proofErr w:type="spellEnd"/>
      <w:r w:rsidRPr="003250BE">
        <w:rPr>
          <w:lang w:val="en-GB" w:bidi="x-none"/>
        </w:rPr>
        <w:t xml:space="preserve"> </w:t>
      </w:r>
      <w:proofErr w:type="spellStart"/>
      <w:r w:rsidRPr="003250BE">
        <w:rPr>
          <w:lang w:val="en-GB" w:bidi="x-none"/>
        </w:rPr>
        <w:t>Standardiseringskommittén</w:t>
      </w:r>
      <w:proofErr w:type="spellEnd"/>
      <w:r w:rsidRPr="003250BE">
        <w:rPr>
          <w:lang w:val="en-GB" w:bidi="x-none"/>
        </w:rPr>
        <w:t xml:space="preserve"> (English: Committee for Quality and Standardi</w:t>
      </w:r>
      <w:r>
        <w:rPr>
          <w:lang w:val="en-GB" w:bidi="x-none"/>
        </w:rPr>
        <w:t>s</w:t>
      </w:r>
      <w:r w:rsidRPr="003250BE">
        <w:rPr>
          <w:lang w:val="en-GB" w:bidi="x-none"/>
        </w:rPr>
        <w:t>ation).</w:t>
      </w:r>
    </w:p>
    <w:p w:rsidR="00B8438B" w:rsidRPr="00AA294A" w:rsidRDefault="00B8438B" w:rsidP="00B8438B">
      <w:pPr>
        <w:rPr>
          <w:lang w:val="en-US" w:bidi="x-none"/>
        </w:rPr>
      </w:pPr>
      <w:r>
        <w:rPr>
          <w:lang w:val="en-GB" w:bidi="x-none"/>
        </w:rPr>
        <w:t xml:space="preserve">Ref A: </w:t>
      </w:r>
      <w:proofErr w:type="spellStart"/>
      <w:r w:rsidRPr="00AA294A">
        <w:rPr>
          <w:lang w:val="en-US" w:bidi="x-none"/>
        </w:rPr>
        <w:t>Corazza</w:t>
      </w:r>
      <w:proofErr w:type="spellEnd"/>
      <w:r w:rsidRPr="00AA294A">
        <w:rPr>
          <w:lang w:val="en-US" w:bidi="x-none"/>
        </w:rPr>
        <w:t xml:space="preserve"> GR, </w:t>
      </w:r>
      <w:proofErr w:type="spellStart"/>
      <w:r w:rsidRPr="00AA294A">
        <w:rPr>
          <w:lang w:val="en-US" w:bidi="x-none"/>
        </w:rPr>
        <w:t>Villanacci</w:t>
      </w:r>
      <w:proofErr w:type="spellEnd"/>
      <w:r w:rsidRPr="00AA294A">
        <w:rPr>
          <w:lang w:val="en-US" w:bidi="x-none"/>
        </w:rPr>
        <w:t xml:space="preserve"> V, </w:t>
      </w:r>
      <w:proofErr w:type="spellStart"/>
      <w:r w:rsidRPr="00AA294A">
        <w:rPr>
          <w:lang w:val="en-US" w:bidi="x-none"/>
        </w:rPr>
        <w:t>Zambelli</w:t>
      </w:r>
      <w:proofErr w:type="spellEnd"/>
      <w:r w:rsidRPr="00AA294A">
        <w:rPr>
          <w:lang w:val="en-US" w:bidi="x-none"/>
        </w:rPr>
        <w:t xml:space="preserve"> C, et al. Comparison of the </w:t>
      </w:r>
      <w:proofErr w:type="spellStart"/>
      <w:r w:rsidRPr="00AA294A">
        <w:rPr>
          <w:lang w:val="en-US" w:bidi="x-none"/>
        </w:rPr>
        <w:t>interobserver</w:t>
      </w:r>
      <w:proofErr w:type="spellEnd"/>
      <w:r w:rsidRPr="00AA294A">
        <w:rPr>
          <w:lang w:val="en-US" w:bidi="x-none"/>
        </w:rPr>
        <w:t xml:space="preserve"> reproducibility with different histologic criteria used in </w:t>
      </w:r>
      <w:r w:rsidR="00214067">
        <w:rPr>
          <w:lang w:val="en-US" w:bidi="x-none"/>
        </w:rPr>
        <w:t>celiac</w:t>
      </w:r>
      <w:r w:rsidRPr="00AA294A">
        <w:rPr>
          <w:lang w:val="en-US" w:bidi="x-none"/>
        </w:rPr>
        <w:t xml:space="preserve"> disease. </w:t>
      </w:r>
      <w:proofErr w:type="spellStart"/>
      <w:r w:rsidRPr="00AA294A">
        <w:rPr>
          <w:lang w:val="en-US" w:bidi="x-none"/>
        </w:rPr>
        <w:t>Clin</w:t>
      </w:r>
      <w:proofErr w:type="spellEnd"/>
      <w:r w:rsidRPr="00AA294A">
        <w:rPr>
          <w:lang w:val="en-US" w:bidi="x-none"/>
        </w:rPr>
        <w:t xml:space="preserve"> </w:t>
      </w:r>
      <w:proofErr w:type="spellStart"/>
      <w:r w:rsidRPr="00AA294A">
        <w:rPr>
          <w:lang w:val="en-US" w:bidi="x-none"/>
        </w:rPr>
        <w:t>Gastroenterol</w:t>
      </w:r>
      <w:proofErr w:type="spellEnd"/>
      <w:r w:rsidRPr="00AA294A">
        <w:rPr>
          <w:lang w:val="en-US" w:bidi="x-none"/>
        </w:rPr>
        <w:t xml:space="preserve"> </w:t>
      </w:r>
      <w:proofErr w:type="spellStart"/>
      <w:r w:rsidRPr="00AA294A">
        <w:rPr>
          <w:lang w:val="en-US" w:bidi="x-none"/>
        </w:rPr>
        <w:t>Hepatol</w:t>
      </w:r>
      <w:proofErr w:type="spellEnd"/>
      <w:r w:rsidRPr="00AA294A">
        <w:rPr>
          <w:lang w:val="en-US" w:bidi="x-none"/>
        </w:rPr>
        <w:t xml:space="preserve"> 2007</w:t>
      </w:r>
      <w:proofErr w:type="gramStart"/>
      <w:r w:rsidRPr="00AA294A">
        <w:rPr>
          <w:lang w:val="en-US" w:bidi="x-none"/>
        </w:rPr>
        <w:t>;5:838</w:t>
      </w:r>
      <w:proofErr w:type="gramEnd"/>
      <w:r w:rsidRPr="00AA294A">
        <w:rPr>
          <w:lang w:val="en-US" w:bidi="x-none"/>
        </w:rPr>
        <w:t>-43.</w:t>
      </w:r>
    </w:p>
    <w:p w:rsidR="006E7020" w:rsidRPr="00DA78CF" w:rsidRDefault="006E7020">
      <w:pPr>
        <w:rPr>
          <w:lang w:val="en-US"/>
        </w:rPr>
      </w:pPr>
    </w:p>
    <w:sectPr w:rsidR="006E7020" w:rsidRPr="00D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6F" w:rsidRDefault="00C43F6F" w:rsidP="00D47396">
      <w:r>
        <w:separator/>
      </w:r>
    </w:p>
  </w:endnote>
  <w:endnote w:type="continuationSeparator" w:id="0">
    <w:p w:rsidR="00C43F6F" w:rsidRDefault="00C43F6F" w:rsidP="00D4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6F" w:rsidRDefault="00C43F6F" w:rsidP="00D47396">
      <w:r>
        <w:separator/>
      </w:r>
    </w:p>
  </w:footnote>
  <w:footnote w:type="continuationSeparator" w:id="0">
    <w:p w:rsidR="00C43F6F" w:rsidRDefault="00C43F6F" w:rsidP="00D4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96" w:rsidRDefault="00D47396">
    <w:pPr>
      <w:pStyle w:val="Header"/>
    </w:pPr>
  </w:p>
  <w:p w:rsidR="00D47396" w:rsidRDefault="00D47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8B"/>
    <w:rsid w:val="00214067"/>
    <w:rsid w:val="00217CF9"/>
    <w:rsid w:val="004C4F58"/>
    <w:rsid w:val="006E7020"/>
    <w:rsid w:val="00A3608D"/>
    <w:rsid w:val="00B8438B"/>
    <w:rsid w:val="00C32F98"/>
    <w:rsid w:val="00C43F6F"/>
    <w:rsid w:val="00D47396"/>
    <w:rsid w:val="00D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E135C-6C7F-4A67-83D5-1D0BEE57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39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D473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396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Röckert Tjernberg</dc:creator>
  <cp:keywords/>
  <dc:description/>
  <cp:lastModifiedBy>User</cp:lastModifiedBy>
  <cp:revision>5</cp:revision>
  <dcterms:created xsi:type="dcterms:W3CDTF">2016-08-10T13:47:00Z</dcterms:created>
  <dcterms:modified xsi:type="dcterms:W3CDTF">2016-12-20T15:51:00Z</dcterms:modified>
</cp:coreProperties>
</file>