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BB43A" w14:textId="77777777" w:rsidR="00C4397F" w:rsidRDefault="00C4397F" w:rsidP="002F2970">
      <w:pPr>
        <w:spacing w:line="480" w:lineRule="auto"/>
        <w:rPr>
          <w:rFonts w:eastAsia="Times New Roman"/>
          <w:i/>
          <w:iCs/>
          <w:lang w:eastAsia="en-CA"/>
        </w:rPr>
      </w:pPr>
      <w:bookmarkStart w:id="0" w:name="_GoBack"/>
      <w:bookmarkEnd w:id="0"/>
      <w:r w:rsidRPr="00312BB6">
        <w:rPr>
          <w:rFonts w:eastAsia="Times New Roman"/>
          <w:i/>
          <w:iCs/>
          <w:lang w:eastAsia="en-CA"/>
        </w:rPr>
        <w:t>Epidemiology and Infection</w:t>
      </w:r>
    </w:p>
    <w:p w14:paraId="5E5DF4C1" w14:textId="77777777" w:rsidR="00C4397F" w:rsidRPr="005814CC" w:rsidRDefault="00C4397F" w:rsidP="00C4397F">
      <w:pPr>
        <w:spacing w:line="480" w:lineRule="auto"/>
        <w:rPr>
          <w:rFonts w:eastAsia="Times New Roman"/>
        </w:rPr>
      </w:pPr>
      <w:proofErr w:type="gramStart"/>
      <w:r w:rsidRPr="005814CC">
        <w:rPr>
          <w:rFonts w:eastAsia="Times New Roman"/>
        </w:rPr>
        <w:t xml:space="preserve">Consequences of organ choice in describing bacterial </w:t>
      </w:r>
      <w:r>
        <w:rPr>
          <w:rFonts w:eastAsia="Times New Roman"/>
        </w:rPr>
        <w:t xml:space="preserve">pathogen </w:t>
      </w:r>
      <w:r w:rsidRPr="005814CC">
        <w:rPr>
          <w:rFonts w:eastAsia="Times New Roman"/>
        </w:rPr>
        <w:t>assemblages in a rodent population.</w:t>
      </w:r>
      <w:proofErr w:type="gramEnd"/>
      <w:r w:rsidRPr="005814CC">
        <w:rPr>
          <w:rFonts w:eastAsia="Times New Roman"/>
        </w:rPr>
        <w:t xml:space="preserve"> </w:t>
      </w:r>
    </w:p>
    <w:p w14:paraId="5583683A" w14:textId="77777777" w:rsidR="00C4397F" w:rsidRPr="00BC0315" w:rsidRDefault="00C4397F" w:rsidP="00C4397F">
      <w:pPr>
        <w:spacing w:line="480" w:lineRule="auto"/>
      </w:pPr>
      <w:r w:rsidRPr="00BC0315">
        <w:t xml:space="preserve">P. Villette, E. </w:t>
      </w:r>
      <w:proofErr w:type="spellStart"/>
      <w:r w:rsidRPr="00BC0315">
        <w:t>Afonso</w:t>
      </w:r>
      <w:proofErr w:type="spellEnd"/>
      <w:r w:rsidRPr="00BC0315">
        <w:t xml:space="preserve">, G. </w:t>
      </w:r>
      <w:proofErr w:type="spellStart"/>
      <w:r w:rsidRPr="00BC0315">
        <w:t>Couval</w:t>
      </w:r>
      <w:proofErr w:type="spellEnd"/>
      <w:r w:rsidRPr="00BC0315">
        <w:t xml:space="preserve">, A. </w:t>
      </w:r>
      <w:proofErr w:type="spellStart"/>
      <w:r w:rsidRPr="00BC0315">
        <w:t>Levret</w:t>
      </w:r>
      <w:proofErr w:type="spellEnd"/>
      <w:r w:rsidRPr="00BC0315">
        <w:t xml:space="preserve">, M. Galan, C. </w:t>
      </w:r>
      <w:proofErr w:type="spellStart"/>
      <w:r w:rsidRPr="00BC0315">
        <w:t>Tatard</w:t>
      </w:r>
      <w:proofErr w:type="spellEnd"/>
      <w:r w:rsidRPr="00BC0315">
        <w:t xml:space="preserve">, J.F. </w:t>
      </w:r>
      <w:proofErr w:type="spellStart"/>
      <w:r w:rsidRPr="00BC0315">
        <w:t>Cosson</w:t>
      </w:r>
      <w:proofErr w:type="spellEnd"/>
      <w:r w:rsidRPr="00BC0315">
        <w:t>, P. Giraudoux</w:t>
      </w:r>
    </w:p>
    <w:p w14:paraId="2D426A4A" w14:textId="77777777" w:rsidR="002F2970" w:rsidRPr="005E701A" w:rsidRDefault="008C5DDB" w:rsidP="002F2970">
      <w:pPr>
        <w:spacing w:line="480" w:lineRule="auto"/>
        <w:rPr>
          <w:rFonts w:eastAsia="Times New Roman"/>
          <w:b/>
        </w:rPr>
      </w:pPr>
      <w:r>
        <w:rPr>
          <w:rFonts w:eastAsia="Times New Roman"/>
          <w:b/>
        </w:rPr>
        <w:t>Supplement</w:t>
      </w:r>
      <w:r w:rsidR="00C4397F">
        <w:rPr>
          <w:rFonts w:eastAsia="Times New Roman"/>
          <w:b/>
        </w:rPr>
        <w:t>ary Material</w:t>
      </w:r>
      <w:r>
        <w:rPr>
          <w:rFonts w:eastAsia="Times New Roman"/>
          <w:b/>
        </w:rPr>
        <w:t xml:space="preserve"> 1 - </w:t>
      </w:r>
      <w:r w:rsidR="002F2970" w:rsidRPr="005E701A">
        <w:rPr>
          <w:rFonts w:eastAsia="Times New Roman"/>
          <w:b/>
        </w:rPr>
        <w:t>Sequencing methods</w:t>
      </w:r>
    </w:p>
    <w:p w14:paraId="67F45DF7" w14:textId="218B7060" w:rsidR="00526F25" w:rsidRDefault="002F2970" w:rsidP="002F2970">
      <w:pPr>
        <w:spacing w:line="480" w:lineRule="auto"/>
        <w:ind w:firstLine="720"/>
      </w:pPr>
      <w:r>
        <w:rPr>
          <w:rFonts w:eastAsia="Times New Roman"/>
        </w:rPr>
        <w:t xml:space="preserve">PCR amplification, indexing, multiplexing and </w:t>
      </w:r>
      <w:proofErr w:type="spellStart"/>
      <w:r>
        <w:rPr>
          <w:rFonts w:eastAsia="Times New Roman"/>
        </w:rPr>
        <w:t>demultiplexing</w:t>
      </w:r>
      <w:proofErr w:type="spellEnd"/>
      <w:r>
        <w:rPr>
          <w:rFonts w:eastAsia="Times New Roman"/>
        </w:rPr>
        <w:t xml:space="preserve"> followed </w:t>
      </w:r>
      <w:proofErr w:type="spellStart"/>
      <w:r w:rsidR="00A33379">
        <w:rPr>
          <w:rFonts w:eastAsia="Times New Roman"/>
        </w:rPr>
        <w:t>Kozich</w:t>
      </w:r>
      <w:proofErr w:type="spellEnd"/>
      <w:r w:rsidR="00A33379">
        <w:rPr>
          <w:rFonts w:eastAsia="Times New Roman"/>
        </w:rPr>
        <w:t xml:space="preserve"> et al. </w:t>
      </w:r>
      <w:r w:rsidR="007142CD" w:rsidRPr="007142CD">
        <w:rPr>
          <w:rFonts w:eastAsia="Times New Roman"/>
          <w:noProof/>
        </w:rPr>
        <w:t>[</w:t>
      </w:r>
      <w:r w:rsidR="00A33379" w:rsidRPr="00A33379">
        <w:rPr>
          <w:rFonts w:eastAsia="Times New Roman"/>
          <w:noProof/>
        </w:rPr>
        <w:t>1</w:t>
      </w:r>
      <w:r w:rsidR="007142CD" w:rsidRPr="007142CD">
        <w:rPr>
          <w:rFonts w:eastAsia="Times New Roman"/>
          <w:noProof/>
        </w:rPr>
        <w:t>]</w:t>
      </w:r>
      <w:r w:rsidR="00A33379">
        <w:rPr>
          <w:rFonts w:eastAsia="Times New Roman"/>
        </w:rPr>
        <w:t xml:space="preserve"> </w:t>
      </w:r>
      <w:r>
        <w:rPr>
          <w:rFonts w:eastAsia="Times New Roman"/>
        </w:rPr>
        <w:t xml:space="preserve">with modifications detailed by </w:t>
      </w:r>
      <w:r w:rsidR="00A33379">
        <w:rPr>
          <w:rFonts w:eastAsia="Times New Roman"/>
        </w:rPr>
        <w:t xml:space="preserve">Galan et al. </w:t>
      </w:r>
      <w:r w:rsidR="007142CD" w:rsidRPr="007142CD">
        <w:rPr>
          <w:rFonts w:eastAsia="Times New Roman"/>
          <w:noProof/>
        </w:rPr>
        <w:t>[</w:t>
      </w:r>
      <w:r w:rsidR="00A33379" w:rsidRPr="00A33379">
        <w:rPr>
          <w:rFonts w:eastAsia="Times New Roman"/>
          <w:noProof/>
        </w:rPr>
        <w:t>2</w:t>
      </w:r>
      <w:r w:rsidR="007142CD" w:rsidRPr="007142CD">
        <w:rPr>
          <w:rFonts w:eastAsia="Times New Roman"/>
          <w:noProof/>
        </w:rPr>
        <w:t>]</w:t>
      </w:r>
      <w:r w:rsidR="00A33379">
        <w:rPr>
          <w:rFonts w:eastAsia="Times New Roman"/>
        </w:rPr>
        <w:t xml:space="preserve">. </w:t>
      </w:r>
      <w:r>
        <w:rPr>
          <w:rFonts w:eastAsia="Times New Roman"/>
        </w:rPr>
        <w:t>Negative</w:t>
      </w:r>
      <w:r w:rsidR="00526F25" w:rsidRPr="004A754A">
        <w:t xml:space="preserve"> controls and general procedures for removing biases and ensuring the quality of the data for later interpretation followed the guidelines in Table 1 of</w:t>
      </w:r>
      <w:r w:rsidR="00A33379">
        <w:t xml:space="preserve"> Galan et al.</w:t>
      </w:r>
      <w:r w:rsidR="00526F25" w:rsidRPr="004A754A">
        <w:t xml:space="preserve"> </w:t>
      </w:r>
      <w:r w:rsidR="007142CD" w:rsidRPr="007142CD">
        <w:rPr>
          <w:noProof/>
        </w:rPr>
        <w:t>[</w:t>
      </w:r>
      <w:r w:rsidR="00A33379" w:rsidRPr="00A33379">
        <w:rPr>
          <w:noProof/>
        </w:rPr>
        <w:t>2</w:t>
      </w:r>
      <w:r w:rsidR="007142CD" w:rsidRPr="007142CD">
        <w:rPr>
          <w:noProof/>
        </w:rPr>
        <w:t>]</w:t>
      </w:r>
      <w:r w:rsidR="00526F25" w:rsidRPr="004A754A">
        <w:t xml:space="preserve">; we used </w:t>
      </w:r>
      <w:r w:rsidR="00526F25" w:rsidRPr="004A754A">
        <w:rPr>
          <w:i/>
        </w:rPr>
        <w:t xml:space="preserve">Mycoplasma </w:t>
      </w:r>
      <w:proofErr w:type="spellStart"/>
      <w:r w:rsidR="00526F25" w:rsidRPr="004A754A">
        <w:rPr>
          <w:i/>
        </w:rPr>
        <w:t>putrefaciens</w:t>
      </w:r>
      <w:proofErr w:type="spellEnd"/>
      <w:r w:rsidR="00526F25" w:rsidRPr="004A754A">
        <w:t xml:space="preserve">, </w:t>
      </w:r>
      <w:r w:rsidR="00526F25" w:rsidRPr="004A754A">
        <w:rPr>
          <w:i/>
        </w:rPr>
        <w:t xml:space="preserve">Mycoplasma </w:t>
      </w:r>
      <w:proofErr w:type="spellStart"/>
      <w:r w:rsidR="00526F25" w:rsidRPr="004A754A">
        <w:rPr>
          <w:i/>
        </w:rPr>
        <w:t>mycoides</w:t>
      </w:r>
      <w:proofErr w:type="spellEnd"/>
      <w:r w:rsidR="00526F25" w:rsidRPr="004A754A">
        <w:t xml:space="preserve">, </w:t>
      </w:r>
      <w:proofErr w:type="spellStart"/>
      <w:r w:rsidR="00526F25" w:rsidRPr="004A754A">
        <w:rPr>
          <w:i/>
        </w:rPr>
        <w:t>Borrelia</w:t>
      </w:r>
      <w:proofErr w:type="spellEnd"/>
      <w:r w:rsidR="00526F25" w:rsidRPr="004A754A">
        <w:rPr>
          <w:i/>
        </w:rPr>
        <w:t xml:space="preserve"> </w:t>
      </w:r>
      <w:proofErr w:type="spellStart"/>
      <w:r w:rsidR="00526F25" w:rsidRPr="004A754A">
        <w:rPr>
          <w:i/>
        </w:rPr>
        <w:t>burgdorferi</w:t>
      </w:r>
      <w:proofErr w:type="spellEnd"/>
      <w:r w:rsidR="00526F25" w:rsidRPr="004A754A">
        <w:rPr>
          <w:i/>
        </w:rPr>
        <w:t>,</w:t>
      </w:r>
      <w:r w:rsidR="00526F25" w:rsidRPr="004A754A">
        <w:t xml:space="preserve"> and </w:t>
      </w:r>
      <w:r w:rsidR="00526F25" w:rsidRPr="004A754A">
        <w:rPr>
          <w:i/>
        </w:rPr>
        <w:t>Bartonella</w:t>
      </w:r>
      <w:r w:rsidR="00526F25" w:rsidRPr="004A754A">
        <w:t xml:space="preserve"> </w:t>
      </w:r>
      <w:proofErr w:type="spellStart"/>
      <w:r w:rsidR="00526F25" w:rsidRPr="004A754A">
        <w:rPr>
          <w:i/>
        </w:rPr>
        <w:t>taylorii</w:t>
      </w:r>
      <w:proofErr w:type="spellEnd"/>
      <w:r w:rsidR="00526F25" w:rsidRPr="004A754A">
        <w:t>, for positive PCR amplification controls.</w:t>
      </w:r>
      <w:r w:rsidR="00526F25">
        <w:t xml:space="preserve"> </w:t>
      </w:r>
    </w:p>
    <w:p w14:paraId="24C5B8B4" w14:textId="28E61B83" w:rsidR="00DC777F" w:rsidRPr="004A754A" w:rsidRDefault="00DC777F" w:rsidP="00DC777F">
      <w:pPr>
        <w:spacing w:line="480" w:lineRule="auto"/>
        <w:ind w:firstLine="720"/>
        <w:rPr>
          <w:rFonts w:eastAsia="Times New Roman"/>
        </w:rPr>
      </w:pPr>
      <w:r w:rsidRPr="004A754A">
        <w:rPr>
          <w:rFonts w:eastAsia="Times New Roman"/>
        </w:rPr>
        <w:t xml:space="preserve">We used primers 16S-V4F/16S-V4R dual-indexed with 8bp-indices (i5 and i7) and </w:t>
      </w:r>
      <w:proofErr w:type="spellStart"/>
      <w:r w:rsidRPr="004A754A">
        <w:rPr>
          <w:rFonts w:eastAsia="Times New Roman"/>
        </w:rPr>
        <w:t>Nextera</w:t>
      </w:r>
      <w:proofErr w:type="spellEnd"/>
      <w:r w:rsidRPr="004A754A">
        <w:rPr>
          <w:rFonts w:eastAsia="Times New Roman"/>
        </w:rPr>
        <w:t xml:space="preserve"> Illumina adapters to perform two PCR replicates for each sample in 5 </w:t>
      </w:r>
      <w:proofErr w:type="spellStart"/>
      <w:r w:rsidRPr="004A754A">
        <w:rPr>
          <w:rFonts w:eastAsia="Times New Roman"/>
        </w:rPr>
        <w:t>μL</w:t>
      </w:r>
      <w:proofErr w:type="spellEnd"/>
      <w:r w:rsidRPr="004A754A">
        <w:rPr>
          <w:rFonts w:eastAsia="Times New Roman"/>
        </w:rPr>
        <w:t xml:space="preserve"> of 2 </w:t>
      </w:r>
      <w:r w:rsidRPr="004A754A">
        <w:rPr>
          <w:rFonts w:eastAsia="Times New Roman"/>
        </w:rPr>
        <w:sym w:font="Symbol" w:char="F0B4"/>
      </w:r>
      <w:r w:rsidRPr="004A754A">
        <w:rPr>
          <w:rFonts w:eastAsia="Times New Roman"/>
        </w:rPr>
        <w:t xml:space="preserve"> Multiplex PCR Kit (</w:t>
      </w:r>
      <w:proofErr w:type="spellStart"/>
      <w:r w:rsidRPr="004A754A">
        <w:rPr>
          <w:rFonts w:eastAsia="Times New Roman"/>
        </w:rPr>
        <w:t>Qiagen</w:t>
      </w:r>
      <w:proofErr w:type="spellEnd"/>
      <w:r w:rsidRPr="004A754A">
        <w:rPr>
          <w:rFonts w:eastAsia="Times New Roman"/>
        </w:rPr>
        <w:t xml:space="preserve">), 4 </w:t>
      </w:r>
      <w:proofErr w:type="spellStart"/>
      <w:r w:rsidRPr="004A754A">
        <w:rPr>
          <w:rFonts w:eastAsia="Times New Roman"/>
        </w:rPr>
        <w:t>μL</w:t>
      </w:r>
      <w:proofErr w:type="spellEnd"/>
      <w:r w:rsidRPr="004A754A">
        <w:rPr>
          <w:rFonts w:eastAsia="Times New Roman"/>
        </w:rPr>
        <w:t xml:space="preserve"> of combined forward and reverse primers (2.5 </w:t>
      </w:r>
      <w:proofErr w:type="spellStart"/>
      <w:r w:rsidRPr="004A754A">
        <w:rPr>
          <w:rFonts w:eastAsia="Times New Roman"/>
        </w:rPr>
        <w:t>μM</w:t>
      </w:r>
      <w:proofErr w:type="spellEnd"/>
      <w:r w:rsidRPr="004A754A">
        <w:rPr>
          <w:rFonts w:eastAsia="Times New Roman"/>
        </w:rPr>
        <w:t xml:space="preserve">) and 2 </w:t>
      </w:r>
      <w:proofErr w:type="spellStart"/>
      <w:r w:rsidRPr="004A754A">
        <w:rPr>
          <w:rFonts w:eastAsia="Times New Roman"/>
        </w:rPr>
        <w:t>μL</w:t>
      </w:r>
      <w:proofErr w:type="spellEnd"/>
      <w:r w:rsidRPr="004A754A">
        <w:rPr>
          <w:rFonts w:eastAsia="Times New Roman"/>
        </w:rPr>
        <w:t xml:space="preserve"> </w:t>
      </w:r>
      <w:proofErr w:type="gramStart"/>
      <w:r w:rsidRPr="004A754A">
        <w:rPr>
          <w:rFonts w:eastAsia="Times New Roman"/>
        </w:rPr>
        <w:t>of  DNA</w:t>
      </w:r>
      <w:proofErr w:type="gramEnd"/>
      <w:r w:rsidRPr="004A754A">
        <w:rPr>
          <w:rFonts w:eastAsia="Times New Roman"/>
        </w:rPr>
        <w:t xml:space="preserve"> extract. The PCR program consisted of an initial denaturation step at 95°C for 15 minutes, followed by 40 cycles of denaturation at 95°C for 20s, annealing at 55°C for 15s, and elongation at 72°C for 5 minutes, followed by a final extension step at 72°C for 10 minutes. PCR </w:t>
      </w:r>
      <w:proofErr w:type="gramStart"/>
      <w:r w:rsidRPr="004A754A">
        <w:rPr>
          <w:rFonts w:eastAsia="Times New Roman"/>
        </w:rPr>
        <w:t>amplification</w:t>
      </w:r>
      <w:proofErr w:type="gramEnd"/>
      <w:r w:rsidRPr="004A754A">
        <w:rPr>
          <w:rFonts w:eastAsia="Times New Roman"/>
        </w:rPr>
        <w:t xml:space="preserve"> was verified by electrophoresis in a 1.5% agarose gel.</w:t>
      </w:r>
      <w:r w:rsidRPr="004A754A">
        <w:t xml:space="preserve"> </w:t>
      </w:r>
      <w:r w:rsidRPr="004A754A">
        <w:rPr>
          <w:rFonts w:eastAsia="Times New Roman"/>
        </w:rPr>
        <w:t xml:space="preserve">Pooled amplicons were size-selected by excision after gel electrophoresis with 1.25% agarose gel in 1% TAE buffer, and were purified using the </w:t>
      </w:r>
      <w:proofErr w:type="spellStart"/>
      <w:r w:rsidRPr="004A754A">
        <w:rPr>
          <w:rFonts w:eastAsia="Times New Roman"/>
        </w:rPr>
        <w:t>NucleoSpin</w:t>
      </w:r>
      <w:proofErr w:type="spellEnd"/>
      <w:r w:rsidRPr="004A754A">
        <w:rPr>
          <w:rFonts w:eastAsia="Times New Roman"/>
        </w:rPr>
        <w:t xml:space="preserve"> Gel clean-up kit (</w:t>
      </w:r>
      <w:proofErr w:type="spellStart"/>
      <w:r w:rsidRPr="004A754A">
        <w:rPr>
          <w:rFonts w:eastAsia="Times New Roman"/>
        </w:rPr>
        <w:t>Machery</w:t>
      </w:r>
      <w:proofErr w:type="spellEnd"/>
      <w:r w:rsidRPr="004A754A">
        <w:rPr>
          <w:rFonts w:eastAsia="Times New Roman"/>
        </w:rPr>
        <w:t xml:space="preserve">-Nagel </w:t>
      </w:r>
      <w:proofErr w:type="spellStart"/>
      <w:r w:rsidRPr="004A754A">
        <w:rPr>
          <w:rFonts w:eastAsia="Times New Roman"/>
        </w:rPr>
        <w:t>Sarl</w:t>
      </w:r>
      <w:proofErr w:type="spellEnd"/>
      <w:r w:rsidRPr="004A754A">
        <w:rPr>
          <w:rFonts w:eastAsia="Times New Roman"/>
        </w:rPr>
        <w:t>, France). We performed quantitative PCR with the KAPA library quantification kit (</w:t>
      </w:r>
      <w:r w:rsidRPr="004A754A">
        <w:rPr>
          <w:shd w:val="clear" w:color="auto" w:fill="FFFFFF"/>
        </w:rPr>
        <w:t xml:space="preserve">KAPA </w:t>
      </w:r>
      <w:proofErr w:type="spellStart"/>
      <w:r w:rsidRPr="004A754A">
        <w:rPr>
          <w:shd w:val="clear" w:color="auto" w:fill="FFFFFF"/>
        </w:rPr>
        <w:t>Biosystems</w:t>
      </w:r>
      <w:proofErr w:type="spellEnd"/>
      <w:r w:rsidRPr="004A754A">
        <w:rPr>
          <w:rFonts w:eastAsia="Times New Roman"/>
        </w:rPr>
        <w:t xml:space="preserve">) as per </w:t>
      </w:r>
      <w:r w:rsidR="007142CD" w:rsidRPr="007142CD">
        <w:rPr>
          <w:rFonts w:eastAsia="Times New Roman"/>
          <w:noProof/>
        </w:rPr>
        <w:t>[</w:t>
      </w:r>
      <w:r w:rsidR="00A33379" w:rsidRPr="00A33379">
        <w:rPr>
          <w:rFonts w:eastAsia="Times New Roman"/>
          <w:noProof/>
        </w:rPr>
        <w:t>2</w:t>
      </w:r>
      <w:r w:rsidR="007142CD" w:rsidRPr="007142CD">
        <w:rPr>
          <w:rFonts w:eastAsia="Times New Roman"/>
          <w:noProof/>
        </w:rPr>
        <w:t>]</w:t>
      </w:r>
      <w:r w:rsidRPr="004A754A">
        <w:rPr>
          <w:rFonts w:eastAsia="Times New Roman"/>
        </w:rPr>
        <w:t xml:space="preserve"> to quantify the DNA of the final library, and then loaded the library on the Illumina MiSeq flow cell using a 500 cycle reagent cartridge and 2 x 251bp paired-end sequencing</w:t>
      </w:r>
      <w:r w:rsidRPr="004A754A">
        <w:rPr>
          <w:shd w:val="clear" w:color="auto" w:fill="FFFFFF"/>
        </w:rPr>
        <w:t>, which yielded high-</w:t>
      </w:r>
      <w:r w:rsidRPr="004A754A">
        <w:rPr>
          <w:shd w:val="clear" w:color="auto" w:fill="FFFFFF"/>
        </w:rPr>
        <w:lastRenderedPageBreak/>
        <w:t xml:space="preserve">quality sequences through the reading of each nucleotide of the V4 fragments twice after the assembly of reads 1 and reads 2. </w:t>
      </w:r>
      <w:r w:rsidRPr="004A754A">
        <w:rPr>
          <w:rFonts w:eastAsiaTheme="minorEastAsia"/>
          <w:lang w:eastAsia="fr-FR"/>
        </w:rPr>
        <w:t xml:space="preserve">The raw sequence reads </w:t>
      </w:r>
      <w:r w:rsidRPr="004A754A">
        <w:t>are available in FASTQ format in the Dryad Digital Repository.</w:t>
      </w:r>
    </w:p>
    <w:p w14:paraId="504BA16A" w14:textId="799F86C9" w:rsidR="00DC777F" w:rsidRPr="004A754A" w:rsidRDefault="00DC777F" w:rsidP="00DC777F">
      <w:pPr>
        <w:spacing w:line="480" w:lineRule="auto"/>
        <w:ind w:firstLine="720"/>
      </w:pPr>
      <w:r w:rsidRPr="004A754A">
        <w:rPr>
          <w:rFonts w:eastAsia="Times New Roman"/>
        </w:rPr>
        <w:t xml:space="preserve">Sequence analysis and taxonomic classification were performed using the </w:t>
      </w:r>
      <w:proofErr w:type="spellStart"/>
      <w:r w:rsidRPr="004A754A">
        <w:rPr>
          <w:rFonts w:eastAsia="Times New Roman"/>
        </w:rPr>
        <w:t>mothur</w:t>
      </w:r>
      <w:proofErr w:type="spellEnd"/>
      <w:r w:rsidRPr="004A754A">
        <w:rPr>
          <w:rFonts w:eastAsia="Times New Roman"/>
        </w:rPr>
        <w:t xml:space="preserve"> program package </w:t>
      </w:r>
      <w:r w:rsidR="007142CD" w:rsidRPr="007142CD">
        <w:rPr>
          <w:rFonts w:eastAsia="Times New Roman"/>
          <w:noProof/>
        </w:rPr>
        <w:t>[</w:t>
      </w:r>
      <w:r w:rsidR="00A33379" w:rsidRPr="00A33379">
        <w:rPr>
          <w:rFonts w:eastAsia="Times New Roman"/>
          <w:noProof/>
        </w:rPr>
        <w:t>3</w:t>
      </w:r>
      <w:r w:rsidR="007142CD" w:rsidRPr="007142CD">
        <w:rPr>
          <w:rFonts w:eastAsia="Times New Roman"/>
          <w:noProof/>
        </w:rPr>
        <w:t>]</w:t>
      </w:r>
      <w:r w:rsidRPr="004A754A">
        <w:rPr>
          <w:rFonts w:eastAsia="Times New Roman"/>
        </w:rPr>
        <w:t xml:space="preserve"> and following the standard operation procedure of Patrick D. </w:t>
      </w:r>
      <w:proofErr w:type="spellStart"/>
      <w:r w:rsidRPr="004A754A">
        <w:rPr>
          <w:rFonts w:eastAsia="Times New Roman"/>
        </w:rPr>
        <w:t>Schloss</w:t>
      </w:r>
      <w:proofErr w:type="spellEnd"/>
      <w:r w:rsidRPr="004A754A">
        <w:rPr>
          <w:rFonts w:eastAsia="Times New Roman"/>
        </w:rPr>
        <w:t xml:space="preserve"> </w:t>
      </w:r>
      <w:r w:rsidR="007142CD" w:rsidRPr="007142CD">
        <w:rPr>
          <w:rFonts w:eastAsia="Times New Roman"/>
          <w:noProof/>
        </w:rPr>
        <w:t>[</w:t>
      </w:r>
      <w:r w:rsidR="00A33379" w:rsidRPr="00A33379">
        <w:rPr>
          <w:rFonts w:eastAsia="Times New Roman"/>
          <w:noProof/>
        </w:rPr>
        <w:t>1</w:t>
      </w:r>
      <w:r w:rsidR="007142CD" w:rsidRPr="007142CD">
        <w:rPr>
          <w:rFonts w:eastAsia="Times New Roman"/>
          <w:noProof/>
        </w:rPr>
        <w:t>]</w:t>
      </w:r>
      <w:r w:rsidRPr="004A754A">
        <w:rPr>
          <w:rFonts w:eastAsia="Times New Roman"/>
        </w:rPr>
        <w:t>. W</w:t>
      </w:r>
      <w:r w:rsidRPr="004A754A">
        <w:rPr>
          <w:lang w:eastAsia="fr-FR"/>
        </w:rPr>
        <w:t xml:space="preserve">e used the Silva SSU Reference database v119 </w:t>
      </w:r>
      <w:r w:rsidR="007142CD" w:rsidRPr="007142CD">
        <w:rPr>
          <w:noProof/>
          <w:lang w:eastAsia="fr-FR"/>
        </w:rPr>
        <w:t>[</w:t>
      </w:r>
      <w:r w:rsidR="00A33379" w:rsidRPr="00A33379">
        <w:rPr>
          <w:noProof/>
          <w:lang w:eastAsia="fr-FR"/>
        </w:rPr>
        <w:t>4</w:t>
      </w:r>
      <w:r w:rsidR="007142CD" w:rsidRPr="007142CD">
        <w:rPr>
          <w:noProof/>
          <w:lang w:eastAsia="fr-FR"/>
        </w:rPr>
        <w:t>]</w:t>
      </w:r>
      <w:r w:rsidRPr="004A754A">
        <w:rPr>
          <w:lang w:eastAsia="fr-FR"/>
        </w:rPr>
        <w:t xml:space="preserve"> for taxonomic assignment. To discard false negatives introduced by biases in the procedure described above, we filtered the read-abundance table generated by </w:t>
      </w:r>
      <w:proofErr w:type="spellStart"/>
      <w:r w:rsidRPr="004A754A">
        <w:rPr>
          <w:lang w:eastAsia="fr-FR"/>
        </w:rPr>
        <w:t>mothur</w:t>
      </w:r>
      <w:proofErr w:type="spellEnd"/>
      <w:r w:rsidRPr="004A754A">
        <w:rPr>
          <w:lang w:eastAsia="fr-FR"/>
        </w:rPr>
        <w:t xml:space="preserve"> for each PCR product and each OTU following </w:t>
      </w:r>
      <w:r w:rsidRPr="004A754A">
        <w:rPr>
          <w:noProof/>
          <w:lang w:eastAsia="fr-FR"/>
        </w:rPr>
        <w:t>Galan et al. (2016)</w:t>
      </w:r>
      <w:r w:rsidRPr="004A754A">
        <w:rPr>
          <w:lang w:eastAsia="fr-FR"/>
        </w:rPr>
        <w:t xml:space="preserve">. We used negative controls for both DNA extraction (1 well per 96-well extraction plate) and PCR amplification (1 well per 96-well PCR plate) to estimate cross-contamination rates for individual OTUs, and we used a false-assignment rate of 0.02%to filter read abundances. To account for potential false-positives, we considered a sample positive for a given OTU only if that OTU was present in both PCR replicates after the filtering steps described above were applied.  </w:t>
      </w:r>
      <w:r w:rsidR="002F2970">
        <w:rPr>
          <w:lang w:eastAsia="fr-FR"/>
        </w:rPr>
        <w:t>O</w:t>
      </w:r>
      <w:r w:rsidR="002F2970" w:rsidRPr="002F2970">
        <w:rPr>
          <w:lang w:eastAsia="fr-FR"/>
        </w:rPr>
        <w:t xml:space="preserve">ur </w:t>
      </w:r>
      <w:r w:rsidR="00C05CE5">
        <w:rPr>
          <w:lang w:eastAsia="fr-FR"/>
        </w:rPr>
        <w:t>m</w:t>
      </w:r>
      <w:r w:rsidR="002F2970" w:rsidRPr="002F2970">
        <w:rPr>
          <w:lang w:eastAsia="fr-FR"/>
        </w:rPr>
        <w:t xml:space="preserve">ycoplasma positive controls were assigned to </w:t>
      </w:r>
      <w:proofErr w:type="spellStart"/>
      <w:r w:rsidR="002F2970" w:rsidRPr="002F2970">
        <w:rPr>
          <w:lang w:eastAsia="fr-FR"/>
        </w:rPr>
        <w:t>Entomoplasmataceae</w:t>
      </w:r>
      <w:proofErr w:type="spellEnd"/>
      <w:r w:rsidR="002F2970" w:rsidRPr="002F2970">
        <w:rPr>
          <w:lang w:eastAsia="fr-FR"/>
        </w:rPr>
        <w:t xml:space="preserve"> rather than </w:t>
      </w:r>
      <w:proofErr w:type="spellStart"/>
      <w:r w:rsidR="002F2970" w:rsidRPr="002F2970">
        <w:rPr>
          <w:lang w:eastAsia="fr-FR"/>
        </w:rPr>
        <w:t>Mycoplasmataceae</w:t>
      </w:r>
      <w:proofErr w:type="spellEnd"/>
      <w:r w:rsidR="002F2970" w:rsidRPr="002F2970">
        <w:rPr>
          <w:lang w:eastAsia="fr-FR"/>
        </w:rPr>
        <w:t xml:space="preserve"> due to a frequent taxonomic error reflected in most databases, including Silva (23</w:t>
      </w:r>
      <w:r w:rsidR="002F2970">
        <w:rPr>
          <w:lang w:eastAsia="fr-FR"/>
        </w:rPr>
        <w:t>).</w:t>
      </w:r>
      <w:r w:rsidR="002F2970" w:rsidRPr="002F2970">
        <w:rPr>
          <w:lang w:eastAsia="fr-FR"/>
        </w:rPr>
        <w:t xml:space="preserve">  </w:t>
      </w:r>
    </w:p>
    <w:p w14:paraId="007C390D" w14:textId="5E40339C" w:rsidR="00D51213" w:rsidRDefault="00DC777F" w:rsidP="00D51213">
      <w:pPr>
        <w:spacing w:line="480" w:lineRule="auto"/>
        <w:ind w:firstLine="720"/>
        <w:rPr>
          <w:rFonts w:eastAsia="Times New Roman"/>
        </w:rPr>
      </w:pPr>
      <w:r w:rsidRPr="004A754A">
        <w:rPr>
          <w:rFonts w:eastAsia="Times New Roman"/>
        </w:rPr>
        <w:t xml:space="preserve">We classified OTUs as potentially pathogenic using the 2nd edition of </w:t>
      </w:r>
      <w:proofErr w:type="spellStart"/>
      <w:r w:rsidRPr="004A754A">
        <w:rPr>
          <w:rFonts w:eastAsia="Times New Roman"/>
        </w:rPr>
        <w:t>Bergey's</w:t>
      </w:r>
      <w:proofErr w:type="spellEnd"/>
      <w:r w:rsidRPr="004A754A">
        <w:rPr>
          <w:rFonts w:eastAsia="Times New Roman"/>
        </w:rPr>
        <w:t xml:space="preserve"> Manuel of Systematic Bacteriology, Volumes 1 to 5 </w:t>
      </w:r>
      <w:r w:rsidR="007142CD" w:rsidRPr="007142CD">
        <w:rPr>
          <w:rFonts w:eastAsia="Times New Roman"/>
          <w:noProof/>
        </w:rPr>
        <w:t>[</w:t>
      </w:r>
      <w:r w:rsidR="00DA2649" w:rsidRPr="00DA2649">
        <w:rPr>
          <w:rFonts w:eastAsia="Times New Roman"/>
          <w:noProof/>
        </w:rPr>
        <w:t>5–9</w:t>
      </w:r>
      <w:r w:rsidR="007142CD" w:rsidRPr="007142CD">
        <w:rPr>
          <w:rFonts w:eastAsia="Times New Roman"/>
          <w:noProof/>
        </w:rPr>
        <w:t>]</w:t>
      </w:r>
      <w:r w:rsidRPr="004A754A">
        <w:rPr>
          <w:rFonts w:eastAsia="Times New Roman"/>
        </w:rPr>
        <w:t xml:space="preserve">, Pathogenesis of Bacterial Infections in Animals </w:t>
      </w:r>
      <w:r w:rsidR="007142CD" w:rsidRPr="007142CD">
        <w:rPr>
          <w:rFonts w:eastAsia="Times New Roman"/>
          <w:noProof/>
        </w:rPr>
        <w:t>[</w:t>
      </w:r>
      <w:r w:rsidR="00DA2649" w:rsidRPr="00DA2649">
        <w:rPr>
          <w:rFonts w:eastAsia="Times New Roman"/>
          <w:noProof/>
        </w:rPr>
        <w:t>10</w:t>
      </w:r>
      <w:r w:rsidR="007142CD" w:rsidRPr="007142CD">
        <w:rPr>
          <w:rFonts w:eastAsia="Times New Roman"/>
          <w:noProof/>
        </w:rPr>
        <w:t>]</w:t>
      </w:r>
      <w:r w:rsidRPr="004A754A">
        <w:rPr>
          <w:rFonts w:eastAsia="Times New Roman"/>
        </w:rPr>
        <w:t xml:space="preserve"> and a general search of the literature. If we found documentation implicating a genus in an infection or disease in mammals, all OTUs in that genus were designated as potentially pathogenic. If an OTU could not identified to the genus level, and was assigned to a clade that has no known pathogenic members, these OTUs were discarded from the analysis as contaminants, commensals, or rare taxa of unknown function. For the remaining unclassified </w:t>
      </w:r>
      <w:r w:rsidRPr="004A754A">
        <w:rPr>
          <w:rFonts w:eastAsia="Times New Roman"/>
        </w:rPr>
        <w:lastRenderedPageBreak/>
        <w:t xml:space="preserve">OTUs that were assigned to clades that contain pathogenic members, we compared individual sequences from these OTUs to the NCBI’s </w:t>
      </w:r>
      <w:proofErr w:type="spellStart"/>
      <w:r>
        <w:rPr>
          <w:rFonts w:eastAsia="Times New Roman"/>
        </w:rPr>
        <w:t>GenBank</w:t>
      </w:r>
      <w:proofErr w:type="spellEnd"/>
      <w:r>
        <w:rPr>
          <w:rFonts w:eastAsia="Times New Roman"/>
        </w:rPr>
        <w:t xml:space="preserve"> </w:t>
      </w:r>
      <w:r w:rsidRPr="004A754A">
        <w:rPr>
          <w:rFonts w:eastAsia="Times New Roman"/>
        </w:rPr>
        <w:t xml:space="preserve">database </w:t>
      </w:r>
      <w:r>
        <w:rPr>
          <w:rFonts w:eastAsia="Times New Roman"/>
        </w:rPr>
        <w:t xml:space="preserve">using BLAST </w:t>
      </w:r>
      <w:r w:rsidR="007142CD" w:rsidRPr="007142CD">
        <w:rPr>
          <w:rFonts w:eastAsia="Times New Roman"/>
          <w:noProof/>
        </w:rPr>
        <w:t>[</w:t>
      </w:r>
      <w:r w:rsidR="00DA2649" w:rsidRPr="00DA2649">
        <w:rPr>
          <w:rFonts w:eastAsia="Times New Roman"/>
          <w:noProof/>
        </w:rPr>
        <w:t>11</w:t>
      </w:r>
      <w:r w:rsidR="007142CD" w:rsidRPr="007142CD">
        <w:rPr>
          <w:rFonts w:eastAsia="Times New Roman"/>
          <w:noProof/>
        </w:rPr>
        <w:t>]</w:t>
      </w:r>
      <w:r w:rsidRPr="004A754A">
        <w:rPr>
          <w:rFonts w:eastAsia="Times New Roman"/>
        </w:rPr>
        <w:t>, and potential pathogenicity status was assigned when a sequence matched a known pathogen, or matched a sequence implicated in an animal infection or disease.</w:t>
      </w:r>
    </w:p>
    <w:p w14:paraId="017728DB" w14:textId="77777777" w:rsidR="00F4572E" w:rsidRDefault="00746251" w:rsidP="007523A6">
      <w:pPr>
        <w:spacing w:line="480" w:lineRule="auto"/>
        <w:ind w:firstLine="720"/>
        <w:rPr>
          <w:rFonts w:eastAsia="Times New Roman"/>
        </w:rPr>
      </w:pPr>
      <w:r>
        <w:rPr>
          <w:rFonts w:eastAsia="Times New Roman"/>
        </w:rPr>
        <w:t xml:space="preserve">Summaries of the number of reads produced and retained during the analysis are provided in Supplementary Table 1. The total </w:t>
      </w:r>
      <w:proofErr w:type="gramStart"/>
      <w:r>
        <w:rPr>
          <w:rFonts w:eastAsia="Times New Roman"/>
        </w:rPr>
        <w:t xml:space="preserve">number of reads retained in each sample after </w:t>
      </w:r>
      <w:r w:rsidR="00F4572E">
        <w:rPr>
          <w:rFonts w:eastAsia="Times New Roman"/>
        </w:rPr>
        <w:t>data filtering</w:t>
      </w:r>
      <w:r>
        <w:rPr>
          <w:rFonts w:eastAsia="Times New Roman"/>
        </w:rPr>
        <w:t xml:space="preserve"> procedures were performed are</w:t>
      </w:r>
      <w:proofErr w:type="gramEnd"/>
      <w:r>
        <w:rPr>
          <w:rFonts w:eastAsia="Times New Roman"/>
        </w:rPr>
        <w:t xml:space="preserve"> summarized in Supplementary Table 2. </w:t>
      </w:r>
      <w:r w:rsidR="00EA505C">
        <w:rPr>
          <w:rFonts w:eastAsia="Times New Roman"/>
        </w:rPr>
        <w:t xml:space="preserve">A brief summary of the OTUs removed from the data set during </w:t>
      </w:r>
      <w:r w:rsidR="00F4572E">
        <w:rPr>
          <w:rFonts w:eastAsia="Times New Roman"/>
        </w:rPr>
        <w:t>data filtering</w:t>
      </w:r>
      <w:r w:rsidR="00EA505C">
        <w:rPr>
          <w:rFonts w:eastAsia="Times New Roman"/>
        </w:rPr>
        <w:t xml:space="preserve"> procedures is provided in Supplementary Table 3.</w:t>
      </w:r>
    </w:p>
    <w:p w14:paraId="38A55D86" w14:textId="77777777" w:rsidR="00762E45" w:rsidRPr="00762E45" w:rsidRDefault="00762E45" w:rsidP="00762E45">
      <w:pPr>
        <w:spacing w:line="480" w:lineRule="auto"/>
        <w:rPr>
          <w:rFonts w:eastAsia="Times New Roman"/>
          <w:b/>
        </w:rPr>
      </w:pPr>
      <w:r>
        <w:rPr>
          <w:rFonts w:eastAsia="Times New Roman"/>
          <w:b/>
        </w:rPr>
        <w:t>REFERENCES</w:t>
      </w:r>
    </w:p>
    <w:p w14:paraId="3B01A131" w14:textId="10308E7B" w:rsidR="00762E45" w:rsidRPr="00762E45" w:rsidRDefault="00762E45" w:rsidP="00762E45">
      <w:pPr>
        <w:widowControl w:val="0"/>
        <w:autoSpaceDE w:val="0"/>
        <w:autoSpaceDN w:val="0"/>
        <w:adjustRightInd w:val="0"/>
        <w:spacing w:line="480" w:lineRule="auto"/>
        <w:rPr>
          <w:noProof/>
        </w:rPr>
      </w:pPr>
      <w:r w:rsidRPr="00762E45">
        <w:rPr>
          <w:noProof/>
        </w:rPr>
        <w:t xml:space="preserve">1. </w:t>
      </w:r>
      <w:r w:rsidRPr="00762E45">
        <w:rPr>
          <w:b/>
          <w:bCs/>
          <w:noProof/>
        </w:rPr>
        <w:t>Kozich JJ et al</w:t>
      </w:r>
      <w:r w:rsidRPr="00762E45">
        <w:rPr>
          <w:noProof/>
        </w:rPr>
        <w:t>. Development of a dual-index sequencing strategy and curation pipeline for analyzing amplicon sequence data on the MiS</w:t>
      </w:r>
      <w:r w:rsidR="00890678">
        <w:rPr>
          <w:noProof/>
        </w:rPr>
        <w:t>eq Illumina sequencing platform</w:t>
      </w:r>
      <w:r w:rsidR="007142CD" w:rsidRPr="007142CD">
        <w:rPr>
          <w:noProof/>
        </w:rPr>
        <w:t>.</w:t>
      </w:r>
      <w:r w:rsidRPr="00762E45">
        <w:rPr>
          <w:noProof/>
        </w:rPr>
        <w:t xml:space="preserve"> </w:t>
      </w:r>
      <w:r w:rsidRPr="00762E45">
        <w:rPr>
          <w:i/>
          <w:iCs/>
          <w:noProof/>
        </w:rPr>
        <w:t>Applied and Environmental Microbiology</w:t>
      </w:r>
      <w:r w:rsidRPr="00762E45">
        <w:rPr>
          <w:noProof/>
        </w:rPr>
        <w:t xml:space="preserve">. 2013; </w:t>
      </w:r>
      <w:r w:rsidRPr="00762E45">
        <w:rPr>
          <w:b/>
          <w:bCs/>
          <w:noProof/>
        </w:rPr>
        <w:t>79</w:t>
      </w:r>
      <w:r w:rsidRPr="00762E45">
        <w:rPr>
          <w:noProof/>
        </w:rPr>
        <w:t>: 5112–</w:t>
      </w:r>
      <w:r w:rsidR="007142CD" w:rsidRPr="007142CD">
        <w:rPr>
          <w:noProof/>
        </w:rPr>
        <w:t>5120</w:t>
      </w:r>
      <w:r w:rsidRPr="00762E45">
        <w:rPr>
          <w:noProof/>
        </w:rPr>
        <w:t>.</w:t>
      </w:r>
    </w:p>
    <w:p w14:paraId="4891ACFE" w14:textId="77777777" w:rsidR="00762E45" w:rsidRPr="00762E45" w:rsidRDefault="00762E45" w:rsidP="00762E45">
      <w:pPr>
        <w:widowControl w:val="0"/>
        <w:autoSpaceDE w:val="0"/>
        <w:autoSpaceDN w:val="0"/>
        <w:adjustRightInd w:val="0"/>
        <w:spacing w:line="480" w:lineRule="auto"/>
        <w:rPr>
          <w:noProof/>
        </w:rPr>
      </w:pPr>
      <w:r w:rsidRPr="00762E45">
        <w:rPr>
          <w:noProof/>
        </w:rPr>
        <w:t xml:space="preserve">2. </w:t>
      </w:r>
      <w:r w:rsidRPr="00762E45">
        <w:rPr>
          <w:b/>
          <w:bCs/>
          <w:noProof/>
        </w:rPr>
        <w:t>Galan M et al</w:t>
      </w:r>
      <w:r w:rsidRPr="00762E45">
        <w:rPr>
          <w:noProof/>
        </w:rPr>
        <w:t xml:space="preserve">. 16S rRNA amplicon sequencing for epidemiological surveys of bacteria in wildlife: the importance of cleaning post-sequencing data before estimating positivity, prevalence and co-infection. </w:t>
      </w:r>
      <w:r w:rsidRPr="00762E45">
        <w:rPr>
          <w:i/>
          <w:iCs/>
          <w:noProof/>
        </w:rPr>
        <w:t>mSystems</w:t>
      </w:r>
      <w:r w:rsidRPr="00762E45">
        <w:rPr>
          <w:noProof/>
        </w:rPr>
        <w:t xml:space="preserve">. 2016; </w:t>
      </w:r>
      <w:r w:rsidRPr="00762E45">
        <w:rPr>
          <w:b/>
          <w:bCs/>
          <w:noProof/>
        </w:rPr>
        <w:t>1</w:t>
      </w:r>
      <w:r w:rsidRPr="00762E45">
        <w:rPr>
          <w:noProof/>
        </w:rPr>
        <w:t>: e00032-16.</w:t>
      </w:r>
    </w:p>
    <w:p w14:paraId="17A65E19" w14:textId="77777777" w:rsidR="00762E45" w:rsidRPr="00762E45" w:rsidRDefault="00762E45" w:rsidP="00762E45">
      <w:pPr>
        <w:widowControl w:val="0"/>
        <w:autoSpaceDE w:val="0"/>
        <w:autoSpaceDN w:val="0"/>
        <w:adjustRightInd w:val="0"/>
        <w:spacing w:line="480" w:lineRule="auto"/>
        <w:rPr>
          <w:noProof/>
        </w:rPr>
      </w:pPr>
      <w:r w:rsidRPr="00762E45">
        <w:rPr>
          <w:noProof/>
        </w:rPr>
        <w:t xml:space="preserve">3. </w:t>
      </w:r>
      <w:r w:rsidRPr="00762E45">
        <w:rPr>
          <w:b/>
          <w:bCs/>
          <w:noProof/>
        </w:rPr>
        <w:t>Schloss PD et al</w:t>
      </w:r>
      <w:r w:rsidRPr="00762E45">
        <w:rPr>
          <w:noProof/>
        </w:rPr>
        <w:t xml:space="preserve">. Introducing mothur: open-source, platform-independent, community-supported software for describing and comparing microbial communities. </w:t>
      </w:r>
      <w:r w:rsidRPr="00762E45">
        <w:rPr>
          <w:i/>
          <w:iCs/>
          <w:noProof/>
        </w:rPr>
        <w:t>Applied and Environmental Microbiology</w:t>
      </w:r>
      <w:r w:rsidRPr="00762E45">
        <w:rPr>
          <w:noProof/>
        </w:rPr>
        <w:t xml:space="preserve">. 2009; </w:t>
      </w:r>
      <w:r w:rsidRPr="00762E45">
        <w:rPr>
          <w:b/>
          <w:bCs/>
          <w:noProof/>
        </w:rPr>
        <w:t>75</w:t>
      </w:r>
      <w:r w:rsidRPr="00762E45">
        <w:rPr>
          <w:noProof/>
        </w:rPr>
        <w:t>: 7537–7541.</w:t>
      </w:r>
    </w:p>
    <w:p w14:paraId="6474A60B" w14:textId="77777777" w:rsidR="00762E45" w:rsidRPr="00762E45" w:rsidRDefault="00762E45" w:rsidP="00762E45">
      <w:pPr>
        <w:widowControl w:val="0"/>
        <w:autoSpaceDE w:val="0"/>
        <w:autoSpaceDN w:val="0"/>
        <w:adjustRightInd w:val="0"/>
        <w:spacing w:line="480" w:lineRule="auto"/>
        <w:rPr>
          <w:noProof/>
        </w:rPr>
      </w:pPr>
      <w:r w:rsidRPr="00762E45">
        <w:rPr>
          <w:noProof/>
        </w:rPr>
        <w:t xml:space="preserve">4. </w:t>
      </w:r>
      <w:r w:rsidRPr="00762E45">
        <w:rPr>
          <w:b/>
          <w:bCs/>
          <w:noProof/>
        </w:rPr>
        <w:t>Quast C et al</w:t>
      </w:r>
      <w:r w:rsidRPr="00762E45">
        <w:rPr>
          <w:noProof/>
        </w:rPr>
        <w:t xml:space="preserve">. The SILVA ribosomal RNA gene database project: improved data processing and web-based tools. </w:t>
      </w:r>
      <w:r w:rsidRPr="00762E45">
        <w:rPr>
          <w:i/>
          <w:iCs/>
          <w:noProof/>
        </w:rPr>
        <w:t>Nucleic Acids Research</w:t>
      </w:r>
      <w:r w:rsidRPr="00762E45">
        <w:rPr>
          <w:noProof/>
        </w:rPr>
        <w:t xml:space="preserve">. 2013; </w:t>
      </w:r>
      <w:r w:rsidRPr="00762E45">
        <w:rPr>
          <w:b/>
          <w:bCs/>
          <w:noProof/>
        </w:rPr>
        <w:t>41</w:t>
      </w:r>
      <w:r w:rsidRPr="00762E45">
        <w:rPr>
          <w:noProof/>
        </w:rPr>
        <w:t>: 590–596.</w:t>
      </w:r>
    </w:p>
    <w:p w14:paraId="6A12E057" w14:textId="7F5BD0DB" w:rsidR="00762E45" w:rsidRPr="00762E45" w:rsidRDefault="00762E45" w:rsidP="00762E45">
      <w:pPr>
        <w:widowControl w:val="0"/>
        <w:autoSpaceDE w:val="0"/>
        <w:autoSpaceDN w:val="0"/>
        <w:adjustRightInd w:val="0"/>
        <w:spacing w:line="480" w:lineRule="auto"/>
        <w:rPr>
          <w:noProof/>
        </w:rPr>
      </w:pPr>
      <w:r w:rsidRPr="00762E45">
        <w:rPr>
          <w:noProof/>
        </w:rPr>
        <w:t xml:space="preserve">5. </w:t>
      </w:r>
      <w:r w:rsidRPr="00762E45">
        <w:rPr>
          <w:b/>
          <w:bCs/>
          <w:noProof/>
        </w:rPr>
        <w:t>Boone DR, Castenholz RW, Garrity GM (eds)</w:t>
      </w:r>
      <w:r w:rsidRPr="00762E45">
        <w:rPr>
          <w:noProof/>
        </w:rPr>
        <w:t xml:space="preserve">. </w:t>
      </w:r>
      <w:r w:rsidRPr="00762E45">
        <w:rPr>
          <w:i/>
          <w:iCs/>
          <w:noProof/>
        </w:rPr>
        <w:t xml:space="preserve">Bergey’s Manual of Systematic </w:t>
      </w:r>
      <w:r w:rsidRPr="00762E45">
        <w:rPr>
          <w:i/>
          <w:iCs/>
          <w:noProof/>
        </w:rPr>
        <w:lastRenderedPageBreak/>
        <w:t>Bacteriology. Volume 1: The Archaea and the deeply branching and phototrophic bacteria</w:t>
      </w:r>
      <w:r w:rsidRPr="00762E45">
        <w:rPr>
          <w:noProof/>
        </w:rPr>
        <w:t>. New York, New York: Springer; 2009</w:t>
      </w:r>
      <w:r w:rsidR="00A2025C">
        <w:rPr>
          <w:noProof/>
        </w:rPr>
        <w:t>.</w:t>
      </w:r>
      <w:r w:rsidRPr="00762E45">
        <w:rPr>
          <w:noProof/>
        </w:rPr>
        <w:t xml:space="preserve"> </w:t>
      </w:r>
    </w:p>
    <w:p w14:paraId="71355C78" w14:textId="1FCF1704" w:rsidR="00762E45" w:rsidRPr="00762E45" w:rsidRDefault="00762E45" w:rsidP="00762E45">
      <w:pPr>
        <w:widowControl w:val="0"/>
        <w:autoSpaceDE w:val="0"/>
        <w:autoSpaceDN w:val="0"/>
        <w:adjustRightInd w:val="0"/>
        <w:spacing w:line="480" w:lineRule="auto"/>
        <w:rPr>
          <w:noProof/>
        </w:rPr>
      </w:pPr>
      <w:r w:rsidRPr="00762E45">
        <w:rPr>
          <w:noProof/>
        </w:rPr>
        <w:t xml:space="preserve">6. </w:t>
      </w:r>
      <w:r w:rsidRPr="00762E45">
        <w:rPr>
          <w:b/>
          <w:bCs/>
          <w:noProof/>
        </w:rPr>
        <w:t>Brenner DJ et al (eds)</w:t>
      </w:r>
      <w:r w:rsidRPr="00762E45">
        <w:rPr>
          <w:noProof/>
        </w:rPr>
        <w:t xml:space="preserve">. </w:t>
      </w:r>
      <w:r w:rsidRPr="00762E45">
        <w:rPr>
          <w:i/>
          <w:iCs/>
          <w:noProof/>
        </w:rPr>
        <w:t>Bergey’s Manual of Systematic Bacteriology. Volume 2: The Proteobacteria, Part C: The Alpha-, Beta-, Delta-, and Epsilon-proteobacteria</w:t>
      </w:r>
      <w:r w:rsidRPr="00762E45">
        <w:rPr>
          <w:noProof/>
        </w:rPr>
        <w:t>. New York, New York: Springer; 2005</w:t>
      </w:r>
      <w:r w:rsidR="00A2025C">
        <w:rPr>
          <w:noProof/>
        </w:rPr>
        <w:t>.</w:t>
      </w:r>
      <w:r w:rsidRPr="00762E45">
        <w:rPr>
          <w:noProof/>
        </w:rPr>
        <w:t xml:space="preserve"> </w:t>
      </w:r>
    </w:p>
    <w:p w14:paraId="272952E5" w14:textId="08EC7E57" w:rsidR="00762E45" w:rsidRPr="00762E45" w:rsidRDefault="00762E45" w:rsidP="00762E45">
      <w:pPr>
        <w:widowControl w:val="0"/>
        <w:autoSpaceDE w:val="0"/>
        <w:autoSpaceDN w:val="0"/>
        <w:adjustRightInd w:val="0"/>
        <w:spacing w:line="480" w:lineRule="auto"/>
        <w:rPr>
          <w:noProof/>
        </w:rPr>
      </w:pPr>
      <w:r w:rsidRPr="00762E45">
        <w:rPr>
          <w:noProof/>
        </w:rPr>
        <w:t xml:space="preserve">7. </w:t>
      </w:r>
      <w:r w:rsidRPr="00762E45">
        <w:rPr>
          <w:b/>
          <w:bCs/>
          <w:noProof/>
        </w:rPr>
        <w:t>De Vos P et al (eds)</w:t>
      </w:r>
      <w:r w:rsidRPr="00762E45">
        <w:rPr>
          <w:noProof/>
        </w:rPr>
        <w:t xml:space="preserve">. </w:t>
      </w:r>
      <w:r w:rsidRPr="00762E45">
        <w:rPr>
          <w:i/>
          <w:iCs/>
          <w:noProof/>
        </w:rPr>
        <w:t>Bergey’s Manual of Systematic Bacteriology. Volume 3: The Firmicutres</w:t>
      </w:r>
      <w:r w:rsidRPr="00762E45">
        <w:rPr>
          <w:noProof/>
        </w:rPr>
        <w:t>. New York, New York: Springer; 2009</w:t>
      </w:r>
      <w:r w:rsidR="00A2025C">
        <w:rPr>
          <w:noProof/>
        </w:rPr>
        <w:t>.</w:t>
      </w:r>
      <w:r w:rsidRPr="00762E45">
        <w:rPr>
          <w:noProof/>
        </w:rPr>
        <w:t xml:space="preserve"> </w:t>
      </w:r>
    </w:p>
    <w:p w14:paraId="775DD2DC" w14:textId="76E6CDDA" w:rsidR="00762E45" w:rsidRPr="00762E45" w:rsidRDefault="00762E45" w:rsidP="00762E45">
      <w:pPr>
        <w:widowControl w:val="0"/>
        <w:autoSpaceDE w:val="0"/>
        <w:autoSpaceDN w:val="0"/>
        <w:adjustRightInd w:val="0"/>
        <w:spacing w:line="480" w:lineRule="auto"/>
        <w:rPr>
          <w:noProof/>
        </w:rPr>
      </w:pPr>
      <w:r w:rsidRPr="00762E45">
        <w:rPr>
          <w:noProof/>
        </w:rPr>
        <w:t xml:space="preserve">8. </w:t>
      </w:r>
      <w:r w:rsidRPr="00762E45">
        <w:rPr>
          <w:b/>
          <w:bCs/>
          <w:noProof/>
        </w:rPr>
        <w:t>Krieg NR et al (eds)</w:t>
      </w:r>
      <w:r w:rsidRPr="00762E45">
        <w:rPr>
          <w:noProof/>
        </w:rPr>
        <w:t xml:space="preserve">. </w:t>
      </w:r>
      <w:r w:rsidRPr="00762E45">
        <w:rPr>
          <w:i/>
          <w:iCs/>
          <w:noProof/>
        </w:rPr>
        <w:t>Bergey’s Manual of Systematic Bacteriology. Volume 4: The Bacteroidetes, Spirochaetes, Tenericutes (Mollicutes), Acidobacteria, Fibrobacteres, Fusobacteria, Dictyoglomi, Gemmatimonadetes, Lentisphaerae, Verrucomicrobia, Chlamydiae, and Planctomycetes</w:t>
      </w:r>
      <w:r w:rsidRPr="00762E45">
        <w:rPr>
          <w:noProof/>
        </w:rPr>
        <w:t>. New York, New York: Springer; 2010</w:t>
      </w:r>
      <w:r w:rsidR="00A2025C">
        <w:rPr>
          <w:noProof/>
        </w:rPr>
        <w:t>.</w:t>
      </w:r>
      <w:r w:rsidRPr="00762E45">
        <w:rPr>
          <w:noProof/>
        </w:rPr>
        <w:t xml:space="preserve"> </w:t>
      </w:r>
    </w:p>
    <w:p w14:paraId="656F408C" w14:textId="6B68C798" w:rsidR="00762E45" w:rsidRPr="00762E45" w:rsidRDefault="00762E45" w:rsidP="00762E45">
      <w:pPr>
        <w:widowControl w:val="0"/>
        <w:autoSpaceDE w:val="0"/>
        <w:autoSpaceDN w:val="0"/>
        <w:adjustRightInd w:val="0"/>
        <w:spacing w:line="480" w:lineRule="auto"/>
        <w:rPr>
          <w:noProof/>
        </w:rPr>
      </w:pPr>
      <w:r w:rsidRPr="00762E45">
        <w:rPr>
          <w:noProof/>
        </w:rPr>
        <w:t xml:space="preserve">9. </w:t>
      </w:r>
      <w:r w:rsidRPr="00762E45">
        <w:rPr>
          <w:b/>
          <w:bCs/>
          <w:noProof/>
        </w:rPr>
        <w:t>Goodfellow M et al (eds)</w:t>
      </w:r>
      <w:r w:rsidRPr="00762E45">
        <w:rPr>
          <w:noProof/>
        </w:rPr>
        <w:t xml:space="preserve">. </w:t>
      </w:r>
      <w:r w:rsidRPr="00762E45">
        <w:rPr>
          <w:i/>
          <w:iCs/>
          <w:noProof/>
        </w:rPr>
        <w:t>Bergey’s Manual of Systematic Bacteriology. Volume 5: The Actinobacteria, Part A and B</w:t>
      </w:r>
      <w:r w:rsidRPr="00762E45">
        <w:rPr>
          <w:noProof/>
        </w:rPr>
        <w:t>. New York, New York: Springer; 2012</w:t>
      </w:r>
      <w:r w:rsidR="00A2025C">
        <w:rPr>
          <w:noProof/>
        </w:rPr>
        <w:t>.</w:t>
      </w:r>
      <w:r w:rsidRPr="00762E45">
        <w:rPr>
          <w:noProof/>
        </w:rPr>
        <w:t xml:space="preserve"> </w:t>
      </w:r>
    </w:p>
    <w:p w14:paraId="780C3A29" w14:textId="7909B1B5" w:rsidR="00762E45" w:rsidRPr="00762E45" w:rsidRDefault="00762E45" w:rsidP="00762E45">
      <w:pPr>
        <w:widowControl w:val="0"/>
        <w:autoSpaceDE w:val="0"/>
        <w:autoSpaceDN w:val="0"/>
        <w:adjustRightInd w:val="0"/>
        <w:spacing w:line="480" w:lineRule="auto"/>
        <w:rPr>
          <w:noProof/>
        </w:rPr>
      </w:pPr>
      <w:r w:rsidRPr="00762E45">
        <w:rPr>
          <w:noProof/>
        </w:rPr>
        <w:t xml:space="preserve">10. </w:t>
      </w:r>
      <w:r w:rsidRPr="00762E45">
        <w:rPr>
          <w:b/>
          <w:bCs/>
          <w:noProof/>
        </w:rPr>
        <w:t>Gyles CL et al (eds)</w:t>
      </w:r>
      <w:r w:rsidRPr="00762E45">
        <w:rPr>
          <w:noProof/>
        </w:rPr>
        <w:t xml:space="preserve">. </w:t>
      </w:r>
      <w:r w:rsidRPr="00762E45">
        <w:rPr>
          <w:i/>
          <w:iCs/>
          <w:noProof/>
        </w:rPr>
        <w:t>Pathogenesis of bacterial infections in animals</w:t>
      </w:r>
      <w:r w:rsidRPr="00762E45">
        <w:rPr>
          <w:noProof/>
        </w:rPr>
        <w:t>. Ames, Iowa, USA: Wiley-Blackwell; 2010</w:t>
      </w:r>
      <w:r w:rsidR="00A2025C">
        <w:rPr>
          <w:noProof/>
        </w:rPr>
        <w:t>.</w:t>
      </w:r>
      <w:r w:rsidRPr="00762E45">
        <w:rPr>
          <w:noProof/>
        </w:rPr>
        <w:t xml:space="preserve"> </w:t>
      </w:r>
    </w:p>
    <w:p w14:paraId="0820280A" w14:textId="77777777" w:rsidR="00762E45" w:rsidRPr="00762E45" w:rsidRDefault="00762E45" w:rsidP="00762E45">
      <w:pPr>
        <w:widowControl w:val="0"/>
        <w:autoSpaceDE w:val="0"/>
        <w:autoSpaceDN w:val="0"/>
        <w:adjustRightInd w:val="0"/>
        <w:spacing w:line="480" w:lineRule="auto"/>
        <w:rPr>
          <w:noProof/>
        </w:rPr>
      </w:pPr>
      <w:r w:rsidRPr="00762E45">
        <w:rPr>
          <w:noProof/>
        </w:rPr>
        <w:t xml:space="preserve">11. </w:t>
      </w:r>
      <w:r w:rsidRPr="00762E45">
        <w:rPr>
          <w:b/>
          <w:bCs/>
          <w:noProof/>
        </w:rPr>
        <w:t>Altschul SF et al</w:t>
      </w:r>
      <w:r w:rsidRPr="00762E45">
        <w:rPr>
          <w:noProof/>
        </w:rPr>
        <w:t xml:space="preserve">. Basic local alignment search tool. </w:t>
      </w:r>
      <w:r w:rsidRPr="00762E45">
        <w:rPr>
          <w:i/>
          <w:iCs/>
          <w:noProof/>
        </w:rPr>
        <w:t>Journal of Molecular Biology</w:t>
      </w:r>
      <w:r w:rsidRPr="00762E45">
        <w:rPr>
          <w:noProof/>
        </w:rPr>
        <w:t xml:space="preserve">. 1990; </w:t>
      </w:r>
      <w:r w:rsidRPr="00762E45">
        <w:rPr>
          <w:b/>
          <w:bCs/>
          <w:noProof/>
        </w:rPr>
        <w:t>215</w:t>
      </w:r>
      <w:r w:rsidRPr="00762E45">
        <w:rPr>
          <w:noProof/>
        </w:rPr>
        <w:t>: 403–410.</w:t>
      </w:r>
    </w:p>
    <w:p w14:paraId="42DE3CE4" w14:textId="77777777" w:rsidR="00C05CE5" w:rsidRDefault="00C05CE5" w:rsidP="007142CD">
      <w:pPr>
        <w:widowControl w:val="0"/>
        <w:autoSpaceDE w:val="0"/>
        <w:autoSpaceDN w:val="0"/>
        <w:adjustRightInd w:val="0"/>
        <w:spacing w:line="480" w:lineRule="auto"/>
        <w:rPr>
          <w:rFonts w:eastAsia="Times New Roman"/>
          <w:b/>
        </w:rPr>
      </w:pPr>
    </w:p>
    <w:p w14:paraId="62D2BD09" w14:textId="77777777" w:rsidR="00C05CE5" w:rsidRDefault="00C05CE5" w:rsidP="00C05CE5">
      <w:pPr>
        <w:rPr>
          <w:rFonts w:eastAsia="Times New Roman"/>
        </w:rPr>
      </w:pPr>
      <w:r>
        <w:rPr>
          <w:rFonts w:eastAsia="Times New Roman"/>
        </w:rPr>
        <w:br w:type="page"/>
      </w:r>
    </w:p>
    <w:tbl>
      <w:tblPr>
        <w:tblStyle w:val="TableGrid"/>
        <w:tblW w:w="9498" w:type="dxa"/>
        <w:tblLook w:val="04A0" w:firstRow="1" w:lastRow="0" w:firstColumn="1" w:lastColumn="0" w:noHBand="0" w:noVBand="1"/>
      </w:tblPr>
      <w:tblGrid>
        <w:gridCol w:w="5954"/>
        <w:gridCol w:w="3544"/>
      </w:tblGrid>
      <w:tr w:rsidR="00F77A6C" w:rsidRPr="004A754A" w14:paraId="427D485B" w14:textId="77777777" w:rsidTr="00F77A6C">
        <w:tc>
          <w:tcPr>
            <w:tcW w:w="9498" w:type="dxa"/>
            <w:gridSpan w:val="2"/>
            <w:tcBorders>
              <w:left w:val="nil"/>
              <w:bottom w:val="single" w:sz="4" w:space="0" w:color="auto"/>
              <w:right w:val="nil"/>
            </w:tcBorders>
          </w:tcPr>
          <w:p w14:paraId="38F24CE9" w14:textId="7A71C2F3" w:rsidR="00F77A6C" w:rsidRPr="00F77A6C" w:rsidRDefault="00F77A6C" w:rsidP="008C5DDB">
            <w:pPr>
              <w:spacing w:line="480" w:lineRule="auto"/>
            </w:pPr>
            <w:r>
              <w:rPr>
                <w:rFonts w:eastAsia="Times New Roman"/>
              </w:rPr>
              <w:lastRenderedPageBreak/>
              <w:t>Supplementary Table 1: Summary of the number of reads produced and retained by our sequencing protocol and post-sequencing data filtering and analysis procedures.</w:t>
            </w:r>
          </w:p>
        </w:tc>
      </w:tr>
      <w:tr w:rsidR="00F77A6C" w:rsidRPr="004A754A" w14:paraId="28C8829F" w14:textId="77777777" w:rsidTr="00F77A6C">
        <w:tc>
          <w:tcPr>
            <w:tcW w:w="5954" w:type="dxa"/>
            <w:tcBorders>
              <w:top w:val="nil"/>
              <w:left w:val="nil"/>
              <w:bottom w:val="nil"/>
              <w:right w:val="nil"/>
            </w:tcBorders>
          </w:tcPr>
          <w:p w14:paraId="5B4DB05C" w14:textId="7959D67C" w:rsidR="00F77A6C" w:rsidRPr="00F77A6C" w:rsidRDefault="00F77A6C" w:rsidP="00F77A6C">
            <w:pPr>
              <w:spacing w:line="480" w:lineRule="auto"/>
            </w:pPr>
            <w:r>
              <w:rPr>
                <w:rFonts w:eastAsia="Times New Roman"/>
              </w:rPr>
              <w:t>Total number of reads before filtering</w:t>
            </w:r>
          </w:p>
        </w:tc>
        <w:tc>
          <w:tcPr>
            <w:tcW w:w="3544" w:type="dxa"/>
            <w:tcBorders>
              <w:top w:val="nil"/>
              <w:left w:val="nil"/>
              <w:bottom w:val="nil"/>
              <w:right w:val="nil"/>
            </w:tcBorders>
          </w:tcPr>
          <w:p w14:paraId="46381CBB" w14:textId="3EC0FBA8" w:rsidR="00F77A6C" w:rsidRPr="004A754A" w:rsidRDefault="00F77A6C" w:rsidP="00232FFF">
            <w:pPr>
              <w:spacing w:line="480" w:lineRule="auto"/>
              <w:jc w:val="center"/>
              <w:rPr>
                <w:rFonts w:eastAsia="Times New Roman"/>
                <w:color w:val="000000"/>
                <w:sz w:val="22"/>
                <w:szCs w:val="22"/>
              </w:rPr>
            </w:pPr>
            <w:r>
              <w:rPr>
                <w:rFonts w:eastAsia="Times New Roman"/>
              </w:rPr>
              <w:t>1154658</w:t>
            </w:r>
          </w:p>
        </w:tc>
      </w:tr>
      <w:tr w:rsidR="00F77A6C" w:rsidRPr="004A754A" w14:paraId="5237CE41" w14:textId="77777777" w:rsidTr="00F77A6C">
        <w:tc>
          <w:tcPr>
            <w:tcW w:w="5954" w:type="dxa"/>
            <w:tcBorders>
              <w:top w:val="nil"/>
              <w:left w:val="nil"/>
              <w:bottom w:val="nil"/>
              <w:right w:val="nil"/>
            </w:tcBorders>
          </w:tcPr>
          <w:p w14:paraId="00D74F0B" w14:textId="72CDD544" w:rsidR="00F77A6C" w:rsidRPr="00F77A6C" w:rsidRDefault="00F77A6C" w:rsidP="00F77A6C">
            <w:pPr>
              <w:spacing w:line="480" w:lineRule="auto"/>
            </w:pPr>
            <w:r>
              <w:rPr>
                <w:rFonts w:eastAsia="Times New Roman"/>
              </w:rPr>
              <w:t xml:space="preserve">Total number of reads removed after filtering procedures </w:t>
            </w:r>
          </w:p>
        </w:tc>
        <w:tc>
          <w:tcPr>
            <w:tcW w:w="3544" w:type="dxa"/>
            <w:tcBorders>
              <w:top w:val="nil"/>
              <w:left w:val="nil"/>
              <w:bottom w:val="nil"/>
              <w:right w:val="nil"/>
            </w:tcBorders>
          </w:tcPr>
          <w:p w14:paraId="1D590D40" w14:textId="27CD889E" w:rsidR="00F77A6C" w:rsidRPr="004A754A" w:rsidRDefault="00F77A6C" w:rsidP="00232FFF">
            <w:pPr>
              <w:spacing w:line="480" w:lineRule="auto"/>
              <w:jc w:val="center"/>
              <w:rPr>
                <w:rFonts w:eastAsia="Times New Roman"/>
                <w:color w:val="000000"/>
                <w:sz w:val="22"/>
                <w:szCs w:val="22"/>
              </w:rPr>
            </w:pPr>
            <w:r>
              <w:rPr>
                <w:rFonts w:eastAsia="Times New Roman"/>
              </w:rPr>
              <w:t>897725 (77.7%)</w:t>
            </w:r>
          </w:p>
        </w:tc>
      </w:tr>
      <w:tr w:rsidR="00F77A6C" w:rsidRPr="004A754A" w14:paraId="44EDFC47" w14:textId="77777777" w:rsidTr="00F77A6C">
        <w:tc>
          <w:tcPr>
            <w:tcW w:w="5954" w:type="dxa"/>
            <w:tcBorders>
              <w:top w:val="nil"/>
              <w:left w:val="nil"/>
              <w:right w:val="nil"/>
            </w:tcBorders>
          </w:tcPr>
          <w:p w14:paraId="41F07279" w14:textId="0DA006F6" w:rsidR="00F77A6C" w:rsidRPr="00F77A6C" w:rsidRDefault="00F77A6C" w:rsidP="00F77A6C">
            <w:pPr>
              <w:spacing w:line="480" w:lineRule="auto"/>
            </w:pPr>
            <w:r>
              <w:rPr>
                <w:rFonts w:eastAsia="Times New Roman"/>
              </w:rPr>
              <w:t xml:space="preserve">Total number of reads retained after filtering procedures </w:t>
            </w:r>
          </w:p>
        </w:tc>
        <w:tc>
          <w:tcPr>
            <w:tcW w:w="3544" w:type="dxa"/>
            <w:tcBorders>
              <w:top w:val="nil"/>
              <w:left w:val="nil"/>
              <w:right w:val="nil"/>
            </w:tcBorders>
          </w:tcPr>
          <w:p w14:paraId="6662D7A0" w14:textId="3FF913CE" w:rsidR="00F77A6C" w:rsidRPr="004A754A" w:rsidRDefault="00F77A6C" w:rsidP="00232FFF">
            <w:pPr>
              <w:spacing w:line="480" w:lineRule="auto"/>
              <w:jc w:val="center"/>
              <w:rPr>
                <w:rFonts w:eastAsia="Times New Roman"/>
                <w:color w:val="000000"/>
                <w:sz w:val="22"/>
                <w:szCs w:val="22"/>
              </w:rPr>
            </w:pPr>
            <w:r>
              <w:rPr>
                <w:rFonts w:eastAsia="Times New Roman"/>
              </w:rPr>
              <w:t>256933 (22.3%)</w:t>
            </w:r>
          </w:p>
        </w:tc>
      </w:tr>
    </w:tbl>
    <w:p w14:paraId="72997B9D" w14:textId="77777777" w:rsidR="00C05CE5" w:rsidRDefault="00C05CE5" w:rsidP="00C05CE5">
      <w:pPr>
        <w:spacing w:line="480" w:lineRule="auto"/>
        <w:ind w:firstLine="720"/>
        <w:rPr>
          <w:rFonts w:eastAsia="Times New Roman"/>
        </w:rPr>
      </w:pPr>
    </w:p>
    <w:p w14:paraId="05281A5E" w14:textId="77777777" w:rsidR="00C05CE5" w:rsidRDefault="00C05CE5">
      <w:pPr>
        <w:rPr>
          <w:rFonts w:eastAsia="Times New Roman"/>
        </w:rPr>
      </w:pPr>
      <w:r>
        <w:rPr>
          <w:rFonts w:eastAsia="Times New Roman"/>
        </w:rPr>
        <w:br w:type="page"/>
      </w:r>
    </w:p>
    <w:tbl>
      <w:tblPr>
        <w:tblW w:w="6966" w:type="dxa"/>
        <w:tblBorders>
          <w:top w:val="single" w:sz="4" w:space="0" w:color="auto"/>
          <w:bottom w:val="single" w:sz="4" w:space="0" w:color="auto"/>
        </w:tblBorders>
        <w:tblLook w:val="04A0" w:firstRow="1" w:lastRow="0" w:firstColumn="1" w:lastColumn="0" w:noHBand="0" w:noVBand="1"/>
      </w:tblPr>
      <w:tblGrid>
        <w:gridCol w:w="1070"/>
        <w:gridCol w:w="976"/>
        <w:gridCol w:w="976"/>
        <w:gridCol w:w="976"/>
        <w:gridCol w:w="976"/>
        <w:gridCol w:w="1016"/>
        <w:gridCol w:w="976"/>
      </w:tblGrid>
      <w:tr w:rsidR="00F77A6C" w:rsidRPr="00746251" w14:paraId="5838135C" w14:textId="77777777" w:rsidTr="00F95D00">
        <w:trPr>
          <w:trHeight w:val="300"/>
        </w:trPr>
        <w:tc>
          <w:tcPr>
            <w:tcW w:w="6966" w:type="dxa"/>
            <w:gridSpan w:val="7"/>
            <w:tcBorders>
              <w:top w:val="single" w:sz="4" w:space="0" w:color="auto"/>
              <w:bottom w:val="single" w:sz="4" w:space="0" w:color="auto"/>
            </w:tcBorders>
            <w:shd w:val="clear" w:color="auto" w:fill="auto"/>
            <w:noWrap/>
            <w:vAlign w:val="bottom"/>
          </w:tcPr>
          <w:p w14:paraId="11ADEBB4" w14:textId="77777777" w:rsidR="00F77A6C" w:rsidRPr="00D66435" w:rsidRDefault="00F77A6C" w:rsidP="00F95D00">
            <w:pPr>
              <w:spacing w:after="0" w:line="480" w:lineRule="auto"/>
              <w:rPr>
                <w:rFonts w:eastAsia="Times New Roman"/>
                <w:color w:val="000000"/>
                <w:lang w:eastAsia="en-CA"/>
              </w:rPr>
            </w:pPr>
            <w:r>
              <w:rPr>
                <w:rFonts w:eastAsia="Times New Roman"/>
                <w:color w:val="000000"/>
                <w:lang w:eastAsia="en-CA"/>
              </w:rPr>
              <w:lastRenderedPageBreak/>
              <w:t>Supplementary Table 2. Read totals for each sample after data filtering.</w:t>
            </w:r>
          </w:p>
        </w:tc>
      </w:tr>
      <w:tr w:rsidR="00F77A6C" w:rsidRPr="00746251" w14:paraId="022B91CF" w14:textId="77777777" w:rsidTr="00F95D00">
        <w:trPr>
          <w:trHeight w:val="300"/>
        </w:trPr>
        <w:tc>
          <w:tcPr>
            <w:tcW w:w="1070" w:type="dxa"/>
            <w:tcBorders>
              <w:top w:val="single" w:sz="4" w:space="0" w:color="auto"/>
              <w:bottom w:val="single" w:sz="4" w:space="0" w:color="auto"/>
            </w:tcBorders>
            <w:shd w:val="clear" w:color="auto" w:fill="auto"/>
            <w:noWrap/>
            <w:vAlign w:val="bottom"/>
            <w:hideMark/>
          </w:tcPr>
          <w:p w14:paraId="7A4B886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Location</w:t>
            </w:r>
          </w:p>
        </w:tc>
        <w:tc>
          <w:tcPr>
            <w:tcW w:w="976" w:type="dxa"/>
            <w:tcBorders>
              <w:top w:val="single" w:sz="4" w:space="0" w:color="auto"/>
              <w:bottom w:val="single" w:sz="4" w:space="0" w:color="auto"/>
            </w:tcBorders>
            <w:shd w:val="clear" w:color="auto" w:fill="auto"/>
            <w:noWrap/>
            <w:vAlign w:val="bottom"/>
            <w:hideMark/>
          </w:tcPr>
          <w:p w14:paraId="3EBC213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Animal</w:t>
            </w:r>
          </w:p>
        </w:tc>
        <w:tc>
          <w:tcPr>
            <w:tcW w:w="976" w:type="dxa"/>
            <w:tcBorders>
              <w:top w:val="single" w:sz="4" w:space="0" w:color="auto"/>
              <w:bottom w:val="single" w:sz="4" w:space="0" w:color="auto"/>
            </w:tcBorders>
            <w:shd w:val="clear" w:color="auto" w:fill="auto"/>
            <w:noWrap/>
            <w:vAlign w:val="bottom"/>
            <w:hideMark/>
          </w:tcPr>
          <w:p w14:paraId="52543B49"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Heart</w:t>
            </w:r>
          </w:p>
        </w:tc>
        <w:tc>
          <w:tcPr>
            <w:tcW w:w="976" w:type="dxa"/>
            <w:tcBorders>
              <w:top w:val="single" w:sz="4" w:space="0" w:color="auto"/>
              <w:bottom w:val="single" w:sz="4" w:space="0" w:color="auto"/>
            </w:tcBorders>
            <w:shd w:val="clear" w:color="auto" w:fill="auto"/>
            <w:noWrap/>
            <w:vAlign w:val="bottom"/>
            <w:hideMark/>
          </w:tcPr>
          <w:p w14:paraId="047351B7"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Liver</w:t>
            </w:r>
          </w:p>
        </w:tc>
        <w:tc>
          <w:tcPr>
            <w:tcW w:w="976" w:type="dxa"/>
            <w:tcBorders>
              <w:top w:val="single" w:sz="4" w:space="0" w:color="auto"/>
              <w:bottom w:val="single" w:sz="4" w:space="0" w:color="auto"/>
            </w:tcBorders>
            <w:shd w:val="clear" w:color="auto" w:fill="auto"/>
            <w:noWrap/>
            <w:vAlign w:val="bottom"/>
            <w:hideMark/>
          </w:tcPr>
          <w:p w14:paraId="57128610"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Lung</w:t>
            </w:r>
          </w:p>
        </w:tc>
        <w:tc>
          <w:tcPr>
            <w:tcW w:w="1016" w:type="dxa"/>
            <w:tcBorders>
              <w:top w:val="single" w:sz="4" w:space="0" w:color="auto"/>
              <w:bottom w:val="single" w:sz="4" w:space="0" w:color="auto"/>
            </w:tcBorders>
            <w:shd w:val="clear" w:color="auto" w:fill="auto"/>
            <w:noWrap/>
            <w:vAlign w:val="bottom"/>
            <w:hideMark/>
          </w:tcPr>
          <w:p w14:paraId="7CADF09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Kidneys</w:t>
            </w:r>
          </w:p>
        </w:tc>
        <w:tc>
          <w:tcPr>
            <w:tcW w:w="976" w:type="dxa"/>
            <w:tcBorders>
              <w:top w:val="single" w:sz="4" w:space="0" w:color="auto"/>
              <w:bottom w:val="single" w:sz="4" w:space="0" w:color="auto"/>
            </w:tcBorders>
            <w:shd w:val="clear" w:color="auto" w:fill="auto"/>
            <w:noWrap/>
            <w:vAlign w:val="bottom"/>
            <w:hideMark/>
          </w:tcPr>
          <w:p w14:paraId="37F30C4C"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Spleen</w:t>
            </w:r>
          </w:p>
        </w:tc>
      </w:tr>
      <w:tr w:rsidR="00F77A6C" w:rsidRPr="00746251" w14:paraId="66CF6489" w14:textId="77777777" w:rsidTr="00F95D00">
        <w:trPr>
          <w:trHeight w:val="300"/>
        </w:trPr>
        <w:tc>
          <w:tcPr>
            <w:tcW w:w="1070" w:type="dxa"/>
            <w:tcBorders>
              <w:top w:val="single" w:sz="4" w:space="0" w:color="auto"/>
            </w:tcBorders>
            <w:shd w:val="clear" w:color="auto" w:fill="auto"/>
            <w:noWrap/>
            <w:vAlign w:val="bottom"/>
            <w:hideMark/>
          </w:tcPr>
          <w:p w14:paraId="5C856FA4"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tcBorders>
              <w:top w:val="single" w:sz="4" w:space="0" w:color="auto"/>
            </w:tcBorders>
            <w:shd w:val="clear" w:color="auto" w:fill="auto"/>
            <w:noWrap/>
            <w:vAlign w:val="bottom"/>
            <w:hideMark/>
          </w:tcPr>
          <w:p w14:paraId="0618BE5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w:t>
            </w:r>
          </w:p>
        </w:tc>
        <w:tc>
          <w:tcPr>
            <w:tcW w:w="976" w:type="dxa"/>
            <w:tcBorders>
              <w:top w:val="single" w:sz="4" w:space="0" w:color="auto"/>
            </w:tcBorders>
            <w:shd w:val="clear" w:color="auto" w:fill="auto"/>
            <w:noWrap/>
            <w:vAlign w:val="bottom"/>
            <w:hideMark/>
          </w:tcPr>
          <w:p w14:paraId="7E4A352A"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7658</w:t>
            </w:r>
          </w:p>
        </w:tc>
        <w:tc>
          <w:tcPr>
            <w:tcW w:w="976" w:type="dxa"/>
            <w:tcBorders>
              <w:top w:val="single" w:sz="4" w:space="0" w:color="auto"/>
            </w:tcBorders>
            <w:shd w:val="clear" w:color="auto" w:fill="auto"/>
            <w:noWrap/>
            <w:vAlign w:val="bottom"/>
            <w:hideMark/>
          </w:tcPr>
          <w:p w14:paraId="7FE6833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tcBorders>
              <w:top w:val="single" w:sz="4" w:space="0" w:color="auto"/>
            </w:tcBorders>
            <w:shd w:val="clear" w:color="auto" w:fill="auto"/>
            <w:noWrap/>
            <w:vAlign w:val="bottom"/>
            <w:hideMark/>
          </w:tcPr>
          <w:p w14:paraId="4945CC7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1784</w:t>
            </w:r>
          </w:p>
        </w:tc>
        <w:tc>
          <w:tcPr>
            <w:tcW w:w="1016" w:type="dxa"/>
            <w:tcBorders>
              <w:top w:val="single" w:sz="4" w:space="0" w:color="auto"/>
            </w:tcBorders>
            <w:shd w:val="clear" w:color="auto" w:fill="auto"/>
            <w:noWrap/>
            <w:vAlign w:val="bottom"/>
            <w:hideMark/>
          </w:tcPr>
          <w:p w14:paraId="15C1130C"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2042</w:t>
            </w:r>
          </w:p>
        </w:tc>
        <w:tc>
          <w:tcPr>
            <w:tcW w:w="976" w:type="dxa"/>
            <w:tcBorders>
              <w:top w:val="single" w:sz="4" w:space="0" w:color="auto"/>
            </w:tcBorders>
            <w:shd w:val="clear" w:color="auto" w:fill="auto"/>
            <w:noWrap/>
            <w:vAlign w:val="bottom"/>
            <w:hideMark/>
          </w:tcPr>
          <w:p w14:paraId="2B0480D6"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622</w:t>
            </w:r>
          </w:p>
        </w:tc>
      </w:tr>
      <w:tr w:rsidR="00F77A6C" w:rsidRPr="00746251" w14:paraId="18F3C423" w14:textId="77777777" w:rsidTr="00F95D00">
        <w:trPr>
          <w:trHeight w:val="300"/>
        </w:trPr>
        <w:tc>
          <w:tcPr>
            <w:tcW w:w="1070" w:type="dxa"/>
            <w:shd w:val="clear" w:color="auto" w:fill="auto"/>
            <w:noWrap/>
            <w:vAlign w:val="bottom"/>
            <w:hideMark/>
          </w:tcPr>
          <w:p w14:paraId="3D50D0F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606D242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w:t>
            </w:r>
          </w:p>
        </w:tc>
        <w:tc>
          <w:tcPr>
            <w:tcW w:w="976" w:type="dxa"/>
            <w:shd w:val="clear" w:color="auto" w:fill="auto"/>
            <w:noWrap/>
            <w:vAlign w:val="bottom"/>
            <w:hideMark/>
          </w:tcPr>
          <w:p w14:paraId="56104A7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44</w:t>
            </w:r>
          </w:p>
        </w:tc>
        <w:tc>
          <w:tcPr>
            <w:tcW w:w="976" w:type="dxa"/>
            <w:shd w:val="clear" w:color="auto" w:fill="auto"/>
            <w:noWrap/>
            <w:vAlign w:val="bottom"/>
            <w:hideMark/>
          </w:tcPr>
          <w:p w14:paraId="4A0501A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40</w:t>
            </w:r>
          </w:p>
        </w:tc>
        <w:tc>
          <w:tcPr>
            <w:tcW w:w="976" w:type="dxa"/>
            <w:shd w:val="clear" w:color="auto" w:fill="auto"/>
            <w:noWrap/>
            <w:vAlign w:val="bottom"/>
            <w:hideMark/>
          </w:tcPr>
          <w:p w14:paraId="3D1D68B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1016" w:type="dxa"/>
            <w:shd w:val="clear" w:color="auto" w:fill="auto"/>
            <w:noWrap/>
            <w:vAlign w:val="bottom"/>
            <w:hideMark/>
          </w:tcPr>
          <w:p w14:paraId="2C480B47"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1148</w:t>
            </w:r>
          </w:p>
        </w:tc>
        <w:tc>
          <w:tcPr>
            <w:tcW w:w="976" w:type="dxa"/>
            <w:shd w:val="clear" w:color="auto" w:fill="auto"/>
            <w:noWrap/>
            <w:vAlign w:val="bottom"/>
            <w:hideMark/>
          </w:tcPr>
          <w:p w14:paraId="62E57CD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22</w:t>
            </w:r>
          </w:p>
        </w:tc>
      </w:tr>
      <w:tr w:rsidR="00F77A6C" w:rsidRPr="00746251" w14:paraId="0C35C55B" w14:textId="77777777" w:rsidTr="00F95D00">
        <w:trPr>
          <w:trHeight w:val="300"/>
        </w:trPr>
        <w:tc>
          <w:tcPr>
            <w:tcW w:w="1070" w:type="dxa"/>
            <w:shd w:val="clear" w:color="auto" w:fill="auto"/>
            <w:noWrap/>
            <w:vAlign w:val="bottom"/>
            <w:hideMark/>
          </w:tcPr>
          <w:p w14:paraId="5AB83FBD"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69722B5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w:t>
            </w:r>
          </w:p>
        </w:tc>
        <w:tc>
          <w:tcPr>
            <w:tcW w:w="976" w:type="dxa"/>
            <w:shd w:val="clear" w:color="auto" w:fill="auto"/>
            <w:noWrap/>
            <w:vAlign w:val="bottom"/>
            <w:hideMark/>
          </w:tcPr>
          <w:p w14:paraId="5BF6C310"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2062</w:t>
            </w:r>
          </w:p>
        </w:tc>
        <w:tc>
          <w:tcPr>
            <w:tcW w:w="976" w:type="dxa"/>
            <w:shd w:val="clear" w:color="auto" w:fill="auto"/>
            <w:noWrap/>
            <w:vAlign w:val="bottom"/>
            <w:hideMark/>
          </w:tcPr>
          <w:p w14:paraId="24A617B4"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shd w:val="clear" w:color="auto" w:fill="auto"/>
            <w:noWrap/>
            <w:vAlign w:val="bottom"/>
            <w:hideMark/>
          </w:tcPr>
          <w:p w14:paraId="12E8148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1016" w:type="dxa"/>
            <w:shd w:val="clear" w:color="auto" w:fill="auto"/>
            <w:noWrap/>
            <w:vAlign w:val="bottom"/>
            <w:hideMark/>
          </w:tcPr>
          <w:p w14:paraId="6C686B76"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11</w:t>
            </w:r>
          </w:p>
        </w:tc>
        <w:tc>
          <w:tcPr>
            <w:tcW w:w="976" w:type="dxa"/>
            <w:shd w:val="clear" w:color="auto" w:fill="auto"/>
            <w:noWrap/>
            <w:vAlign w:val="bottom"/>
            <w:hideMark/>
          </w:tcPr>
          <w:p w14:paraId="7CEF87B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17277</w:t>
            </w:r>
          </w:p>
        </w:tc>
      </w:tr>
      <w:tr w:rsidR="00F77A6C" w:rsidRPr="00746251" w14:paraId="2985F793" w14:textId="77777777" w:rsidTr="00F95D00">
        <w:trPr>
          <w:trHeight w:val="300"/>
        </w:trPr>
        <w:tc>
          <w:tcPr>
            <w:tcW w:w="1070" w:type="dxa"/>
            <w:shd w:val="clear" w:color="auto" w:fill="auto"/>
            <w:noWrap/>
            <w:vAlign w:val="bottom"/>
            <w:hideMark/>
          </w:tcPr>
          <w:p w14:paraId="05E0FA1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22E8245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w:t>
            </w:r>
          </w:p>
        </w:tc>
        <w:tc>
          <w:tcPr>
            <w:tcW w:w="976" w:type="dxa"/>
            <w:shd w:val="clear" w:color="auto" w:fill="auto"/>
            <w:noWrap/>
            <w:vAlign w:val="bottom"/>
            <w:hideMark/>
          </w:tcPr>
          <w:p w14:paraId="3EC8115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9974</w:t>
            </w:r>
          </w:p>
        </w:tc>
        <w:tc>
          <w:tcPr>
            <w:tcW w:w="976" w:type="dxa"/>
            <w:shd w:val="clear" w:color="auto" w:fill="auto"/>
            <w:noWrap/>
            <w:vAlign w:val="bottom"/>
            <w:hideMark/>
          </w:tcPr>
          <w:p w14:paraId="1C4D7B91"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3160</w:t>
            </w:r>
          </w:p>
        </w:tc>
        <w:tc>
          <w:tcPr>
            <w:tcW w:w="976" w:type="dxa"/>
            <w:shd w:val="clear" w:color="auto" w:fill="auto"/>
            <w:noWrap/>
            <w:vAlign w:val="bottom"/>
            <w:hideMark/>
          </w:tcPr>
          <w:p w14:paraId="638A180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5008</w:t>
            </w:r>
          </w:p>
        </w:tc>
        <w:tc>
          <w:tcPr>
            <w:tcW w:w="1016" w:type="dxa"/>
            <w:shd w:val="clear" w:color="auto" w:fill="auto"/>
            <w:noWrap/>
            <w:vAlign w:val="bottom"/>
            <w:hideMark/>
          </w:tcPr>
          <w:p w14:paraId="43C9BBA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1805</w:t>
            </w:r>
          </w:p>
        </w:tc>
        <w:tc>
          <w:tcPr>
            <w:tcW w:w="976" w:type="dxa"/>
            <w:shd w:val="clear" w:color="auto" w:fill="auto"/>
            <w:noWrap/>
            <w:vAlign w:val="bottom"/>
            <w:hideMark/>
          </w:tcPr>
          <w:p w14:paraId="2D301AE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1872</w:t>
            </w:r>
          </w:p>
        </w:tc>
      </w:tr>
      <w:tr w:rsidR="00F77A6C" w:rsidRPr="00746251" w14:paraId="2BAF9CBB" w14:textId="77777777" w:rsidTr="00F95D00">
        <w:trPr>
          <w:trHeight w:val="300"/>
        </w:trPr>
        <w:tc>
          <w:tcPr>
            <w:tcW w:w="1070" w:type="dxa"/>
            <w:shd w:val="clear" w:color="auto" w:fill="auto"/>
            <w:noWrap/>
            <w:vAlign w:val="bottom"/>
            <w:hideMark/>
          </w:tcPr>
          <w:p w14:paraId="1377977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6DF9D07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5</w:t>
            </w:r>
          </w:p>
        </w:tc>
        <w:tc>
          <w:tcPr>
            <w:tcW w:w="976" w:type="dxa"/>
            <w:shd w:val="clear" w:color="auto" w:fill="auto"/>
            <w:noWrap/>
            <w:vAlign w:val="bottom"/>
            <w:hideMark/>
          </w:tcPr>
          <w:p w14:paraId="23BF868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24929</w:t>
            </w:r>
          </w:p>
        </w:tc>
        <w:tc>
          <w:tcPr>
            <w:tcW w:w="976" w:type="dxa"/>
            <w:shd w:val="clear" w:color="auto" w:fill="auto"/>
            <w:noWrap/>
            <w:vAlign w:val="bottom"/>
            <w:hideMark/>
          </w:tcPr>
          <w:p w14:paraId="0599ABEA"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10550</w:t>
            </w:r>
          </w:p>
        </w:tc>
        <w:tc>
          <w:tcPr>
            <w:tcW w:w="976" w:type="dxa"/>
            <w:shd w:val="clear" w:color="auto" w:fill="auto"/>
            <w:noWrap/>
            <w:vAlign w:val="bottom"/>
            <w:hideMark/>
          </w:tcPr>
          <w:p w14:paraId="7364D791"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14762</w:t>
            </w:r>
          </w:p>
        </w:tc>
        <w:tc>
          <w:tcPr>
            <w:tcW w:w="1016" w:type="dxa"/>
            <w:shd w:val="clear" w:color="auto" w:fill="auto"/>
            <w:noWrap/>
            <w:vAlign w:val="bottom"/>
            <w:hideMark/>
          </w:tcPr>
          <w:p w14:paraId="7EAED247"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8640</w:t>
            </w:r>
          </w:p>
        </w:tc>
        <w:tc>
          <w:tcPr>
            <w:tcW w:w="976" w:type="dxa"/>
            <w:shd w:val="clear" w:color="auto" w:fill="auto"/>
            <w:noWrap/>
            <w:vAlign w:val="bottom"/>
            <w:hideMark/>
          </w:tcPr>
          <w:p w14:paraId="13C5F0B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13649</w:t>
            </w:r>
          </w:p>
        </w:tc>
      </w:tr>
      <w:tr w:rsidR="00F77A6C" w:rsidRPr="00746251" w14:paraId="66A2E272" w14:textId="77777777" w:rsidTr="00F95D00">
        <w:trPr>
          <w:trHeight w:val="300"/>
        </w:trPr>
        <w:tc>
          <w:tcPr>
            <w:tcW w:w="1070" w:type="dxa"/>
            <w:shd w:val="clear" w:color="auto" w:fill="auto"/>
            <w:noWrap/>
            <w:vAlign w:val="bottom"/>
            <w:hideMark/>
          </w:tcPr>
          <w:p w14:paraId="0B1C7107"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5D28CAC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6</w:t>
            </w:r>
          </w:p>
        </w:tc>
        <w:tc>
          <w:tcPr>
            <w:tcW w:w="976" w:type="dxa"/>
            <w:shd w:val="clear" w:color="auto" w:fill="auto"/>
            <w:noWrap/>
            <w:vAlign w:val="bottom"/>
            <w:hideMark/>
          </w:tcPr>
          <w:p w14:paraId="00F7CE5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1296</w:t>
            </w:r>
          </w:p>
        </w:tc>
        <w:tc>
          <w:tcPr>
            <w:tcW w:w="976" w:type="dxa"/>
            <w:shd w:val="clear" w:color="auto" w:fill="auto"/>
            <w:noWrap/>
            <w:vAlign w:val="bottom"/>
            <w:hideMark/>
          </w:tcPr>
          <w:p w14:paraId="3DB4CE1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1396</w:t>
            </w:r>
          </w:p>
        </w:tc>
        <w:tc>
          <w:tcPr>
            <w:tcW w:w="976" w:type="dxa"/>
            <w:shd w:val="clear" w:color="auto" w:fill="auto"/>
            <w:noWrap/>
            <w:vAlign w:val="bottom"/>
            <w:hideMark/>
          </w:tcPr>
          <w:p w14:paraId="5C52BE9D"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955</w:t>
            </w:r>
          </w:p>
        </w:tc>
        <w:tc>
          <w:tcPr>
            <w:tcW w:w="1016" w:type="dxa"/>
            <w:shd w:val="clear" w:color="auto" w:fill="auto"/>
            <w:noWrap/>
            <w:vAlign w:val="bottom"/>
            <w:hideMark/>
          </w:tcPr>
          <w:p w14:paraId="6D67812C"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763</w:t>
            </w:r>
          </w:p>
        </w:tc>
        <w:tc>
          <w:tcPr>
            <w:tcW w:w="976" w:type="dxa"/>
            <w:shd w:val="clear" w:color="auto" w:fill="auto"/>
            <w:noWrap/>
            <w:vAlign w:val="bottom"/>
            <w:hideMark/>
          </w:tcPr>
          <w:p w14:paraId="36D363A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40888</w:t>
            </w:r>
          </w:p>
        </w:tc>
      </w:tr>
      <w:tr w:rsidR="00F77A6C" w:rsidRPr="00746251" w14:paraId="6F770BAA" w14:textId="77777777" w:rsidTr="00F95D00">
        <w:trPr>
          <w:trHeight w:val="300"/>
        </w:trPr>
        <w:tc>
          <w:tcPr>
            <w:tcW w:w="1070" w:type="dxa"/>
            <w:shd w:val="clear" w:color="auto" w:fill="auto"/>
            <w:noWrap/>
            <w:vAlign w:val="bottom"/>
            <w:hideMark/>
          </w:tcPr>
          <w:p w14:paraId="11D6150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5CF11FF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7</w:t>
            </w:r>
          </w:p>
        </w:tc>
        <w:tc>
          <w:tcPr>
            <w:tcW w:w="976" w:type="dxa"/>
            <w:shd w:val="clear" w:color="auto" w:fill="auto"/>
            <w:noWrap/>
            <w:vAlign w:val="bottom"/>
            <w:hideMark/>
          </w:tcPr>
          <w:p w14:paraId="2964BEB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shd w:val="clear" w:color="auto" w:fill="auto"/>
            <w:noWrap/>
            <w:vAlign w:val="bottom"/>
            <w:hideMark/>
          </w:tcPr>
          <w:p w14:paraId="18F661B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shd w:val="clear" w:color="auto" w:fill="auto"/>
            <w:noWrap/>
            <w:vAlign w:val="bottom"/>
            <w:hideMark/>
          </w:tcPr>
          <w:p w14:paraId="3F0F18B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1016" w:type="dxa"/>
            <w:shd w:val="clear" w:color="auto" w:fill="auto"/>
            <w:noWrap/>
            <w:vAlign w:val="bottom"/>
            <w:hideMark/>
          </w:tcPr>
          <w:p w14:paraId="41334A7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8</w:t>
            </w:r>
          </w:p>
        </w:tc>
        <w:tc>
          <w:tcPr>
            <w:tcW w:w="976" w:type="dxa"/>
            <w:shd w:val="clear" w:color="auto" w:fill="auto"/>
            <w:noWrap/>
            <w:vAlign w:val="bottom"/>
            <w:hideMark/>
          </w:tcPr>
          <w:p w14:paraId="67BD97D7"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r>
      <w:tr w:rsidR="00F77A6C" w:rsidRPr="00746251" w14:paraId="12AC01BC" w14:textId="77777777" w:rsidTr="00F95D00">
        <w:trPr>
          <w:trHeight w:val="300"/>
        </w:trPr>
        <w:tc>
          <w:tcPr>
            <w:tcW w:w="1070" w:type="dxa"/>
            <w:shd w:val="clear" w:color="auto" w:fill="auto"/>
            <w:noWrap/>
            <w:vAlign w:val="bottom"/>
            <w:hideMark/>
          </w:tcPr>
          <w:p w14:paraId="45075C90"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4676D80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8</w:t>
            </w:r>
          </w:p>
        </w:tc>
        <w:tc>
          <w:tcPr>
            <w:tcW w:w="976" w:type="dxa"/>
            <w:shd w:val="clear" w:color="auto" w:fill="auto"/>
            <w:noWrap/>
            <w:vAlign w:val="bottom"/>
            <w:hideMark/>
          </w:tcPr>
          <w:p w14:paraId="584B5F76"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4403</w:t>
            </w:r>
          </w:p>
        </w:tc>
        <w:tc>
          <w:tcPr>
            <w:tcW w:w="976" w:type="dxa"/>
            <w:shd w:val="clear" w:color="auto" w:fill="auto"/>
            <w:noWrap/>
            <w:vAlign w:val="bottom"/>
            <w:hideMark/>
          </w:tcPr>
          <w:p w14:paraId="5E9A0B8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343</w:t>
            </w:r>
          </w:p>
        </w:tc>
        <w:tc>
          <w:tcPr>
            <w:tcW w:w="976" w:type="dxa"/>
            <w:shd w:val="clear" w:color="auto" w:fill="auto"/>
            <w:noWrap/>
            <w:vAlign w:val="bottom"/>
            <w:hideMark/>
          </w:tcPr>
          <w:p w14:paraId="56BA30A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335</w:t>
            </w:r>
          </w:p>
        </w:tc>
        <w:tc>
          <w:tcPr>
            <w:tcW w:w="1016" w:type="dxa"/>
            <w:shd w:val="clear" w:color="auto" w:fill="auto"/>
            <w:noWrap/>
            <w:vAlign w:val="bottom"/>
            <w:hideMark/>
          </w:tcPr>
          <w:p w14:paraId="3FEA8B3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6144</w:t>
            </w:r>
          </w:p>
        </w:tc>
        <w:tc>
          <w:tcPr>
            <w:tcW w:w="976" w:type="dxa"/>
            <w:shd w:val="clear" w:color="auto" w:fill="auto"/>
            <w:noWrap/>
            <w:vAlign w:val="bottom"/>
            <w:hideMark/>
          </w:tcPr>
          <w:p w14:paraId="23EB3DB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653</w:t>
            </w:r>
          </w:p>
        </w:tc>
      </w:tr>
      <w:tr w:rsidR="00F77A6C" w:rsidRPr="00746251" w14:paraId="3764123A" w14:textId="77777777" w:rsidTr="00F95D00">
        <w:trPr>
          <w:trHeight w:val="300"/>
        </w:trPr>
        <w:tc>
          <w:tcPr>
            <w:tcW w:w="1070" w:type="dxa"/>
            <w:shd w:val="clear" w:color="auto" w:fill="auto"/>
            <w:noWrap/>
            <w:vAlign w:val="bottom"/>
            <w:hideMark/>
          </w:tcPr>
          <w:p w14:paraId="6BCB31C1"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A</w:t>
            </w:r>
          </w:p>
        </w:tc>
        <w:tc>
          <w:tcPr>
            <w:tcW w:w="976" w:type="dxa"/>
            <w:shd w:val="clear" w:color="auto" w:fill="auto"/>
            <w:noWrap/>
            <w:vAlign w:val="bottom"/>
            <w:hideMark/>
          </w:tcPr>
          <w:p w14:paraId="6D40BC9C"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9</w:t>
            </w:r>
          </w:p>
        </w:tc>
        <w:tc>
          <w:tcPr>
            <w:tcW w:w="976" w:type="dxa"/>
            <w:shd w:val="clear" w:color="auto" w:fill="auto"/>
            <w:noWrap/>
            <w:vAlign w:val="bottom"/>
            <w:hideMark/>
          </w:tcPr>
          <w:p w14:paraId="6790A47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35</w:t>
            </w:r>
          </w:p>
        </w:tc>
        <w:tc>
          <w:tcPr>
            <w:tcW w:w="976" w:type="dxa"/>
            <w:shd w:val="clear" w:color="auto" w:fill="auto"/>
            <w:noWrap/>
            <w:vAlign w:val="bottom"/>
            <w:hideMark/>
          </w:tcPr>
          <w:p w14:paraId="3302ED9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shd w:val="clear" w:color="auto" w:fill="auto"/>
            <w:noWrap/>
            <w:vAlign w:val="bottom"/>
            <w:hideMark/>
          </w:tcPr>
          <w:p w14:paraId="126234DE"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20950</w:t>
            </w:r>
          </w:p>
        </w:tc>
        <w:tc>
          <w:tcPr>
            <w:tcW w:w="1016" w:type="dxa"/>
            <w:shd w:val="clear" w:color="auto" w:fill="auto"/>
            <w:noWrap/>
            <w:vAlign w:val="bottom"/>
            <w:hideMark/>
          </w:tcPr>
          <w:p w14:paraId="5C92EF2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shd w:val="clear" w:color="auto" w:fill="auto"/>
            <w:noWrap/>
            <w:vAlign w:val="bottom"/>
            <w:hideMark/>
          </w:tcPr>
          <w:p w14:paraId="0BEDA874"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r>
      <w:tr w:rsidR="00F77A6C" w:rsidRPr="00746251" w14:paraId="37165377" w14:textId="77777777" w:rsidTr="00F95D00">
        <w:trPr>
          <w:trHeight w:val="300"/>
        </w:trPr>
        <w:tc>
          <w:tcPr>
            <w:tcW w:w="1070" w:type="dxa"/>
            <w:shd w:val="clear" w:color="auto" w:fill="auto"/>
            <w:noWrap/>
            <w:vAlign w:val="bottom"/>
            <w:hideMark/>
          </w:tcPr>
          <w:p w14:paraId="151C1BB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C</w:t>
            </w:r>
          </w:p>
        </w:tc>
        <w:tc>
          <w:tcPr>
            <w:tcW w:w="976" w:type="dxa"/>
            <w:shd w:val="clear" w:color="auto" w:fill="auto"/>
            <w:noWrap/>
            <w:vAlign w:val="bottom"/>
            <w:hideMark/>
          </w:tcPr>
          <w:p w14:paraId="7260948C"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10</w:t>
            </w:r>
          </w:p>
        </w:tc>
        <w:tc>
          <w:tcPr>
            <w:tcW w:w="976" w:type="dxa"/>
            <w:shd w:val="clear" w:color="auto" w:fill="auto"/>
            <w:noWrap/>
            <w:vAlign w:val="bottom"/>
            <w:hideMark/>
          </w:tcPr>
          <w:p w14:paraId="7E2FA0DD"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44</w:t>
            </w:r>
          </w:p>
        </w:tc>
        <w:tc>
          <w:tcPr>
            <w:tcW w:w="976" w:type="dxa"/>
            <w:shd w:val="clear" w:color="auto" w:fill="auto"/>
            <w:noWrap/>
            <w:vAlign w:val="bottom"/>
            <w:hideMark/>
          </w:tcPr>
          <w:p w14:paraId="043B2E9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105</w:t>
            </w:r>
          </w:p>
        </w:tc>
        <w:tc>
          <w:tcPr>
            <w:tcW w:w="976" w:type="dxa"/>
            <w:shd w:val="clear" w:color="auto" w:fill="auto"/>
            <w:noWrap/>
            <w:vAlign w:val="bottom"/>
            <w:hideMark/>
          </w:tcPr>
          <w:p w14:paraId="6D77AE9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1016" w:type="dxa"/>
            <w:shd w:val="clear" w:color="auto" w:fill="auto"/>
            <w:noWrap/>
            <w:vAlign w:val="bottom"/>
            <w:hideMark/>
          </w:tcPr>
          <w:p w14:paraId="2371151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121</w:t>
            </w:r>
          </w:p>
        </w:tc>
        <w:tc>
          <w:tcPr>
            <w:tcW w:w="976" w:type="dxa"/>
            <w:shd w:val="clear" w:color="auto" w:fill="auto"/>
            <w:noWrap/>
            <w:vAlign w:val="bottom"/>
            <w:hideMark/>
          </w:tcPr>
          <w:p w14:paraId="44421B1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698</w:t>
            </w:r>
          </w:p>
        </w:tc>
      </w:tr>
      <w:tr w:rsidR="00F77A6C" w:rsidRPr="00746251" w14:paraId="34CC310A" w14:textId="77777777" w:rsidTr="00F95D00">
        <w:trPr>
          <w:trHeight w:val="300"/>
        </w:trPr>
        <w:tc>
          <w:tcPr>
            <w:tcW w:w="1070" w:type="dxa"/>
            <w:shd w:val="clear" w:color="auto" w:fill="auto"/>
            <w:noWrap/>
            <w:vAlign w:val="bottom"/>
            <w:hideMark/>
          </w:tcPr>
          <w:p w14:paraId="6E8CDDB6"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C</w:t>
            </w:r>
          </w:p>
        </w:tc>
        <w:tc>
          <w:tcPr>
            <w:tcW w:w="976" w:type="dxa"/>
            <w:shd w:val="clear" w:color="auto" w:fill="auto"/>
            <w:noWrap/>
            <w:vAlign w:val="bottom"/>
            <w:hideMark/>
          </w:tcPr>
          <w:p w14:paraId="2D22750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11</w:t>
            </w:r>
          </w:p>
        </w:tc>
        <w:tc>
          <w:tcPr>
            <w:tcW w:w="976" w:type="dxa"/>
            <w:shd w:val="clear" w:color="auto" w:fill="auto"/>
            <w:noWrap/>
            <w:vAlign w:val="bottom"/>
            <w:hideMark/>
          </w:tcPr>
          <w:p w14:paraId="1DF01BDB"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279</w:t>
            </w:r>
          </w:p>
        </w:tc>
        <w:tc>
          <w:tcPr>
            <w:tcW w:w="976" w:type="dxa"/>
            <w:shd w:val="clear" w:color="auto" w:fill="auto"/>
            <w:noWrap/>
            <w:vAlign w:val="bottom"/>
            <w:hideMark/>
          </w:tcPr>
          <w:p w14:paraId="1F696EA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103</w:t>
            </w:r>
          </w:p>
        </w:tc>
        <w:tc>
          <w:tcPr>
            <w:tcW w:w="976" w:type="dxa"/>
            <w:shd w:val="clear" w:color="auto" w:fill="auto"/>
            <w:noWrap/>
            <w:vAlign w:val="bottom"/>
            <w:hideMark/>
          </w:tcPr>
          <w:p w14:paraId="2AC6210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2769</w:t>
            </w:r>
          </w:p>
        </w:tc>
        <w:tc>
          <w:tcPr>
            <w:tcW w:w="1016" w:type="dxa"/>
            <w:shd w:val="clear" w:color="auto" w:fill="auto"/>
            <w:noWrap/>
            <w:vAlign w:val="bottom"/>
            <w:hideMark/>
          </w:tcPr>
          <w:p w14:paraId="0DEE0421"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20500</w:t>
            </w:r>
          </w:p>
        </w:tc>
        <w:tc>
          <w:tcPr>
            <w:tcW w:w="976" w:type="dxa"/>
            <w:shd w:val="clear" w:color="auto" w:fill="auto"/>
            <w:noWrap/>
            <w:vAlign w:val="bottom"/>
            <w:hideMark/>
          </w:tcPr>
          <w:p w14:paraId="7F211FC1"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1132</w:t>
            </w:r>
          </w:p>
        </w:tc>
      </w:tr>
      <w:tr w:rsidR="00F77A6C" w:rsidRPr="00746251" w14:paraId="73079D60" w14:textId="77777777" w:rsidTr="00F95D00">
        <w:trPr>
          <w:trHeight w:val="300"/>
        </w:trPr>
        <w:tc>
          <w:tcPr>
            <w:tcW w:w="1070" w:type="dxa"/>
            <w:shd w:val="clear" w:color="auto" w:fill="auto"/>
            <w:noWrap/>
            <w:vAlign w:val="bottom"/>
            <w:hideMark/>
          </w:tcPr>
          <w:p w14:paraId="18822547"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C</w:t>
            </w:r>
          </w:p>
        </w:tc>
        <w:tc>
          <w:tcPr>
            <w:tcW w:w="976" w:type="dxa"/>
            <w:shd w:val="clear" w:color="auto" w:fill="auto"/>
            <w:noWrap/>
            <w:vAlign w:val="bottom"/>
            <w:hideMark/>
          </w:tcPr>
          <w:p w14:paraId="53DCC3B2"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12</w:t>
            </w:r>
          </w:p>
        </w:tc>
        <w:tc>
          <w:tcPr>
            <w:tcW w:w="976" w:type="dxa"/>
            <w:shd w:val="clear" w:color="auto" w:fill="auto"/>
            <w:noWrap/>
            <w:vAlign w:val="bottom"/>
            <w:hideMark/>
          </w:tcPr>
          <w:p w14:paraId="574C78A0"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2114</w:t>
            </w:r>
          </w:p>
        </w:tc>
        <w:tc>
          <w:tcPr>
            <w:tcW w:w="976" w:type="dxa"/>
            <w:shd w:val="clear" w:color="auto" w:fill="auto"/>
            <w:noWrap/>
            <w:vAlign w:val="bottom"/>
            <w:hideMark/>
          </w:tcPr>
          <w:p w14:paraId="2BBC80B9"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3031</w:t>
            </w:r>
          </w:p>
        </w:tc>
        <w:tc>
          <w:tcPr>
            <w:tcW w:w="976" w:type="dxa"/>
            <w:shd w:val="clear" w:color="auto" w:fill="auto"/>
            <w:noWrap/>
            <w:vAlign w:val="bottom"/>
            <w:hideMark/>
          </w:tcPr>
          <w:p w14:paraId="79A2F093"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6057</w:t>
            </w:r>
          </w:p>
        </w:tc>
        <w:tc>
          <w:tcPr>
            <w:tcW w:w="1016" w:type="dxa"/>
            <w:shd w:val="clear" w:color="auto" w:fill="auto"/>
            <w:noWrap/>
            <w:vAlign w:val="bottom"/>
            <w:hideMark/>
          </w:tcPr>
          <w:p w14:paraId="7AF4408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10216</w:t>
            </w:r>
          </w:p>
        </w:tc>
        <w:tc>
          <w:tcPr>
            <w:tcW w:w="976" w:type="dxa"/>
            <w:shd w:val="clear" w:color="auto" w:fill="auto"/>
            <w:noWrap/>
            <w:vAlign w:val="bottom"/>
            <w:hideMark/>
          </w:tcPr>
          <w:p w14:paraId="075C17BF"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31</w:t>
            </w:r>
          </w:p>
        </w:tc>
      </w:tr>
      <w:tr w:rsidR="00F77A6C" w:rsidRPr="00746251" w14:paraId="7BBA9932" w14:textId="77777777" w:rsidTr="00F95D00">
        <w:trPr>
          <w:trHeight w:val="300"/>
        </w:trPr>
        <w:tc>
          <w:tcPr>
            <w:tcW w:w="1070" w:type="dxa"/>
            <w:shd w:val="clear" w:color="auto" w:fill="auto"/>
            <w:noWrap/>
            <w:vAlign w:val="bottom"/>
            <w:hideMark/>
          </w:tcPr>
          <w:p w14:paraId="062D656A"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C</w:t>
            </w:r>
          </w:p>
        </w:tc>
        <w:tc>
          <w:tcPr>
            <w:tcW w:w="976" w:type="dxa"/>
            <w:shd w:val="clear" w:color="auto" w:fill="auto"/>
            <w:noWrap/>
            <w:vAlign w:val="bottom"/>
            <w:hideMark/>
          </w:tcPr>
          <w:p w14:paraId="1698389A"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13</w:t>
            </w:r>
          </w:p>
        </w:tc>
        <w:tc>
          <w:tcPr>
            <w:tcW w:w="976" w:type="dxa"/>
            <w:shd w:val="clear" w:color="auto" w:fill="auto"/>
            <w:noWrap/>
            <w:vAlign w:val="bottom"/>
            <w:hideMark/>
          </w:tcPr>
          <w:p w14:paraId="68C01C0C"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4207</w:t>
            </w:r>
          </w:p>
        </w:tc>
        <w:tc>
          <w:tcPr>
            <w:tcW w:w="976" w:type="dxa"/>
            <w:shd w:val="clear" w:color="auto" w:fill="auto"/>
            <w:noWrap/>
            <w:vAlign w:val="bottom"/>
            <w:hideMark/>
          </w:tcPr>
          <w:p w14:paraId="2D00E9BA"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0</w:t>
            </w:r>
          </w:p>
        </w:tc>
        <w:tc>
          <w:tcPr>
            <w:tcW w:w="976" w:type="dxa"/>
            <w:shd w:val="clear" w:color="auto" w:fill="auto"/>
            <w:noWrap/>
            <w:vAlign w:val="bottom"/>
            <w:hideMark/>
          </w:tcPr>
          <w:p w14:paraId="17135798"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259</w:t>
            </w:r>
          </w:p>
        </w:tc>
        <w:tc>
          <w:tcPr>
            <w:tcW w:w="1016" w:type="dxa"/>
            <w:shd w:val="clear" w:color="auto" w:fill="auto"/>
            <w:noWrap/>
            <w:vAlign w:val="bottom"/>
            <w:hideMark/>
          </w:tcPr>
          <w:p w14:paraId="5C141F9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10</w:t>
            </w:r>
          </w:p>
        </w:tc>
        <w:tc>
          <w:tcPr>
            <w:tcW w:w="976" w:type="dxa"/>
            <w:shd w:val="clear" w:color="auto" w:fill="auto"/>
            <w:noWrap/>
            <w:vAlign w:val="bottom"/>
            <w:hideMark/>
          </w:tcPr>
          <w:p w14:paraId="0B0C8E45" w14:textId="77777777" w:rsidR="00F77A6C" w:rsidRPr="00C757EE" w:rsidRDefault="00F77A6C" w:rsidP="00F95D00">
            <w:pPr>
              <w:spacing w:after="0" w:line="480" w:lineRule="auto"/>
              <w:jc w:val="center"/>
              <w:rPr>
                <w:rFonts w:eastAsia="Times New Roman"/>
                <w:color w:val="000000"/>
                <w:lang w:eastAsia="en-CA"/>
              </w:rPr>
            </w:pPr>
            <w:r w:rsidRPr="00C757EE">
              <w:rPr>
                <w:rFonts w:eastAsia="Times New Roman"/>
                <w:color w:val="000000"/>
                <w:lang w:eastAsia="en-CA"/>
              </w:rPr>
              <w:t>29</w:t>
            </w:r>
          </w:p>
        </w:tc>
      </w:tr>
    </w:tbl>
    <w:p w14:paraId="409412D8" w14:textId="77777777" w:rsidR="00F77A6C" w:rsidRDefault="00F77A6C" w:rsidP="00F77A6C">
      <w:pPr>
        <w:spacing w:line="480" w:lineRule="auto"/>
        <w:ind w:firstLine="720"/>
        <w:rPr>
          <w:rFonts w:eastAsia="Times New Roman"/>
        </w:rPr>
      </w:pPr>
    </w:p>
    <w:p w14:paraId="0BA3AFBB" w14:textId="77777777" w:rsidR="00F77A6C" w:rsidRDefault="00F77A6C" w:rsidP="00F77A6C">
      <w:pPr>
        <w:rPr>
          <w:rFonts w:eastAsia="Times New Roman"/>
        </w:rPr>
      </w:pPr>
      <w:r>
        <w:rPr>
          <w:rFonts w:eastAsia="Times New Roman"/>
        </w:rPr>
        <w:br w:type="page"/>
      </w:r>
    </w:p>
    <w:tbl>
      <w:tblPr>
        <w:tblW w:w="6946" w:type="dxa"/>
        <w:tblLook w:val="04A0" w:firstRow="1" w:lastRow="0" w:firstColumn="1" w:lastColumn="0" w:noHBand="0" w:noVBand="1"/>
      </w:tblPr>
      <w:tblGrid>
        <w:gridCol w:w="3544"/>
        <w:gridCol w:w="3402"/>
      </w:tblGrid>
      <w:tr w:rsidR="00F77A6C" w:rsidRPr="003C1D08" w14:paraId="0F96DB05" w14:textId="77777777" w:rsidTr="00F95D00">
        <w:trPr>
          <w:trHeight w:val="454"/>
        </w:trPr>
        <w:tc>
          <w:tcPr>
            <w:tcW w:w="6946" w:type="dxa"/>
            <w:gridSpan w:val="2"/>
            <w:tcBorders>
              <w:top w:val="single" w:sz="4" w:space="0" w:color="auto"/>
              <w:left w:val="nil"/>
              <w:bottom w:val="single" w:sz="4" w:space="0" w:color="auto"/>
              <w:right w:val="nil"/>
            </w:tcBorders>
            <w:shd w:val="clear" w:color="auto" w:fill="auto"/>
            <w:noWrap/>
          </w:tcPr>
          <w:p w14:paraId="21994272" w14:textId="77777777" w:rsidR="00F77A6C" w:rsidRPr="003C1D08" w:rsidRDefault="00F77A6C" w:rsidP="00F95D00">
            <w:pPr>
              <w:spacing w:after="0" w:line="480" w:lineRule="auto"/>
              <w:rPr>
                <w:rFonts w:eastAsia="Times New Roman"/>
                <w:color w:val="000000"/>
                <w:lang w:eastAsia="en-CA"/>
              </w:rPr>
            </w:pPr>
            <w:r w:rsidRPr="003C1D08">
              <w:rPr>
                <w:rFonts w:eastAsia="Times New Roman"/>
                <w:color w:val="000000"/>
                <w:lang w:eastAsia="en-CA"/>
              </w:rPr>
              <w:lastRenderedPageBreak/>
              <w:t>Supplementary Table 3: The number of OTUs per bacterial phylum that were removed from the data set during data filtering procedures.</w:t>
            </w:r>
          </w:p>
        </w:tc>
      </w:tr>
      <w:tr w:rsidR="00F77A6C" w:rsidRPr="003C1D08" w14:paraId="644A0B58" w14:textId="77777777" w:rsidTr="00F95D00">
        <w:trPr>
          <w:trHeight w:val="471"/>
        </w:trPr>
        <w:tc>
          <w:tcPr>
            <w:tcW w:w="3544" w:type="dxa"/>
            <w:tcBorders>
              <w:top w:val="single" w:sz="4" w:space="0" w:color="auto"/>
              <w:left w:val="nil"/>
              <w:bottom w:val="single" w:sz="4" w:space="0" w:color="auto"/>
              <w:right w:val="nil"/>
            </w:tcBorders>
            <w:shd w:val="clear" w:color="auto" w:fill="auto"/>
            <w:noWrap/>
            <w:hideMark/>
          </w:tcPr>
          <w:p w14:paraId="295D0CDC"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Phylum</w:t>
            </w:r>
          </w:p>
        </w:tc>
        <w:tc>
          <w:tcPr>
            <w:tcW w:w="3402" w:type="dxa"/>
            <w:tcBorders>
              <w:top w:val="single" w:sz="4" w:space="0" w:color="auto"/>
              <w:left w:val="nil"/>
              <w:bottom w:val="single" w:sz="4" w:space="0" w:color="auto"/>
              <w:right w:val="nil"/>
            </w:tcBorders>
            <w:shd w:val="clear" w:color="auto" w:fill="auto"/>
            <w:noWrap/>
            <w:hideMark/>
          </w:tcPr>
          <w:p w14:paraId="71C316AE"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Number of OTUs</w:t>
            </w:r>
          </w:p>
        </w:tc>
      </w:tr>
      <w:tr w:rsidR="00F77A6C" w:rsidRPr="003C1D08" w14:paraId="4CFFD607" w14:textId="77777777" w:rsidTr="00F95D00">
        <w:trPr>
          <w:trHeight w:val="471"/>
        </w:trPr>
        <w:tc>
          <w:tcPr>
            <w:tcW w:w="3544" w:type="dxa"/>
            <w:tcBorders>
              <w:top w:val="single" w:sz="4" w:space="0" w:color="auto"/>
              <w:left w:val="nil"/>
              <w:bottom w:val="nil"/>
              <w:right w:val="nil"/>
            </w:tcBorders>
            <w:shd w:val="clear" w:color="auto" w:fill="auto"/>
            <w:noWrap/>
            <w:hideMark/>
          </w:tcPr>
          <w:p w14:paraId="07A20BCF"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Acidobacteria</w:t>
            </w:r>
            <w:proofErr w:type="spellEnd"/>
          </w:p>
        </w:tc>
        <w:tc>
          <w:tcPr>
            <w:tcW w:w="3402" w:type="dxa"/>
            <w:tcBorders>
              <w:top w:val="single" w:sz="4" w:space="0" w:color="auto"/>
              <w:left w:val="nil"/>
              <w:bottom w:val="nil"/>
              <w:right w:val="nil"/>
            </w:tcBorders>
            <w:shd w:val="clear" w:color="auto" w:fill="auto"/>
            <w:noWrap/>
            <w:hideMark/>
          </w:tcPr>
          <w:p w14:paraId="6EABB9B2"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45</w:t>
            </w:r>
          </w:p>
        </w:tc>
      </w:tr>
      <w:tr w:rsidR="00F77A6C" w:rsidRPr="003C1D08" w14:paraId="36C8FECA" w14:textId="77777777" w:rsidTr="00F95D00">
        <w:trPr>
          <w:trHeight w:val="471"/>
        </w:trPr>
        <w:tc>
          <w:tcPr>
            <w:tcW w:w="3544" w:type="dxa"/>
            <w:tcBorders>
              <w:top w:val="nil"/>
              <w:left w:val="nil"/>
              <w:bottom w:val="nil"/>
              <w:right w:val="nil"/>
            </w:tcBorders>
            <w:shd w:val="clear" w:color="auto" w:fill="auto"/>
            <w:noWrap/>
            <w:hideMark/>
          </w:tcPr>
          <w:p w14:paraId="0DC2A7D5"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Actinobacteria</w:t>
            </w:r>
            <w:proofErr w:type="spellEnd"/>
          </w:p>
        </w:tc>
        <w:tc>
          <w:tcPr>
            <w:tcW w:w="3402" w:type="dxa"/>
            <w:tcBorders>
              <w:top w:val="nil"/>
              <w:left w:val="nil"/>
              <w:bottom w:val="nil"/>
              <w:right w:val="nil"/>
            </w:tcBorders>
            <w:shd w:val="clear" w:color="auto" w:fill="auto"/>
            <w:noWrap/>
            <w:hideMark/>
          </w:tcPr>
          <w:p w14:paraId="7FAD4F52"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131</w:t>
            </w:r>
          </w:p>
        </w:tc>
      </w:tr>
      <w:tr w:rsidR="00F77A6C" w:rsidRPr="003C1D08" w14:paraId="18888B52" w14:textId="77777777" w:rsidTr="00F95D00">
        <w:trPr>
          <w:trHeight w:val="471"/>
        </w:trPr>
        <w:tc>
          <w:tcPr>
            <w:tcW w:w="3544" w:type="dxa"/>
            <w:tcBorders>
              <w:top w:val="nil"/>
              <w:left w:val="nil"/>
              <w:bottom w:val="nil"/>
              <w:right w:val="nil"/>
            </w:tcBorders>
            <w:shd w:val="clear" w:color="auto" w:fill="auto"/>
            <w:noWrap/>
            <w:hideMark/>
          </w:tcPr>
          <w:p w14:paraId="57E36AEA"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Bacteroidetes</w:t>
            </w:r>
            <w:proofErr w:type="spellEnd"/>
          </w:p>
        </w:tc>
        <w:tc>
          <w:tcPr>
            <w:tcW w:w="3402" w:type="dxa"/>
            <w:tcBorders>
              <w:top w:val="nil"/>
              <w:left w:val="nil"/>
              <w:bottom w:val="nil"/>
              <w:right w:val="nil"/>
            </w:tcBorders>
            <w:shd w:val="clear" w:color="auto" w:fill="auto"/>
            <w:noWrap/>
            <w:hideMark/>
          </w:tcPr>
          <w:p w14:paraId="4A89838D"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302</w:t>
            </w:r>
          </w:p>
        </w:tc>
      </w:tr>
      <w:tr w:rsidR="00F77A6C" w:rsidRPr="003C1D08" w14:paraId="7D5063A9" w14:textId="77777777" w:rsidTr="00F95D00">
        <w:trPr>
          <w:trHeight w:val="471"/>
        </w:trPr>
        <w:tc>
          <w:tcPr>
            <w:tcW w:w="3544" w:type="dxa"/>
            <w:tcBorders>
              <w:top w:val="nil"/>
              <w:left w:val="nil"/>
              <w:bottom w:val="nil"/>
              <w:right w:val="nil"/>
            </w:tcBorders>
            <w:shd w:val="clear" w:color="auto" w:fill="auto"/>
            <w:noWrap/>
            <w:hideMark/>
          </w:tcPr>
          <w:p w14:paraId="49558D20"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Candidate_division_OD1</w:t>
            </w:r>
          </w:p>
        </w:tc>
        <w:tc>
          <w:tcPr>
            <w:tcW w:w="3402" w:type="dxa"/>
            <w:tcBorders>
              <w:top w:val="nil"/>
              <w:left w:val="nil"/>
              <w:bottom w:val="nil"/>
              <w:right w:val="nil"/>
            </w:tcBorders>
            <w:shd w:val="clear" w:color="auto" w:fill="auto"/>
            <w:noWrap/>
            <w:hideMark/>
          </w:tcPr>
          <w:p w14:paraId="7213D146"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2</w:t>
            </w:r>
          </w:p>
        </w:tc>
      </w:tr>
      <w:tr w:rsidR="00F77A6C" w:rsidRPr="003C1D08" w14:paraId="416A718F" w14:textId="77777777" w:rsidTr="00F95D00">
        <w:trPr>
          <w:trHeight w:val="471"/>
        </w:trPr>
        <w:tc>
          <w:tcPr>
            <w:tcW w:w="3544" w:type="dxa"/>
            <w:tcBorders>
              <w:top w:val="nil"/>
              <w:left w:val="nil"/>
              <w:bottom w:val="nil"/>
              <w:right w:val="nil"/>
            </w:tcBorders>
            <w:shd w:val="clear" w:color="auto" w:fill="auto"/>
            <w:noWrap/>
            <w:hideMark/>
          </w:tcPr>
          <w:p w14:paraId="100C46B4"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Candidate_division_WS3</w:t>
            </w:r>
          </w:p>
        </w:tc>
        <w:tc>
          <w:tcPr>
            <w:tcW w:w="3402" w:type="dxa"/>
            <w:tcBorders>
              <w:top w:val="nil"/>
              <w:left w:val="nil"/>
              <w:bottom w:val="nil"/>
              <w:right w:val="nil"/>
            </w:tcBorders>
            <w:shd w:val="clear" w:color="auto" w:fill="auto"/>
            <w:noWrap/>
            <w:hideMark/>
          </w:tcPr>
          <w:p w14:paraId="4201280E"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2</w:t>
            </w:r>
          </w:p>
        </w:tc>
      </w:tr>
      <w:tr w:rsidR="00F77A6C" w:rsidRPr="003C1D08" w14:paraId="1E5EA0E3" w14:textId="77777777" w:rsidTr="00F95D00">
        <w:trPr>
          <w:trHeight w:val="471"/>
        </w:trPr>
        <w:tc>
          <w:tcPr>
            <w:tcW w:w="3544" w:type="dxa"/>
            <w:tcBorders>
              <w:top w:val="nil"/>
              <w:left w:val="nil"/>
              <w:bottom w:val="nil"/>
              <w:right w:val="nil"/>
            </w:tcBorders>
            <w:shd w:val="clear" w:color="auto" w:fill="auto"/>
            <w:noWrap/>
            <w:hideMark/>
          </w:tcPr>
          <w:p w14:paraId="2B9357F0"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Chlamydiae</w:t>
            </w:r>
            <w:proofErr w:type="spellEnd"/>
          </w:p>
        </w:tc>
        <w:tc>
          <w:tcPr>
            <w:tcW w:w="3402" w:type="dxa"/>
            <w:tcBorders>
              <w:top w:val="nil"/>
              <w:left w:val="nil"/>
              <w:bottom w:val="nil"/>
              <w:right w:val="nil"/>
            </w:tcBorders>
            <w:shd w:val="clear" w:color="auto" w:fill="auto"/>
            <w:noWrap/>
            <w:hideMark/>
          </w:tcPr>
          <w:p w14:paraId="4EA1559F"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2</w:t>
            </w:r>
          </w:p>
        </w:tc>
      </w:tr>
      <w:tr w:rsidR="00F77A6C" w:rsidRPr="003C1D08" w14:paraId="3318C616" w14:textId="77777777" w:rsidTr="00F95D00">
        <w:trPr>
          <w:trHeight w:val="471"/>
        </w:trPr>
        <w:tc>
          <w:tcPr>
            <w:tcW w:w="3544" w:type="dxa"/>
            <w:tcBorders>
              <w:top w:val="nil"/>
              <w:left w:val="nil"/>
              <w:bottom w:val="nil"/>
              <w:right w:val="nil"/>
            </w:tcBorders>
            <w:shd w:val="clear" w:color="auto" w:fill="auto"/>
            <w:noWrap/>
            <w:hideMark/>
          </w:tcPr>
          <w:p w14:paraId="2F4EDC10"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Chlorobi</w:t>
            </w:r>
            <w:proofErr w:type="spellEnd"/>
          </w:p>
        </w:tc>
        <w:tc>
          <w:tcPr>
            <w:tcW w:w="3402" w:type="dxa"/>
            <w:tcBorders>
              <w:top w:val="nil"/>
              <w:left w:val="nil"/>
              <w:bottom w:val="nil"/>
              <w:right w:val="nil"/>
            </w:tcBorders>
            <w:shd w:val="clear" w:color="auto" w:fill="auto"/>
            <w:noWrap/>
            <w:hideMark/>
          </w:tcPr>
          <w:p w14:paraId="7F5D231B"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w:t>
            </w:r>
          </w:p>
        </w:tc>
      </w:tr>
      <w:tr w:rsidR="00F77A6C" w:rsidRPr="003C1D08" w14:paraId="14B53AFA" w14:textId="77777777" w:rsidTr="00F95D00">
        <w:trPr>
          <w:trHeight w:val="471"/>
        </w:trPr>
        <w:tc>
          <w:tcPr>
            <w:tcW w:w="3544" w:type="dxa"/>
            <w:tcBorders>
              <w:top w:val="nil"/>
              <w:left w:val="nil"/>
              <w:bottom w:val="nil"/>
              <w:right w:val="nil"/>
            </w:tcBorders>
            <w:shd w:val="clear" w:color="auto" w:fill="auto"/>
            <w:noWrap/>
            <w:hideMark/>
          </w:tcPr>
          <w:p w14:paraId="5873F675"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Chloroflexi</w:t>
            </w:r>
            <w:proofErr w:type="spellEnd"/>
          </w:p>
        </w:tc>
        <w:tc>
          <w:tcPr>
            <w:tcW w:w="3402" w:type="dxa"/>
            <w:tcBorders>
              <w:top w:val="nil"/>
              <w:left w:val="nil"/>
              <w:bottom w:val="nil"/>
              <w:right w:val="nil"/>
            </w:tcBorders>
            <w:shd w:val="clear" w:color="auto" w:fill="auto"/>
            <w:noWrap/>
            <w:hideMark/>
          </w:tcPr>
          <w:p w14:paraId="73C2D6BE"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10</w:t>
            </w:r>
          </w:p>
        </w:tc>
      </w:tr>
      <w:tr w:rsidR="00F77A6C" w:rsidRPr="003C1D08" w14:paraId="20D8B3C4" w14:textId="77777777" w:rsidTr="00F95D00">
        <w:trPr>
          <w:trHeight w:val="471"/>
        </w:trPr>
        <w:tc>
          <w:tcPr>
            <w:tcW w:w="3544" w:type="dxa"/>
            <w:tcBorders>
              <w:top w:val="nil"/>
              <w:left w:val="nil"/>
              <w:bottom w:val="nil"/>
              <w:right w:val="nil"/>
            </w:tcBorders>
            <w:shd w:val="clear" w:color="auto" w:fill="auto"/>
            <w:noWrap/>
            <w:hideMark/>
          </w:tcPr>
          <w:p w14:paraId="07A4375B"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Cyanobacteria</w:t>
            </w:r>
          </w:p>
        </w:tc>
        <w:tc>
          <w:tcPr>
            <w:tcW w:w="3402" w:type="dxa"/>
            <w:tcBorders>
              <w:top w:val="nil"/>
              <w:left w:val="nil"/>
              <w:bottom w:val="nil"/>
              <w:right w:val="nil"/>
            </w:tcBorders>
            <w:shd w:val="clear" w:color="auto" w:fill="auto"/>
            <w:noWrap/>
            <w:hideMark/>
          </w:tcPr>
          <w:p w14:paraId="41EC49D1"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18</w:t>
            </w:r>
          </w:p>
        </w:tc>
      </w:tr>
      <w:tr w:rsidR="00F77A6C" w:rsidRPr="003C1D08" w14:paraId="29FA578A" w14:textId="77777777" w:rsidTr="00F95D00">
        <w:trPr>
          <w:trHeight w:val="471"/>
        </w:trPr>
        <w:tc>
          <w:tcPr>
            <w:tcW w:w="3544" w:type="dxa"/>
            <w:tcBorders>
              <w:top w:val="nil"/>
              <w:left w:val="nil"/>
              <w:bottom w:val="nil"/>
              <w:right w:val="nil"/>
            </w:tcBorders>
            <w:shd w:val="clear" w:color="auto" w:fill="auto"/>
            <w:noWrap/>
            <w:hideMark/>
          </w:tcPr>
          <w:p w14:paraId="34751BB4"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Deferribacteres</w:t>
            </w:r>
            <w:proofErr w:type="spellEnd"/>
          </w:p>
        </w:tc>
        <w:tc>
          <w:tcPr>
            <w:tcW w:w="3402" w:type="dxa"/>
            <w:tcBorders>
              <w:top w:val="nil"/>
              <w:left w:val="nil"/>
              <w:bottom w:val="nil"/>
              <w:right w:val="nil"/>
            </w:tcBorders>
            <w:shd w:val="clear" w:color="auto" w:fill="auto"/>
            <w:noWrap/>
            <w:hideMark/>
          </w:tcPr>
          <w:p w14:paraId="0BB49665"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3</w:t>
            </w:r>
          </w:p>
        </w:tc>
      </w:tr>
      <w:tr w:rsidR="00F77A6C" w:rsidRPr="003C1D08" w14:paraId="31AD9191" w14:textId="77777777" w:rsidTr="00F95D00">
        <w:trPr>
          <w:trHeight w:val="471"/>
        </w:trPr>
        <w:tc>
          <w:tcPr>
            <w:tcW w:w="3544" w:type="dxa"/>
            <w:tcBorders>
              <w:top w:val="nil"/>
              <w:left w:val="nil"/>
              <w:bottom w:val="nil"/>
              <w:right w:val="nil"/>
            </w:tcBorders>
            <w:shd w:val="clear" w:color="auto" w:fill="auto"/>
            <w:noWrap/>
            <w:hideMark/>
          </w:tcPr>
          <w:p w14:paraId="03FD217A"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Deinococcus-Thermus</w:t>
            </w:r>
            <w:proofErr w:type="spellEnd"/>
          </w:p>
        </w:tc>
        <w:tc>
          <w:tcPr>
            <w:tcW w:w="3402" w:type="dxa"/>
            <w:tcBorders>
              <w:top w:val="nil"/>
              <w:left w:val="nil"/>
              <w:bottom w:val="nil"/>
              <w:right w:val="nil"/>
            </w:tcBorders>
            <w:shd w:val="clear" w:color="auto" w:fill="auto"/>
            <w:noWrap/>
            <w:hideMark/>
          </w:tcPr>
          <w:p w14:paraId="20F9FEB8"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2</w:t>
            </w:r>
          </w:p>
        </w:tc>
      </w:tr>
      <w:tr w:rsidR="00F77A6C" w:rsidRPr="003C1D08" w14:paraId="4AA4F765" w14:textId="77777777" w:rsidTr="00F95D00">
        <w:trPr>
          <w:trHeight w:val="471"/>
        </w:trPr>
        <w:tc>
          <w:tcPr>
            <w:tcW w:w="3544" w:type="dxa"/>
            <w:tcBorders>
              <w:top w:val="nil"/>
              <w:left w:val="nil"/>
              <w:bottom w:val="nil"/>
              <w:right w:val="nil"/>
            </w:tcBorders>
            <w:shd w:val="clear" w:color="auto" w:fill="auto"/>
            <w:noWrap/>
            <w:hideMark/>
          </w:tcPr>
          <w:p w14:paraId="6AB62E68"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Elusimicrobia</w:t>
            </w:r>
            <w:proofErr w:type="spellEnd"/>
          </w:p>
        </w:tc>
        <w:tc>
          <w:tcPr>
            <w:tcW w:w="3402" w:type="dxa"/>
            <w:tcBorders>
              <w:top w:val="nil"/>
              <w:left w:val="nil"/>
              <w:bottom w:val="nil"/>
              <w:right w:val="nil"/>
            </w:tcBorders>
            <w:shd w:val="clear" w:color="auto" w:fill="auto"/>
            <w:noWrap/>
            <w:hideMark/>
          </w:tcPr>
          <w:p w14:paraId="6A1F379A"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3</w:t>
            </w:r>
          </w:p>
        </w:tc>
      </w:tr>
      <w:tr w:rsidR="00F77A6C" w:rsidRPr="003C1D08" w14:paraId="6E0EE710" w14:textId="77777777" w:rsidTr="00F95D00">
        <w:trPr>
          <w:trHeight w:val="471"/>
        </w:trPr>
        <w:tc>
          <w:tcPr>
            <w:tcW w:w="3544" w:type="dxa"/>
            <w:tcBorders>
              <w:top w:val="nil"/>
              <w:left w:val="nil"/>
              <w:bottom w:val="nil"/>
              <w:right w:val="nil"/>
            </w:tcBorders>
            <w:shd w:val="clear" w:color="auto" w:fill="auto"/>
            <w:noWrap/>
            <w:hideMark/>
          </w:tcPr>
          <w:p w14:paraId="35B3BF79"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Firmicutes</w:t>
            </w:r>
            <w:proofErr w:type="spellEnd"/>
          </w:p>
        </w:tc>
        <w:tc>
          <w:tcPr>
            <w:tcW w:w="3402" w:type="dxa"/>
            <w:tcBorders>
              <w:top w:val="nil"/>
              <w:left w:val="nil"/>
              <w:bottom w:val="nil"/>
              <w:right w:val="nil"/>
            </w:tcBorders>
            <w:shd w:val="clear" w:color="auto" w:fill="auto"/>
            <w:noWrap/>
            <w:hideMark/>
          </w:tcPr>
          <w:p w14:paraId="4BC5605F"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474</w:t>
            </w:r>
          </w:p>
        </w:tc>
      </w:tr>
      <w:tr w:rsidR="00F77A6C" w:rsidRPr="003C1D08" w14:paraId="505231BC" w14:textId="77777777" w:rsidTr="00F95D00">
        <w:trPr>
          <w:trHeight w:val="471"/>
        </w:trPr>
        <w:tc>
          <w:tcPr>
            <w:tcW w:w="3544" w:type="dxa"/>
            <w:tcBorders>
              <w:top w:val="nil"/>
              <w:left w:val="nil"/>
              <w:bottom w:val="nil"/>
              <w:right w:val="nil"/>
            </w:tcBorders>
            <w:shd w:val="clear" w:color="auto" w:fill="auto"/>
            <w:noWrap/>
            <w:hideMark/>
          </w:tcPr>
          <w:p w14:paraId="4CC346C0"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Gemmatimonadetes</w:t>
            </w:r>
            <w:proofErr w:type="spellEnd"/>
          </w:p>
        </w:tc>
        <w:tc>
          <w:tcPr>
            <w:tcW w:w="3402" w:type="dxa"/>
            <w:tcBorders>
              <w:top w:val="nil"/>
              <w:left w:val="nil"/>
              <w:bottom w:val="nil"/>
              <w:right w:val="nil"/>
            </w:tcBorders>
            <w:shd w:val="clear" w:color="auto" w:fill="auto"/>
            <w:noWrap/>
            <w:hideMark/>
          </w:tcPr>
          <w:p w14:paraId="7A7E09FD"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7</w:t>
            </w:r>
          </w:p>
        </w:tc>
      </w:tr>
      <w:tr w:rsidR="00F77A6C" w:rsidRPr="003C1D08" w14:paraId="1D799A32" w14:textId="77777777" w:rsidTr="00F95D00">
        <w:trPr>
          <w:trHeight w:val="471"/>
        </w:trPr>
        <w:tc>
          <w:tcPr>
            <w:tcW w:w="3544" w:type="dxa"/>
            <w:tcBorders>
              <w:top w:val="nil"/>
              <w:left w:val="nil"/>
              <w:bottom w:val="nil"/>
              <w:right w:val="nil"/>
            </w:tcBorders>
            <w:shd w:val="clear" w:color="auto" w:fill="auto"/>
            <w:noWrap/>
            <w:hideMark/>
          </w:tcPr>
          <w:p w14:paraId="7C4AD8D4"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Nitrospirae</w:t>
            </w:r>
            <w:proofErr w:type="spellEnd"/>
          </w:p>
        </w:tc>
        <w:tc>
          <w:tcPr>
            <w:tcW w:w="3402" w:type="dxa"/>
            <w:tcBorders>
              <w:top w:val="nil"/>
              <w:left w:val="nil"/>
              <w:bottom w:val="nil"/>
              <w:right w:val="nil"/>
            </w:tcBorders>
            <w:shd w:val="clear" w:color="auto" w:fill="auto"/>
            <w:noWrap/>
            <w:hideMark/>
          </w:tcPr>
          <w:p w14:paraId="5E6D2D8E"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w:t>
            </w:r>
          </w:p>
        </w:tc>
      </w:tr>
      <w:tr w:rsidR="00F77A6C" w:rsidRPr="003C1D08" w14:paraId="4B6D9DB4" w14:textId="77777777" w:rsidTr="00F95D00">
        <w:trPr>
          <w:trHeight w:val="471"/>
        </w:trPr>
        <w:tc>
          <w:tcPr>
            <w:tcW w:w="3544" w:type="dxa"/>
            <w:tcBorders>
              <w:top w:val="nil"/>
              <w:left w:val="nil"/>
              <w:bottom w:val="nil"/>
              <w:right w:val="nil"/>
            </w:tcBorders>
            <w:shd w:val="clear" w:color="auto" w:fill="auto"/>
            <w:noWrap/>
            <w:hideMark/>
          </w:tcPr>
          <w:p w14:paraId="5D1D426F"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Planctomycetes</w:t>
            </w:r>
            <w:proofErr w:type="spellEnd"/>
          </w:p>
        </w:tc>
        <w:tc>
          <w:tcPr>
            <w:tcW w:w="3402" w:type="dxa"/>
            <w:tcBorders>
              <w:top w:val="nil"/>
              <w:left w:val="nil"/>
              <w:bottom w:val="nil"/>
              <w:right w:val="nil"/>
            </w:tcBorders>
            <w:shd w:val="clear" w:color="auto" w:fill="auto"/>
            <w:noWrap/>
            <w:hideMark/>
          </w:tcPr>
          <w:p w14:paraId="468A8719"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42</w:t>
            </w:r>
          </w:p>
        </w:tc>
      </w:tr>
      <w:tr w:rsidR="00F77A6C" w:rsidRPr="003C1D08" w14:paraId="1127CE62" w14:textId="77777777" w:rsidTr="00F95D00">
        <w:trPr>
          <w:trHeight w:val="471"/>
        </w:trPr>
        <w:tc>
          <w:tcPr>
            <w:tcW w:w="3544" w:type="dxa"/>
            <w:tcBorders>
              <w:top w:val="nil"/>
              <w:left w:val="nil"/>
              <w:bottom w:val="nil"/>
              <w:right w:val="nil"/>
            </w:tcBorders>
            <w:shd w:val="clear" w:color="auto" w:fill="auto"/>
            <w:noWrap/>
            <w:hideMark/>
          </w:tcPr>
          <w:p w14:paraId="4747D124"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Proteobacteria</w:t>
            </w:r>
            <w:proofErr w:type="spellEnd"/>
          </w:p>
        </w:tc>
        <w:tc>
          <w:tcPr>
            <w:tcW w:w="3402" w:type="dxa"/>
            <w:tcBorders>
              <w:top w:val="nil"/>
              <w:left w:val="nil"/>
              <w:bottom w:val="nil"/>
              <w:right w:val="nil"/>
            </w:tcBorders>
            <w:shd w:val="clear" w:color="auto" w:fill="auto"/>
            <w:noWrap/>
            <w:hideMark/>
          </w:tcPr>
          <w:p w14:paraId="292F283F"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249</w:t>
            </w:r>
          </w:p>
        </w:tc>
      </w:tr>
      <w:tr w:rsidR="00F77A6C" w:rsidRPr="003C1D08" w14:paraId="70997D78" w14:textId="77777777" w:rsidTr="00F95D00">
        <w:trPr>
          <w:trHeight w:val="471"/>
        </w:trPr>
        <w:tc>
          <w:tcPr>
            <w:tcW w:w="3544" w:type="dxa"/>
            <w:tcBorders>
              <w:top w:val="nil"/>
              <w:left w:val="nil"/>
              <w:bottom w:val="nil"/>
              <w:right w:val="nil"/>
            </w:tcBorders>
            <w:shd w:val="clear" w:color="auto" w:fill="auto"/>
            <w:noWrap/>
            <w:hideMark/>
          </w:tcPr>
          <w:p w14:paraId="3F2542BE"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SHA-109</w:t>
            </w:r>
          </w:p>
        </w:tc>
        <w:tc>
          <w:tcPr>
            <w:tcW w:w="3402" w:type="dxa"/>
            <w:tcBorders>
              <w:top w:val="nil"/>
              <w:left w:val="nil"/>
              <w:bottom w:val="nil"/>
              <w:right w:val="nil"/>
            </w:tcBorders>
            <w:shd w:val="clear" w:color="auto" w:fill="auto"/>
            <w:noWrap/>
            <w:hideMark/>
          </w:tcPr>
          <w:p w14:paraId="137E5542"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w:t>
            </w:r>
          </w:p>
        </w:tc>
      </w:tr>
      <w:tr w:rsidR="00F77A6C" w:rsidRPr="003C1D08" w14:paraId="03DF1353" w14:textId="77777777" w:rsidTr="00F95D00">
        <w:trPr>
          <w:trHeight w:val="471"/>
        </w:trPr>
        <w:tc>
          <w:tcPr>
            <w:tcW w:w="3544" w:type="dxa"/>
            <w:tcBorders>
              <w:top w:val="nil"/>
              <w:left w:val="nil"/>
              <w:bottom w:val="nil"/>
              <w:right w:val="nil"/>
            </w:tcBorders>
            <w:shd w:val="clear" w:color="auto" w:fill="auto"/>
            <w:noWrap/>
            <w:hideMark/>
          </w:tcPr>
          <w:p w14:paraId="4B6F6326"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Spirochaetae</w:t>
            </w:r>
            <w:proofErr w:type="spellEnd"/>
          </w:p>
        </w:tc>
        <w:tc>
          <w:tcPr>
            <w:tcW w:w="3402" w:type="dxa"/>
            <w:tcBorders>
              <w:top w:val="nil"/>
              <w:left w:val="nil"/>
              <w:bottom w:val="nil"/>
              <w:right w:val="nil"/>
            </w:tcBorders>
            <w:shd w:val="clear" w:color="auto" w:fill="auto"/>
            <w:noWrap/>
            <w:hideMark/>
          </w:tcPr>
          <w:p w14:paraId="0B3B7AB4"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w:t>
            </w:r>
          </w:p>
        </w:tc>
      </w:tr>
      <w:tr w:rsidR="00F77A6C" w:rsidRPr="003C1D08" w14:paraId="1E012D4B" w14:textId="77777777" w:rsidTr="00F95D00">
        <w:trPr>
          <w:trHeight w:val="471"/>
        </w:trPr>
        <w:tc>
          <w:tcPr>
            <w:tcW w:w="3544" w:type="dxa"/>
            <w:tcBorders>
              <w:top w:val="nil"/>
              <w:left w:val="nil"/>
              <w:bottom w:val="nil"/>
              <w:right w:val="nil"/>
            </w:tcBorders>
            <w:shd w:val="clear" w:color="auto" w:fill="auto"/>
            <w:noWrap/>
            <w:hideMark/>
          </w:tcPr>
          <w:p w14:paraId="1FF51904"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Tenericutes</w:t>
            </w:r>
            <w:proofErr w:type="spellEnd"/>
          </w:p>
        </w:tc>
        <w:tc>
          <w:tcPr>
            <w:tcW w:w="3402" w:type="dxa"/>
            <w:tcBorders>
              <w:top w:val="nil"/>
              <w:left w:val="nil"/>
              <w:bottom w:val="nil"/>
              <w:right w:val="nil"/>
            </w:tcBorders>
            <w:shd w:val="clear" w:color="auto" w:fill="auto"/>
            <w:noWrap/>
            <w:hideMark/>
          </w:tcPr>
          <w:p w14:paraId="18CD7B55"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25</w:t>
            </w:r>
          </w:p>
        </w:tc>
      </w:tr>
      <w:tr w:rsidR="00F77A6C" w:rsidRPr="003C1D08" w14:paraId="4E253617" w14:textId="77777777" w:rsidTr="00F95D00">
        <w:trPr>
          <w:trHeight w:val="471"/>
        </w:trPr>
        <w:tc>
          <w:tcPr>
            <w:tcW w:w="3544" w:type="dxa"/>
            <w:tcBorders>
              <w:top w:val="nil"/>
              <w:left w:val="nil"/>
              <w:bottom w:val="nil"/>
              <w:right w:val="nil"/>
            </w:tcBorders>
            <w:shd w:val="clear" w:color="auto" w:fill="auto"/>
            <w:noWrap/>
            <w:hideMark/>
          </w:tcPr>
          <w:p w14:paraId="2E335FAD"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TM6</w:t>
            </w:r>
          </w:p>
        </w:tc>
        <w:tc>
          <w:tcPr>
            <w:tcW w:w="3402" w:type="dxa"/>
            <w:tcBorders>
              <w:top w:val="nil"/>
              <w:left w:val="nil"/>
              <w:bottom w:val="nil"/>
              <w:right w:val="nil"/>
            </w:tcBorders>
            <w:shd w:val="clear" w:color="auto" w:fill="auto"/>
            <w:noWrap/>
            <w:hideMark/>
          </w:tcPr>
          <w:p w14:paraId="03EA49FE"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5</w:t>
            </w:r>
          </w:p>
        </w:tc>
      </w:tr>
      <w:tr w:rsidR="00F77A6C" w:rsidRPr="003C1D08" w14:paraId="3EC3A4DD" w14:textId="77777777" w:rsidTr="00F95D00">
        <w:trPr>
          <w:trHeight w:val="471"/>
        </w:trPr>
        <w:tc>
          <w:tcPr>
            <w:tcW w:w="3544" w:type="dxa"/>
            <w:tcBorders>
              <w:top w:val="nil"/>
              <w:left w:val="nil"/>
              <w:bottom w:val="nil"/>
              <w:right w:val="nil"/>
            </w:tcBorders>
            <w:shd w:val="clear" w:color="auto" w:fill="auto"/>
            <w:noWrap/>
            <w:hideMark/>
          </w:tcPr>
          <w:p w14:paraId="0498FFA1" w14:textId="77777777" w:rsidR="00F77A6C" w:rsidRPr="003C1D08" w:rsidRDefault="00F77A6C" w:rsidP="00F95D00">
            <w:pPr>
              <w:spacing w:after="0" w:line="240" w:lineRule="auto"/>
              <w:jc w:val="center"/>
              <w:rPr>
                <w:rFonts w:eastAsia="Times New Roman"/>
                <w:color w:val="000000"/>
                <w:lang w:eastAsia="en-CA"/>
              </w:rPr>
            </w:pPr>
            <w:proofErr w:type="gramStart"/>
            <w:r w:rsidRPr="003C1D08">
              <w:rPr>
                <w:rFonts w:eastAsia="Times New Roman"/>
                <w:color w:val="000000"/>
                <w:lang w:eastAsia="en-CA"/>
              </w:rPr>
              <w:t>unclassified</w:t>
            </w:r>
            <w:proofErr w:type="gramEnd"/>
          </w:p>
        </w:tc>
        <w:tc>
          <w:tcPr>
            <w:tcW w:w="3402" w:type="dxa"/>
            <w:tcBorders>
              <w:top w:val="nil"/>
              <w:left w:val="nil"/>
              <w:bottom w:val="nil"/>
              <w:right w:val="nil"/>
            </w:tcBorders>
            <w:shd w:val="clear" w:color="auto" w:fill="auto"/>
            <w:noWrap/>
            <w:hideMark/>
          </w:tcPr>
          <w:p w14:paraId="7C936CD8"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100</w:t>
            </w:r>
          </w:p>
        </w:tc>
      </w:tr>
      <w:tr w:rsidR="00F77A6C" w:rsidRPr="003C1D08" w14:paraId="1B6AA694" w14:textId="77777777" w:rsidTr="00F95D00">
        <w:trPr>
          <w:trHeight w:val="471"/>
        </w:trPr>
        <w:tc>
          <w:tcPr>
            <w:tcW w:w="3544" w:type="dxa"/>
            <w:tcBorders>
              <w:top w:val="nil"/>
              <w:left w:val="nil"/>
              <w:right w:val="nil"/>
            </w:tcBorders>
            <w:shd w:val="clear" w:color="auto" w:fill="auto"/>
            <w:noWrap/>
            <w:hideMark/>
          </w:tcPr>
          <w:p w14:paraId="729878A4" w14:textId="77777777" w:rsidR="00F77A6C" w:rsidRPr="003C1D08" w:rsidRDefault="00F77A6C" w:rsidP="00F95D00">
            <w:pPr>
              <w:spacing w:after="0" w:line="240" w:lineRule="auto"/>
              <w:jc w:val="center"/>
              <w:rPr>
                <w:rFonts w:eastAsia="Times New Roman"/>
                <w:color w:val="000000"/>
                <w:lang w:eastAsia="en-CA"/>
              </w:rPr>
            </w:pPr>
            <w:proofErr w:type="spellStart"/>
            <w:r w:rsidRPr="003C1D08">
              <w:rPr>
                <w:rFonts w:eastAsia="Times New Roman"/>
                <w:color w:val="000000"/>
                <w:lang w:eastAsia="en-CA"/>
              </w:rPr>
              <w:t>Verrucomicrobia</w:t>
            </w:r>
            <w:proofErr w:type="spellEnd"/>
          </w:p>
        </w:tc>
        <w:tc>
          <w:tcPr>
            <w:tcW w:w="3402" w:type="dxa"/>
            <w:tcBorders>
              <w:top w:val="nil"/>
              <w:left w:val="nil"/>
              <w:right w:val="nil"/>
            </w:tcBorders>
            <w:shd w:val="clear" w:color="auto" w:fill="auto"/>
            <w:noWrap/>
            <w:hideMark/>
          </w:tcPr>
          <w:p w14:paraId="5E591AEC"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30</w:t>
            </w:r>
          </w:p>
        </w:tc>
      </w:tr>
      <w:tr w:rsidR="00F77A6C" w:rsidRPr="003C1D08" w14:paraId="57F9DB5C" w14:textId="77777777" w:rsidTr="00F95D00">
        <w:trPr>
          <w:trHeight w:val="471"/>
        </w:trPr>
        <w:tc>
          <w:tcPr>
            <w:tcW w:w="3544" w:type="dxa"/>
            <w:tcBorders>
              <w:top w:val="nil"/>
              <w:left w:val="nil"/>
              <w:bottom w:val="single" w:sz="4" w:space="0" w:color="auto"/>
              <w:right w:val="nil"/>
            </w:tcBorders>
            <w:shd w:val="clear" w:color="auto" w:fill="auto"/>
            <w:noWrap/>
            <w:hideMark/>
          </w:tcPr>
          <w:p w14:paraId="6585433F"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WCHB1-60</w:t>
            </w:r>
          </w:p>
        </w:tc>
        <w:tc>
          <w:tcPr>
            <w:tcW w:w="3402" w:type="dxa"/>
            <w:tcBorders>
              <w:top w:val="nil"/>
              <w:left w:val="nil"/>
              <w:bottom w:val="single" w:sz="4" w:space="0" w:color="auto"/>
              <w:right w:val="nil"/>
            </w:tcBorders>
            <w:shd w:val="clear" w:color="auto" w:fill="auto"/>
            <w:noWrap/>
            <w:hideMark/>
          </w:tcPr>
          <w:p w14:paraId="4471ACAA" w14:textId="77777777" w:rsidR="00F77A6C" w:rsidRPr="003C1D08" w:rsidRDefault="00F77A6C" w:rsidP="00F95D00">
            <w:pPr>
              <w:spacing w:after="0" w:line="240" w:lineRule="auto"/>
              <w:jc w:val="center"/>
              <w:rPr>
                <w:rFonts w:eastAsia="Times New Roman"/>
                <w:color w:val="000000"/>
                <w:lang w:eastAsia="en-CA"/>
              </w:rPr>
            </w:pPr>
            <w:r w:rsidRPr="003C1D08">
              <w:rPr>
                <w:rFonts w:eastAsia="Times New Roman"/>
                <w:color w:val="000000"/>
                <w:lang w:eastAsia="en-CA"/>
              </w:rPr>
              <w:t>1</w:t>
            </w:r>
          </w:p>
        </w:tc>
      </w:tr>
    </w:tbl>
    <w:p w14:paraId="2CBCA212" w14:textId="77777777" w:rsidR="00F72D00" w:rsidRDefault="00F72D00" w:rsidP="00F77A6C">
      <w:pPr>
        <w:spacing w:line="480" w:lineRule="auto"/>
      </w:pPr>
    </w:p>
    <w:sectPr w:rsidR="00F72D00" w:rsidSect="00181149">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E170A" w14:textId="77777777" w:rsidR="00AA294F" w:rsidRDefault="00AA294F" w:rsidP="00181149">
      <w:pPr>
        <w:spacing w:after="0" w:line="240" w:lineRule="auto"/>
      </w:pPr>
      <w:r>
        <w:separator/>
      </w:r>
    </w:p>
  </w:endnote>
  <w:endnote w:type="continuationSeparator" w:id="0">
    <w:p w14:paraId="36547084" w14:textId="77777777" w:rsidR="00AA294F" w:rsidRDefault="00AA294F" w:rsidP="00181149">
      <w:pPr>
        <w:spacing w:after="0" w:line="240" w:lineRule="auto"/>
      </w:pPr>
      <w:r>
        <w:continuationSeparator/>
      </w:r>
    </w:p>
  </w:endnote>
  <w:endnote w:type="continuationNotice" w:id="1">
    <w:p w14:paraId="5D5D851D" w14:textId="77777777" w:rsidR="00AA294F" w:rsidRDefault="00AA2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057C" w14:textId="77777777" w:rsidR="00181149" w:rsidRDefault="001811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829600"/>
      <w:docPartObj>
        <w:docPartGallery w:val="Page Numbers (Bottom of Page)"/>
        <w:docPartUnique/>
      </w:docPartObj>
    </w:sdtPr>
    <w:sdtEndPr>
      <w:rPr>
        <w:noProof/>
      </w:rPr>
    </w:sdtEndPr>
    <w:sdtContent>
      <w:p w14:paraId="17C60D6A" w14:textId="77777777" w:rsidR="00181149" w:rsidRDefault="00181149">
        <w:pPr>
          <w:pStyle w:val="Footer"/>
          <w:jc w:val="right"/>
        </w:pPr>
        <w:r>
          <w:fldChar w:fldCharType="begin"/>
        </w:r>
        <w:r>
          <w:instrText xml:space="preserve"> PAGE   \* MERGEFORMAT </w:instrText>
        </w:r>
        <w:r>
          <w:fldChar w:fldCharType="separate"/>
        </w:r>
        <w:r w:rsidR="00285A08">
          <w:rPr>
            <w:noProof/>
          </w:rPr>
          <w:t>4</w:t>
        </w:r>
        <w:r>
          <w:rPr>
            <w:noProof/>
          </w:rPr>
          <w:fldChar w:fldCharType="end"/>
        </w:r>
      </w:p>
    </w:sdtContent>
  </w:sdt>
  <w:p w14:paraId="23FD4924" w14:textId="77777777" w:rsidR="00181149" w:rsidRDefault="0018114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78FA6" w14:textId="77777777" w:rsidR="00181149" w:rsidRDefault="001811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22100" w14:textId="77777777" w:rsidR="00AA294F" w:rsidRDefault="00AA294F" w:rsidP="00181149">
      <w:pPr>
        <w:spacing w:after="0" w:line="240" w:lineRule="auto"/>
      </w:pPr>
      <w:r>
        <w:separator/>
      </w:r>
    </w:p>
  </w:footnote>
  <w:footnote w:type="continuationSeparator" w:id="0">
    <w:p w14:paraId="22916DB6" w14:textId="77777777" w:rsidR="00AA294F" w:rsidRDefault="00AA294F" w:rsidP="00181149">
      <w:pPr>
        <w:spacing w:after="0" w:line="240" w:lineRule="auto"/>
      </w:pPr>
      <w:r>
        <w:continuationSeparator/>
      </w:r>
    </w:p>
  </w:footnote>
  <w:footnote w:type="continuationNotice" w:id="1">
    <w:p w14:paraId="409F10D7" w14:textId="77777777" w:rsidR="00AA294F" w:rsidRDefault="00AA294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66D4" w14:textId="77777777" w:rsidR="00181149" w:rsidRDefault="001811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0762" w14:textId="77777777" w:rsidR="00181149" w:rsidRDefault="0018114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5943" w14:textId="77777777" w:rsidR="00181149" w:rsidRDefault="0018114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Villette">
    <w15:presenceInfo w15:providerId="None" w15:userId="Petra Vill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00"/>
    <w:rsid w:val="00004E70"/>
    <w:rsid w:val="000069D2"/>
    <w:rsid w:val="00024C91"/>
    <w:rsid w:val="00031DFA"/>
    <w:rsid w:val="000433A8"/>
    <w:rsid w:val="0004560A"/>
    <w:rsid w:val="00050F89"/>
    <w:rsid w:val="00062380"/>
    <w:rsid w:val="00073075"/>
    <w:rsid w:val="00094FCB"/>
    <w:rsid w:val="000A508A"/>
    <w:rsid w:val="000B0FEA"/>
    <w:rsid w:val="000B1214"/>
    <w:rsid w:val="000B274B"/>
    <w:rsid w:val="000C707A"/>
    <w:rsid w:val="000C7D66"/>
    <w:rsid w:val="000D696B"/>
    <w:rsid w:val="000D7965"/>
    <w:rsid w:val="000E044D"/>
    <w:rsid w:val="000E3E22"/>
    <w:rsid w:val="000F2325"/>
    <w:rsid w:val="000F5CC4"/>
    <w:rsid w:val="00103D18"/>
    <w:rsid w:val="00104C18"/>
    <w:rsid w:val="00104EA5"/>
    <w:rsid w:val="001101F6"/>
    <w:rsid w:val="00112362"/>
    <w:rsid w:val="0011239E"/>
    <w:rsid w:val="0011284D"/>
    <w:rsid w:val="00113D66"/>
    <w:rsid w:val="001176B3"/>
    <w:rsid w:val="00125BA7"/>
    <w:rsid w:val="001377B8"/>
    <w:rsid w:val="00137F49"/>
    <w:rsid w:val="0014138B"/>
    <w:rsid w:val="00166D33"/>
    <w:rsid w:val="00181149"/>
    <w:rsid w:val="001919EC"/>
    <w:rsid w:val="00192413"/>
    <w:rsid w:val="00196CE3"/>
    <w:rsid w:val="001A174E"/>
    <w:rsid w:val="001B349F"/>
    <w:rsid w:val="001D2CB4"/>
    <w:rsid w:val="001E1241"/>
    <w:rsid w:val="001E257E"/>
    <w:rsid w:val="001E509C"/>
    <w:rsid w:val="002042EA"/>
    <w:rsid w:val="00212712"/>
    <w:rsid w:val="00216C5F"/>
    <w:rsid w:val="00220BD9"/>
    <w:rsid w:val="002213E8"/>
    <w:rsid w:val="002311CB"/>
    <w:rsid w:val="00232FFF"/>
    <w:rsid w:val="00251E4C"/>
    <w:rsid w:val="00270083"/>
    <w:rsid w:val="00273CA4"/>
    <w:rsid w:val="00282F2D"/>
    <w:rsid w:val="00285A08"/>
    <w:rsid w:val="00295633"/>
    <w:rsid w:val="00297C6F"/>
    <w:rsid w:val="002A29B5"/>
    <w:rsid w:val="002A30BC"/>
    <w:rsid w:val="002B5C98"/>
    <w:rsid w:val="002B60D1"/>
    <w:rsid w:val="002F2970"/>
    <w:rsid w:val="002F51C9"/>
    <w:rsid w:val="002F5B5B"/>
    <w:rsid w:val="00305604"/>
    <w:rsid w:val="003131C0"/>
    <w:rsid w:val="0033067D"/>
    <w:rsid w:val="00340C77"/>
    <w:rsid w:val="003468F0"/>
    <w:rsid w:val="0036673A"/>
    <w:rsid w:val="0038163A"/>
    <w:rsid w:val="003926CB"/>
    <w:rsid w:val="003C1443"/>
    <w:rsid w:val="003C1D08"/>
    <w:rsid w:val="003D33A4"/>
    <w:rsid w:val="003E7B9D"/>
    <w:rsid w:val="003F0F32"/>
    <w:rsid w:val="004150A1"/>
    <w:rsid w:val="00432DA8"/>
    <w:rsid w:val="00443E3A"/>
    <w:rsid w:val="004515FF"/>
    <w:rsid w:val="00452224"/>
    <w:rsid w:val="0045662F"/>
    <w:rsid w:val="00472CD6"/>
    <w:rsid w:val="00473FF5"/>
    <w:rsid w:val="00485151"/>
    <w:rsid w:val="00492F45"/>
    <w:rsid w:val="00495773"/>
    <w:rsid w:val="00497C45"/>
    <w:rsid w:val="004C37D4"/>
    <w:rsid w:val="004C3C54"/>
    <w:rsid w:val="004F2488"/>
    <w:rsid w:val="004F52CB"/>
    <w:rsid w:val="004F6C45"/>
    <w:rsid w:val="005049B3"/>
    <w:rsid w:val="00521CE3"/>
    <w:rsid w:val="00523044"/>
    <w:rsid w:val="00523495"/>
    <w:rsid w:val="00526F25"/>
    <w:rsid w:val="00534B5D"/>
    <w:rsid w:val="005407F5"/>
    <w:rsid w:val="0055097A"/>
    <w:rsid w:val="00585AC7"/>
    <w:rsid w:val="00585BF8"/>
    <w:rsid w:val="005B2136"/>
    <w:rsid w:val="005B262C"/>
    <w:rsid w:val="005B3428"/>
    <w:rsid w:val="005C10E6"/>
    <w:rsid w:val="005D72F4"/>
    <w:rsid w:val="005E701A"/>
    <w:rsid w:val="0060130B"/>
    <w:rsid w:val="00602FBF"/>
    <w:rsid w:val="006116F0"/>
    <w:rsid w:val="00613633"/>
    <w:rsid w:val="00621650"/>
    <w:rsid w:val="00632EFE"/>
    <w:rsid w:val="0068145A"/>
    <w:rsid w:val="006A1DBE"/>
    <w:rsid w:val="006B6D00"/>
    <w:rsid w:val="006C0D28"/>
    <w:rsid w:val="006E18C3"/>
    <w:rsid w:val="007142CD"/>
    <w:rsid w:val="00720971"/>
    <w:rsid w:val="00720FA0"/>
    <w:rsid w:val="007263E4"/>
    <w:rsid w:val="00746251"/>
    <w:rsid w:val="0075016F"/>
    <w:rsid w:val="007523A6"/>
    <w:rsid w:val="00756BA4"/>
    <w:rsid w:val="00756D9B"/>
    <w:rsid w:val="00760FDA"/>
    <w:rsid w:val="00762E45"/>
    <w:rsid w:val="00764B24"/>
    <w:rsid w:val="00774B28"/>
    <w:rsid w:val="00774FFE"/>
    <w:rsid w:val="00777DF8"/>
    <w:rsid w:val="0078574C"/>
    <w:rsid w:val="007870F4"/>
    <w:rsid w:val="007A1D00"/>
    <w:rsid w:val="007A25E1"/>
    <w:rsid w:val="007A692C"/>
    <w:rsid w:val="007B3DC3"/>
    <w:rsid w:val="007B5536"/>
    <w:rsid w:val="007C2C19"/>
    <w:rsid w:val="007D413D"/>
    <w:rsid w:val="007F2100"/>
    <w:rsid w:val="007F421F"/>
    <w:rsid w:val="00801EA2"/>
    <w:rsid w:val="008045B9"/>
    <w:rsid w:val="00814128"/>
    <w:rsid w:val="0083060A"/>
    <w:rsid w:val="008371D5"/>
    <w:rsid w:val="00855D20"/>
    <w:rsid w:val="00867465"/>
    <w:rsid w:val="0088063E"/>
    <w:rsid w:val="0088236B"/>
    <w:rsid w:val="00883E68"/>
    <w:rsid w:val="00890678"/>
    <w:rsid w:val="00891A8B"/>
    <w:rsid w:val="00892CE8"/>
    <w:rsid w:val="008951D6"/>
    <w:rsid w:val="0089703B"/>
    <w:rsid w:val="008A18C4"/>
    <w:rsid w:val="008A264B"/>
    <w:rsid w:val="008A2D22"/>
    <w:rsid w:val="008A32FD"/>
    <w:rsid w:val="008B13D2"/>
    <w:rsid w:val="008B39F4"/>
    <w:rsid w:val="008C0C92"/>
    <w:rsid w:val="008C5DDB"/>
    <w:rsid w:val="008E6CFD"/>
    <w:rsid w:val="008F3EF5"/>
    <w:rsid w:val="00900B49"/>
    <w:rsid w:val="00901805"/>
    <w:rsid w:val="0090193E"/>
    <w:rsid w:val="009148B4"/>
    <w:rsid w:val="00921C14"/>
    <w:rsid w:val="00923CD1"/>
    <w:rsid w:val="00933B08"/>
    <w:rsid w:val="00942050"/>
    <w:rsid w:val="009707BB"/>
    <w:rsid w:val="009743EA"/>
    <w:rsid w:val="00985214"/>
    <w:rsid w:val="009A793C"/>
    <w:rsid w:val="009B3CC9"/>
    <w:rsid w:val="009C592E"/>
    <w:rsid w:val="009D30B2"/>
    <w:rsid w:val="009D660F"/>
    <w:rsid w:val="009D7598"/>
    <w:rsid w:val="009D7636"/>
    <w:rsid w:val="009F1693"/>
    <w:rsid w:val="009F2DFE"/>
    <w:rsid w:val="009F6228"/>
    <w:rsid w:val="009F7B50"/>
    <w:rsid w:val="00A04EA7"/>
    <w:rsid w:val="00A058A8"/>
    <w:rsid w:val="00A2025C"/>
    <w:rsid w:val="00A2316F"/>
    <w:rsid w:val="00A24010"/>
    <w:rsid w:val="00A2566E"/>
    <w:rsid w:val="00A33379"/>
    <w:rsid w:val="00A36545"/>
    <w:rsid w:val="00A476AE"/>
    <w:rsid w:val="00A50F80"/>
    <w:rsid w:val="00A664F0"/>
    <w:rsid w:val="00A80BBF"/>
    <w:rsid w:val="00A9355A"/>
    <w:rsid w:val="00AA294F"/>
    <w:rsid w:val="00AA68F0"/>
    <w:rsid w:val="00AB1DC6"/>
    <w:rsid w:val="00AB503E"/>
    <w:rsid w:val="00AC1635"/>
    <w:rsid w:val="00AD16F8"/>
    <w:rsid w:val="00AE1D9B"/>
    <w:rsid w:val="00AE372C"/>
    <w:rsid w:val="00AF101E"/>
    <w:rsid w:val="00B05563"/>
    <w:rsid w:val="00B069CE"/>
    <w:rsid w:val="00B15423"/>
    <w:rsid w:val="00B24FC9"/>
    <w:rsid w:val="00B33F74"/>
    <w:rsid w:val="00B43AC3"/>
    <w:rsid w:val="00B450C5"/>
    <w:rsid w:val="00B54C7D"/>
    <w:rsid w:val="00B57816"/>
    <w:rsid w:val="00B646F3"/>
    <w:rsid w:val="00B656EA"/>
    <w:rsid w:val="00B931D9"/>
    <w:rsid w:val="00B94713"/>
    <w:rsid w:val="00B94C89"/>
    <w:rsid w:val="00B960A7"/>
    <w:rsid w:val="00BA59A1"/>
    <w:rsid w:val="00BD0967"/>
    <w:rsid w:val="00C05420"/>
    <w:rsid w:val="00C05CE5"/>
    <w:rsid w:val="00C05D88"/>
    <w:rsid w:val="00C05E9A"/>
    <w:rsid w:val="00C23AD8"/>
    <w:rsid w:val="00C3510B"/>
    <w:rsid w:val="00C4210E"/>
    <w:rsid w:val="00C4397F"/>
    <w:rsid w:val="00C453F6"/>
    <w:rsid w:val="00C7080A"/>
    <w:rsid w:val="00C757EE"/>
    <w:rsid w:val="00C76D6E"/>
    <w:rsid w:val="00C771D7"/>
    <w:rsid w:val="00C772F4"/>
    <w:rsid w:val="00C80044"/>
    <w:rsid w:val="00C86AF8"/>
    <w:rsid w:val="00C90F89"/>
    <w:rsid w:val="00C9107E"/>
    <w:rsid w:val="00C95588"/>
    <w:rsid w:val="00CA2E47"/>
    <w:rsid w:val="00CA6724"/>
    <w:rsid w:val="00CB02FB"/>
    <w:rsid w:val="00CB15F8"/>
    <w:rsid w:val="00CB3594"/>
    <w:rsid w:val="00CC35F1"/>
    <w:rsid w:val="00CC4158"/>
    <w:rsid w:val="00CD245C"/>
    <w:rsid w:val="00CD28D5"/>
    <w:rsid w:val="00CD3809"/>
    <w:rsid w:val="00CD5180"/>
    <w:rsid w:val="00CE287D"/>
    <w:rsid w:val="00CE72DA"/>
    <w:rsid w:val="00CF1FAF"/>
    <w:rsid w:val="00CF5AA2"/>
    <w:rsid w:val="00D22D13"/>
    <w:rsid w:val="00D272A4"/>
    <w:rsid w:val="00D2767A"/>
    <w:rsid w:val="00D3359C"/>
    <w:rsid w:val="00D36245"/>
    <w:rsid w:val="00D51213"/>
    <w:rsid w:val="00D57022"/>
    <w:rsid w:val="00D570BC"/>
    <w:rsid w:val="00D65BE9"/>
    <w:rsid w:val="00D66435"/>
    <w:rsid w:val="00D81484"/>
    <w:rsid w:val="00DA2649"/>
    <w:rsid w:val="00DA3131"/>
    <w:rsid w:val="00DC777F"/>
    <w:rsid w:val="00E52FFD"/>
    <w:rsid w:val="00E628C0"/>
    <w:rsid w:val="00E66AD9"/>
    <w:rsid w:val="00E71197"/>
    <w:rsid w:val="00E711CC"/>
    <w:rsid w:val="00E829C9"/>
    <w:rsid w:val="00E907DF"/>
    <w:rsid w:val="00E97D16"/>
    <w:rsid w:val="00EA1A14"/>
    <w:rsid w:val="00EA2283"/>
    <w:rsid w:val="00EA505C"/>
    <w:rsid w:val="00EC6D3A"/>
    <w:rsid w:val="00EC6EAE"/>
    <w:rsid w:val="00ED5AAC"/>
    <w:rsid w:val="00F15EBB"/>
    <w:rsid w:val="00F402B1"/>
    <w:rsid w:val="00F4572E"/>
    <w:rsid w:val="00F7186C"/>
    <w:rsid w:val="00F71D26"/>
    <w:rsid w:val="00F72157"/>
    <w:rsid w:val="00F72D00"/>
    <w:rsid w:val="00F76F36"/>
    <w:rsid w:val="00F77A6C"/>
    <w:rsid w:val="00F903D8"/>
    <w:rsid w:val="00FA02CA"/>
    <w:rsid w:val="00FA60E1"/>
    <w:rsid w:val="00FB7121"/>
    <w:rsid w:val="00FC0620"/>
    <w:rsid w:val="00FC5A05"/>
    <w:rsid w:val="00FC6536"/>
    <w:rsid w:val="00FD0BAB"/>
    <w:rsid w:val="00FD3FB6"/>
    <w:rsid w:val="00FD6E7D"/>
    <w:rsid w:val="00FF58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6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720FA0"/>
    <w:rPr>
      <w:b/>
    </w:rPr>
  </w:style>
  <w:style w:type="character" w:customStyle="1" w:styleId="HeadingChar">
    <w:name w:val="Heading Char"/>
    <w:basedOn w:val="Heading1Char"/>
    <w:link w:val="Heading"/>
    <w:rsid w:val="00720FA0"/>
    <w:rPr>
      <w:rFonts w:asciiTheme="majorHAnsi" w:eastAsiaTheme="majorEastAsia" w:hAnsiTheme="majorHAnsi" w:cstheme="majorBidi"/>
      <w:b/>
      <w:noProof/>
      <w:color w:val="2E74B5" w:themeColor="accent1" w:themeShade="BF"/>
      <w:sz w:val="32"/>
      <w:szCs w:val="32"/>
    </w:rPr>
  </w:style>
  <w:style w:type="character" w:customStyle="1" w:styleId="Heading1Char">
    <w:name w:val="Heading 1 Char"/>
    <w:basedOn w:val="DefaultParagraphFont"/>
    <w:link w:val="Heading1"/>
    <w:uiPriority w:val="9"/>
    <w:rsid w:val="00720FA0"/>
    <w:rPr>
      <w:rFonts w:asciiTheme="majorHAnsi" w:eastAsiaTheme="majorEastAsia" w:hAnsiTheme="majorHAnsi" w:cstheme="majorBidi"/>
      <w:noProof/>
      <w:color w:val="2E74B5" w:themeColor="accent1" w:themeShade="BF"/>
      <w:sz w:val="32"/>
      <w:szCs w:val="32"/>
    </w:rPr>
  </w:style>
  <w:style w:type="paragraph" w:customStyle="1" w:styleId="Mini-Heading">
    <w:name w:val="Mini-Heading"/>
    <w:basedOn w:val="Heading"/>
    <w:next w:val="Normal"/>
    <w:link w:val="Mini-HeadingChar"/>
    <w:qFormat/>
    <w:rsid w:val="0078574C"/>
    <w:pPr>
      <w:spacing w:before="360" w:after="120"/>
    </w:pPr>
    <w:rPr>
      <w:rFonts w:ascii="Times New Roman" w:hAnsi="Times New Roman"/>
      <w:b w:val="0"/>
      <w:color w:val="auto"/>
      <w:sz w:val="24"/>
    </w:rPr>
  </w:style>
  <w:style w:type="character" w:customStyle="1" w:styleId="Mini-HeadingChar">
    <w:name w:val="Mini-Heading Char"/>
    <w:basedOn w:val="DefaultParagraphFont"/>
    <w:link w:val="Mini-Heading"/>
    <w:rsid w:val="0078574C"/>
    <w:rPr>
      <w:rFonts w:eastAsiaTheme="majorEastAsia" w:cstheme="majorBidi"/>
      <w:noProof/>
      <w:szCs w:val="32"/>
    </w:rPr>
  </w:style>
  <w:style w:type="paragraph" w:styleId="Caption">
    <w:name w:val="caption"/>
    <w:basedOn w:val="Normal"/>
    <w:next w:val="Normal"/>
    <w:uiPriority w:val="35"/>
    <w:unhideWhenUsed/>
    <w:qFormat/>
    <w:rsid w:val="005E701A"/>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81149"/>
  </w:style>
  <w:style w:type="paragraph" w:styleId="Header">
    <w:name w:val="header"/>
    <w:basedOn w:val="Normal"/>
    <w:link w:val="HeaderChar"/>
    <w:uiPriority w:val="99"/>
    <w:unhideWhenUsed/>
    <w:rsid w:val="001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149"/>
  </w:style>
  <w:style w:type="table" w:styleId="TableGrid">
    <w:name w:val="Table Grid"/>
    <w:basedOn w:val="TableNormal"/>
    <w:uiPriority w:val="39"/>
    <w:rsid w:val="00D8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84"/>
    <w:rPr>
      <w:rFonts w:ascii="Segoe UI" w:hAnsi="Segoe UI" w:cs="Segoe UI"/>
      <w:sz w:val="18"/>
      <w:szCs w:val="18"/>
    </w:rPr>
  </w:style>
  <w:style w:type="paragraph" w:styleId="Revision">
    <w:name w:val="Revision"/>
    <w:hidden/>
    <w:uiPriority w:val="99"/>
    <w:semiHidden/>
    <w:rsid w:val="00F77A6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720FA0"/>
    <w:rPr>
      <w:b/>
    </w:rPr>
  </w:style>
  <w:style w:type="character" w:customStyle="1" w:styleId="HeadingChar">
    <w:name w:val="Heading Char"/>
    <w:basedOn w:val="Heading1Char"/>
    <w:link w:val="Heading"/>
    <w:rsid w:val="00720FA0"/>
    <w:rPr>
      <w:rFonts w:asciiTheme="majorHAnsi" w:eastAsiaTheme="majorEastAsia" w:hAnsiTheme="majorHAnsi" w:cstheme="majorBidi"/>
      <w:b/>
      <w:noProof/>
      <w:color w:val="2E74B5" w:themeColor="accent1" w:themeShade="BF"/>
      <w:sz w:val="32"/>
      <w:szCs w:val="32"/>
    </w:rPr>
  </w:style>
  <w:style w:type="character" w:customStyle="1" w:styleId="Heading1Char">
    <w:name w:val="Heading 1 Char"/>
    <w:basedOn w:val="DefaultParagraphFont"/>
    <w:link w:val="Heading1"/>
    <w:uiPriority w:val="9"/>
    <w:rsid w:val="00720FA0"/>
    <w:rPr>
      <w:rFonts w:asciiTheme="majorHAnsi" w:eastAsiaTheme="majorEastAsia" w:hAnsiTheme="majorHAnsi" w:cstheme="majorBidi"/>
      <w:noProof/>
      <w:color w:val="2E74B5" w:themeColor="accent1" w:themeShade="BF"/>
      <w:sz w:val="32"/>
      <w:szCs w:val="32"/>
    </w:rPr>
  </w:style>
  <w:style w:type="paragraph" w:customStyle="1" w:styleId="Mini-Heading">
    <w:name w:val="Mini-Heading"/>
    <w:basedOn w:val="Heading"/>
    <w:next w:val="Normal"/>
    <w:link w:val="Mini-HeadingChar"/>
    <w:qFormat/>
    <w:rsid w:val="0078574C"/>
    <w:pPr>
      <w:spacing w:before="360" w:after="120"/>
    </w:pPr>
    <w:rPr>
      <w:rFonts w:ascii="Times New Roman" w:hAnsi="Times New Roman"/>
      <w:b w:val="0"/>
      <w:color w:val="auto"/>
      <w:sz w:val="24"/>
    </w:rPr>
  </w:style>
  <w:style w:type="character" w:customStyle="1" w:styleId="Mini-HeadingChar">
    <w:name w:val="Mini-Heading Char"/>
    <w:basedOn w:val="DefaultParagraphFont"/>
    <w:link w:val="Mini-Heading"/>
    <w:rsid w:val="0078574C"/>
    <w:rPr>
      <w:rFonts w:eastAsiaTheme="majorEastAsia" w:cstheme="majorBidi"/>
      <w:noProof/>
      <w:szCs w:val="32"/>
    </w:rPr>
  </w:style>
  <w:style w:type="paragraph" w:styleId="Caption">
    <w:name w:val="caption"/>
    <w:basedOn w:val="Normal"/>
    <w:next w:val="Normal"/>
    <w:uiPriority w:val="35"/>
    <w:unhideWhenUsed/>
    <w:qFormat/>
    <w:rsid w:val="005E701A"/>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81149"/>
  </w:style>
  <w:style w:type="paragraph" w:styleId="Header">
    <w:name w:val="header"/>
    <w:basedOn w:val="Normal"/>
    <w:link w:val="HeaderChar"/>
    <w:uiPriority w:val="99"/>
    <w:unhideWhenUsed/>
    <w:rsid w:val="001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149"/>
  </w:style>
  <w:style w:type="table" w:styleId="TableGrid">
    <w:name w:val="Table Grid"/>
    <w:basedOn w:val="TableNormal"/>
    <w:uiPriority w:val="39"/>
    <w:rsid w:val="00D8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84"/>
    <w:rPr>
      <w:rFonts w:ascii="Segoe UI" w:hAnsi="Segoe UI" w:cs="Segoe UI"/>
      <w:sz w:val="18"/>
      <w:szCs w:val="18"/>
    </w:rPr>
  </w:style>
  <w:style w:type="paragraph" w:styleId="Revision">
    <w:name w:val="Revision"/>
    <w:hidden/>
    <w:uiPriority w:val="99"/>
    <w:semiHidden/>
    <w:rsid w:val="00F77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738">
      <w:bodyDiv w:val="1"/>
      <w:marLeft w:val="0"/>
      <w:marRight w:val="0"/>
      <w:marTop w:val="0"/>
      <w:marBottom w:val="0"/>
      <w:divBdr>
        <w:top w:val="none" w:sz="0" w:space="0" w:color="auto"/>
        <w:left w:val="none" w:sz="0" w:space="0" w:color="auto"/>
        <w:bottom w:val="none" w:sz="0" w:space="0" w:color="auto"/>
        <w:right w:val="none" w:sz="0" w:space="0" w:color="auto"/>
      </w:divBdr>
    </w:div>
    <w:div w:id="15067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F5ED4-0B81-DA4A-B83B-11161CD5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1187</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CNRS</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Villette</dc:creator>
  <cp:keywords/>
  <dc:description/>
  <cp:lastModifiedBy>Bryan McCleery</cp:lastModifiedBy>
  <cp:revision>2</cp:revision>
  <dcterms:created xsi:type="dcterms:W3CDTF">2017-08-03T08:49:00Z</dcterms:created>
  <dcterms:modified xsi:type="dcterms:W3CDTF">2017-08-03T08:49:00Z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http://csl.mendeley.com/styles/10885451/the-journal-of-clinical-investigation-2</vt:lpwstr>
  </property>
  <property fmtid="{D5CDD505-2E9C-101B-9397-08002B2CF9AE}" pid="3" name="Mendeley Document_1">
    <vt:lpwstr>True</vt:lpwstr>
  </property>
  <property fmtid="{D5CDD505-2E9C-101B-9397-08002B2CF9AE}" pid="4" name="Mendeley Unique User Id_1">
    <vt:lpwstr>c0bb2b25-462e-3896-80ed-ba70d30ed96d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http://csl.mendeley.com/styles/10885451/epi-infect</vt:lpwstr>
  </property>
  <property fmtid="{D5CDD505-2E9C-101B-9397-08002B2CF9AE}" pid="12" name="Mendeley Recent Style Name 3_1">
    <vt:lpwstr>American Society for Microbiology - Petra Villette</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http://www.zotero.org/styles/applied-and-environmental-microbiology</vt:lpwstr>
  </property>
  <property fmtid="{D5CDD505-2E9C-101B-9397-08002B2CF9AE}" pid="16" name="Mendeley Recent Style Name 5_1">
    <vt:lpwstr>Applied and Environmental Microbiology</vt:lpwstr>
  </property>
  <property fmtid="{D5CDD505-2E9C-101B-9397-08002B2CF9AE}" pid="17" name="Mendeley Recent Style Id 6_1">
    <vt:lpwstr>http://www.zotero.org/styles/european-journal-of-wildlife-research</vt:lpwstr>
  </property>
  <property fmtid="{D5CDD505-2E9C-101B-9397-08002B2CF9AE}" pid="18" name="Mendeley Recent Style Name 6_1">
    <vt:lpwstr>European Journal of Wildlife Research</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http://csl.mendeley.com/styles/10885451/journal-of-mammalogy</vt:lpwstr>
  </property>
  <property fmtid="{D5CDD505-2E9C-101B-9397-08002B2CF9AE}" pid="22" name="Mendeley Recent Style Name 8_1">
    <vt:lpwstr>Journal of Mammalogy - Petra Villette</vt:lpwstr>
  </property>
  <property fmtid="{D5CDD505-2E9C-101B-9397-08002B2CF9AE}" pid="23" name="Mendeley Recent Style Id 9_1">
    <vt:lpwstr>http://csl.mendeley.com/styles/10885451/the-journal-of-clinical-investigation-2</vt:lpwstr>
  </property>
  <property fmtid="{D5CDD505-2E9C-101B-9397-08002B2CF9AE}" pid="24" name="Mendeley Recent Style Name 9_1">
    <vt:lpwstr>The Journal of Clinical Investigation - Petra Villette</vt:lpwstr>
  </property>
</Properties>
</file>