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6D609" w14:textId="77777777" w:rsidR="00C4397F" w:rsidRDefault="00C4397F" w:rsidP="006C6170">
      <w:pPr>
        <w:spacing w:before="240" w:after="0" w:line="480" w:lineRule="auto"/>
        <w:rPr>
          <w:rFonts w:eastAsia="Times New Roman"/>
          <w:i/>
          <w:iCs/>
          <w:lang w:eastAsia="en-CA"/>
        </w:rPr>
      </w:pPr>
      <w:bookmarkStart w:id="0" w:name="_GoBack"/>
      <w:bookmarkEnd w:id="0"/>
      <w:r w:rsidRPr="00312BB6">
        <w:rPr>
          <w:rFonts w:eastAsia="Times New Roman"/>
          <w:i/>
          <w:iCs/>
          <w:lang w:eastAsia="en-CA"/>
        </w:rPr>
        <w:t>Epidemiology and Infection</w:t>
      </w:r>
    </w:p>
    <w:p w14:paraId="2DDDF65B" w14:textId="77777777" w:rsidR="00C4397F" w:rsidRPr="005814CC" w:rsidRDefault="00C4397F" w:rsidP="006C6170">
      <w:pPr>
        <w:spacing w:before="240" w:after="0" w:line="480" w:lineRule="auto"/>
        <w:rPr>
          <w:rFonts w:eastAsia="Times New Roman"/>
        </w:rPr>
      </w:pPr>
      <w:proofErr w:type="gramStart"/>
      <w:r w:rsidRPr="005814CC">
        <w:rPr>
          <w:rFonts w:eastAsia="Times New Roman"/>
        </w:rPr>
        <w:t xml:space="preserve">Consequences of organ choice in describing bacterial </w:t>
      </w:r>
      <w:r>
        <w:rPr>
          <w:rFonts w:eastAsia="Times New Roman"/>
        </w:rPr>
        <w:t xml:space="preserve">pathogen </w:t>
      </w:r>
      <w:r w:rsidRPr="005814CC">
        <w:rPr>
          <w:rFonts w:eastAsia="Times New Roman"/>
        </w:rPr>
        <w:t>assemblages in a rodent population.</w:t>
      </w:r>
      <w:proofErr w:type="gramEnd"/>
      <w:r w:rsidRPr="005814CC">
        <w:rPr>
          <w:rFonts w:eastAsia="Times New Roman"/>
        </w:rPr>
        <w:t xml:space="preserve"> </w:t>
      </w:r>
    </w:p>
    <w:p w14:paraId="3740C7CB" w14:textId="77777777" w:rsidR="00C4397F" w:rsidRPr="00BC0315" w:rsidRDefault="00C4397F" w:rsidP="006C6170">
      <w:pPr>
        <w:spacing w:before="240" w:after="0" w:line="480" w:lineRule="auto"/>
      </w:pPr>
      <w:r w:rsidRPr="00BC0315">
        <w:t xml:space="preserve">P. Villette, E. </w:t>
      </w:r>
      <w:proofErr w:type="spellStart"/>
      <w:r w:rsidRPr="00BC0315">
        <w:t>Afonso</w:t>
      </w:r>
      <w:proofErr w:type="spellEnd"/>
      <w:r w:rsidRPr="00BC0315">
        <w:t xml:space="preserve">, G. </w:t>
      </w:r>
      <w:proofErr w:type="spellStart"/>
      <w:r w:rsidRPr="00BC0315">
        <w:t>Couval</w:t>
      </w:r>
      <w:proofErr w:type="spellEnd"/>
      <w:r w:rsidRPr="00BC0315">
        <w:t xml:space="preserve">, A. </w:t>
      </w:r>
      <w:proofErr w:type="spellStart"/>
      <w:r w:rsidRPr="00BC0315">
        <w:t>Levret</w:t>
      </w:r>
      <w:proofErr w:type="spellEnd"/>
      <w:r w:rsidRPr="00BC0315">
        <w:t xml:space="preserve">, M. Galan, C. </w:t>
      </w:r>
      <w:proofErr w:type="spellStart"/>
      <w:r w:rsidRPr="00BC0315">
        <w:t>Tatard</w:t>
      </w:r>
      <w:proofErr w:type="spellEnd"/>
      <w:r w:rsidRPr="00BC0315">
        <w:t xml:space="preserve">, J.F. </w:t>
      </w:r>
      <w:proofErr w:type="spellStart"/>
      <w:r w:rsidRPr="00BC0315">
        <w:t>Cosson</w:t>
      </w:r>
      <w:proofErr w:type="spellEnd"/>
      <w:r w:rsidRPr="00BC0315">
        <w:t>, P. Giraudoux</w:t>
      </w:r>
    </w:p>
    <w:p w14:paraId="4BC894FB" w14:textId="68507672" w:rsidR="00DC777F" w:rsidRPr="005E701A" w:rsidRDefault="008C5DDB" w:rsidP="006C6170">
      <w:pPr>
        <w:spacing w:before="240" w:after="0" w:line="480" w:lineRule="auto"/>
        <w:rPr>
          <w:rFonts w:eastAsia="Times New Roman"/>
          <w:b/>
        </w:rPr>
      </w:pPr>
      <w:r>
        <w:rPr>
          <w:rFonts w:eastAsia="Times New Roman"/>
          <w:b/>
        </w:rPr>
        <w:t>Supplement</w:t>
      </w:r>
      <w:r w:rsidR="00C4397F">
        <w:rPr>
          <w:rFonts w:eastAsia="Times New Roman"/>
          <w:b/>
        </w:rPr>
        <w:t>ary Material</w:t>
      </w:r>
      <w:r>
        <w:rPr>
          <w:rFonts w:eastAsia="Times New Roman"/>
          <w:b/>
        </w:rPr>
        <w:t xml:space="preserve"> 3 - </w:t>
      </w:r>
      <w:r w:rsidR="00D51213" w:rsidRPr="005E701A">
        <w:rPr>
          <w:rFonts w:eastAsia="Times New Roman"/>
          <w:b/>
        </w:rPr>
        <w:t>Case study</w:t>
      </w:r>
    </w:p>
    <w:p w14:paraId="69082DC2" w14:textId="77777777" w:rsidR="00F72D00" w:rsidRDefault="00D51213" w:rsidP="006C6170">
      <w:pPr>
        <w:spacing w:before="240" w:after="0" w:line="480" w:lineRule="auto"/>
        <w:ind w:firstLine="720"/>
        <w:rPr>
          <w:rFonts w:eastAsia="Times New Roman"/>
        </w:rPr>
      </w:pPr>
      <w:r>
        <w:rPr>
          <w:rFonts w:eastAsia="Times New Roman"/>
        </w:rPr>
        <w:t>W</w:t>
      </w:r>
      <w:r w:rsidR="00F72D00" w:rsidRPr="004A754A">
        <w:rPr>
          <w:rFonts w:eastAsia="Times New Roman"/>
        </w:rPr>
        <w:t>e use</w:t>
      </w:r>
      <w:r>
        <w:rPr>
          <w:rFonts w:eastAsia="Times New Roman"/>
        </w:rPr>
        <w:t>d</w:t>
      </w:r>
      <w:r w:rsidR="00F72D00" w:rsidRPr="004A754A">
        <w:rPr>
          <w:rFonts w:eastAsia="Times New Roman"/>
        </w:rPr>
        <w:t xml:space="preserve"> a case study to explore the consequences of organ choice in detecting host-population-level differences in bacterial assemblages. We used pooled bacterial assemblages for each animal to test for population-level differences, and then conducted the same test with each organ to determine if all organs generate the same conclusion. We predicted that host-population-level differences in bacterial assemblages would be more easily detected in the liver and spleen because these two organs are likely to host the greatest bacterial richness, and that lower bacterial richness in the other organs would make detecting population-level differences, if they existed, more challenging.</w:t>
      </w:r>
    </w:p>
    <w:p w14:paraId="79D05DBD" w14:textId="77777777" w:rsidR="00F72D00" w:rsidRPr="004A754A" w:rsidRDefault="00F72D00" w:rsidP="006C6170">
      <w:pPr>
        <w:spacing w:before="240" w:after="0" w:line="480" w:lineRule="auto"/>
        <w:ind w:firstLine="720"/>
        <w:rPr>
          <w:rFonts w:eastAsia="Times New Roman"/>
        </w:rPr>
      </w:pPr>
      <w:r w:rsidRPr="004A754A">
        <w:rPr>
          <w:rFonts w:eastAsia="Times New Roman"/>
        </w:rPr>
        <w:t xml:space="preserve">We used nonmetric multidimensional scaling ordination (NMDS) to visualize Jaccard dissimilarities between individual organ bacterial assemblages and the bacterial assemblages of </w:t>
      </w:r>
      <w:proofErr w:type="gramStart"/>
      <w:r w:rsidRPr="004A754A">
        <w:rPr>
          <w:rFonts w:eastAsia="Times New Roman"/>
        </w:rPr>
        <w:t>each</w:t>
      </w:r>
      <w:proofErr w:type="gramEnd"/>
      <w:r w:rsidRPr="004A754A">
        <w:rPr>
          <w:rFonts w:eastAsia="Times New Roman"/>
        </w:rPr>
        <w:t xml:space="preserve"> animal when organs were pooled together. We conducted PERMANOVAs with each organ individually with a </w:t>
      </w:r>
      <w:proofErr w:type="spellStart"/>
      <w:r w:rsidRPr="004A754A">
        <w:rPr>
          <w:rFonts w:eastAsia="Times New Roman"/>
        </w:rPr>
        <w:t>Bonferonni</w:t>
      </w:r>
      <w:proofErr w:type="spellEnd"/>
      <w:r w:rsidRPr="004A754A">
        <w:rPr>
          <w:rFonts w:eastAsia="Times New Roman"/>
        </w:rPr>
        <w:t xml:space="preserve"> correction of α= 0.01 to determine if each organ’s OTU community differed between sites. We then pooled organ data within animals to determine if using all organs changed the PERMANOVA results (</w:t>
      </w:r>
      <w:proofErr w:type="spellStart"/>
      <w:r w:rsidRPr="004A754A">
        <w:rPr>
          <w:rFonts w:eastAsia="Times New Roman"/>
        </w:rPr>
        <w:t>ie</w:t>
      </w:r>
      <w:proofErr w:type="spellEnd"/>
      <w:r w:rsidRPr="004A754A">
        <w:rPr>
          <w:rFonts w:eastAsia="Times New Roman"/>
        </w:rPr>
        <w:t>. whether OTU assemblages differed between Arc-sous-Montenot and Censeau)</w:t>
      </w:r>
      <w:bookmarkStart w:id="1" w:name="Results"/>
      <w:bookmarkEnd w:id="1"/>
      <w:r w:rsidRPr="004A754A">
        <w:rPr>
          <w:rFonts w:eastAsia="Times New Roman"/>
        </w:rPr>
        <w:t>.</w:t>
      </w:r>
    </w:p>
    <w:p w14:paraId="49A91BF0" w14:textId="708D3C06" w:rsidR="005E701A" w:rsidRDefault="00F72D00" w:rsidP="006C6170">
      <w:pPr>
        <w:spacing w:before="240" w:after="0" w:line="480" w:lineRule="auto"/>
        <w:ind w:firstLine="720"/>
        <w:rPr>
          <w:rFonts w:eastAsia="Times New Roman"/>
        </w:rPr>
      </w:pPr>
      <w:r w:rsidRPr="004A754A">
        <w:rPr>
          <w:rFonts w:eastAsia="Times New Roman"/>
        </w:rPr>
        <w:lastRenderedPageBreak/>
        <w:t>NMDS ordination of Jaccard dissimilarity indices shows that when organ assemblages are pooled, Arc-sous-Montenot and Censeau animals form distinct clusters (</w:t>
      </w:r>
      <w:r w:rsidR="00C4397F">
        <w:rPr>
          <w:rFonts w:eastAsia="Times New Roman"/>
        </w:rPr>
        <w:t>Supplementary</w:t>
      </w:r>
      <w:r w:rsidR="009F2DFE">
        <w:rPr>
          <w:rFonts w:eastAsia="Times New Roman"/>
        </w:rPr>
        <w:t xml:space="preserve"> </w:t>
      </w:r>
      <w:r w:rsidR="00C4397F">
        <w:rPr>
          <w:rFonts w:eastAsia="Times New Roman"/>
        </w:rPr>
        <w:t>Figure 2</w:t>
      </w:r>
      <w:r w:rsidRPr="004A754A">
        <w:rPr>
          <w:rFonts w:eastAsia="Times New Roman"/>
        </w:rPr>
        <w:t xml:space="preserve">). Clustering </w:t>
      </w:r>
      <w:r w:rsidR="00A24010">
        <w:rPr>
          <w:rFonts w:eastAsia="Times New Roman"/>
        </w:rPr>
        <w:t xml:space="preserve">within organ types </w:t>
      </w:r>
      <w:r w:rsidRPr="004A754A">
        <w:rPr>
          <w:rFonts w:eastAsia="Times New Roman"/>
        </w:rPr>
        <w:t xml:space="preserve">is </w:t>
      </w:r>
      <w:r w:rsidR="00A24010">
        <w:rPr>
          <w:rFonts w:eastAsia="Times New Roman"/>
        </w:rPr>
        <w:t>less clear</w:t>
      </w:r>
      <w:r w:rsidRPr="004A754A">
        <w:rPr>
          <w:rFonts w:eastAsia="Times New Roman"/>
        </w:rPr>
        <w:t>, but the PERMANOVA analys</w:t>
      </w:r>
      <w:r w:rsidR="00A24010">
        <w:rPr>
          <w:rFonts w:eastAsia="Times New Roman"/>
        </w:rPr>
        <w:t>e</w:t>
      </w:r>
      <w:r w:rsidRPr="004A754A">
        <w:rPr>
          <w:rFonts w:eastAsia="Times New Roman"/>
        </w:rPr>
        <w:t>s</w:t>
      </w:r>
      <w:r w:rsidR="00A24010">
        <w:rPr>
          <w:rFonts w:eastAsia="Times New Roman"/>
        </w:rPr>
        <w:t xml:space="preserve"> detected </w:t>
      </w:r>
      <w:r w:rsidRPr="004A754A">
        <w:rPr>
          <w:rFonts w:eastAsia="Times New Roman"/>
        </w:rPr>
        <w:t xml:space="preserve">location effects when all organs are pooled together, and when the </w:t>
      </w:r>
      <w:r w:rsidR="00D66435">
        <w:rPr>
          <w:rFonts w:eastAsia="Times New Roman"/>
        </w:rPr>
        <w:t>kidney was</w:t>
      </w:r>
      <w:r w:rsidRPr="004A754A">
        <w:rPr>
          <w:rFonts w:eastAsia="Times New Roman"/>
        </w:rPr>
        <w:t xml:space="preserve"> considered alone, but not when the spleen</w:t>
      </w:r>
      <w:r>
        <w:rPr>
          <w:rFonts w:eastAsia="Times New Roman"/>
        </w:rPr>
        <w:t xml:space="preserve">, </w:t>
      </w:r>
      <w:r w:rsidR="00D66435">
        <w:rPr>
          <w:rFonts w:eastAsia="Times New Roman"/>
        </w:rPr>
        <w:t>liver, lung</w:t>
      </w:r>
      <w:r>
        <w:rPr>
          <w:rFonts w:eastAsia="Times New Roman"/>
        </w:rPr>
        <w:t>,</w:t>
      </w:r>
      <w:r w:rsidRPr="004A754A">
        <w:rPr>
          <w:rFonts w:eastAsia="Times New Roman"/>
        </w:rPr>
        <w:t xml:space="preserve"> or heart assemblages are viewed alone (</w:t>
      </w:r>
      <w:r w:rsidR="00C4397F">
        <w:rPr>
          <w:rFonts w:eastAsia="Times New Roman"/>
        </w:rPr>
        <w:t>Supplementary</w:t>
      </w:r>
      <w:r w:rsidR="009F2DFE">
        <w:rPr>
          <w:rFonts w:eastAsia="Times New Roman"/>
        </w:rPr>
        <w:t xml:space="preserve"> </w:t>
      </w:r>
      <w:r w:rsidRPr="004A754A">
        <w:rPr>
          <w:rFonts w:eastAsia="Times New Roman"/>
        </w:rPr>
        <w:t xml:space="preserve">Table </w:t>
      </w:r>
      <w:r w:rsidR="00EA505C">
        <w:rPr>
          <w:rFonts w:eastAsia="Times New Roman"/>
        </w:rPr>
        <w:t>4</w:t>
      </w:r>
      <w:r w:rsidRPr="004A754A">
        <w:rPr>
          <w:rFonts w:eastAsia="Times New Roman"/>
        </w:rPr>
        <w:t xml:space="preserve">). </w:t>
      </w:r>
    </w:p>
    <w:p w14:paraId="77A19ED3" w14:textId="77777777" w:rsidR="005E701A" w:rsidRDefault="005E701A" w:rsidP="005E701A">
      <w:pPr>
        <w:keepNext/>
        <w:spacing w:line="480" w:lineRule="auto"/>
      </w:pPr>
      <w:r>
        <w:rPr>
          <w:rFonts w:eastAsia="Times New Roman"/>
          <w:b/>
          <w:noProof/>
          <w:lang w:val="en-US"/>
        </w:rPr>
        <w:drawing>
          <wp:inline distT="0" distB="0" distL="0" distR="0" wp14:anchorId="4A75E4F7" wp14:editId="27DDBD1C">
            <wp:extent cx="5943600" cy="40925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8Aug2016.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092575"/>
                    </a:xfrm>
                    <a:prstGeom prst="rect">
                      <a:avLst/>
                    </a:prstGeom>
                  </pic:spPr>
                </pic:pic>
              </a:graphicData>
            </a:graphic>
          </wp:inline>
        </w:drawing>
      </w:r>
    </w:p>
    <w:p w14:paraId="0E57004A" w14:textId="62E1A05F" w:rsidR="005E701A" w:rsidRDefault="00C4397F" w:rsidP="008C5DDB">
      <w:pPr>
        <w:pStyle w:val="Caption"/>
        <w:spacing w:line="480" w:lineRule="auto"/>
        <w:rPr>
          <w:rFonts w:eastAsia="Times New Roman"/>
          <w:i w:val="0"/>
          <w:color w:val="auto"/>
          <w:sz w:val="24"/>
          <w:szCs w:val="24"/>
        </w:rPr>
      </w:pPr>
      <w:proofErr w:type="gramStart"/>
      <w:r>
        <w:rPr>
          <w:i w:val="0"/>
          <w:color w:val="auto"/>
          <w:sz w:val="24"/>
          <w:szCs w:val="24"/>
        </w:rPr>
        <w:t>Supplementary</w:t>
      </w:r>
      <w:r w:rsidR="009F2DFE">
        <w:rPr>
          <w:i w:val="0"/>
          <w:color w:val="auto"/>
          <w:sz w:val="24"/>
          <w:szCs w:val="24"/>
        </w:rPr>
        <w:t xml:space="preserve"> </w:t>
      </w:r>
      <w:r w:rsidR="005E701A" w:rsidRPr="008C5DDB">
        <w:rPr>
          <w:i w:val="0"/>
          <w:color w:val="auto"/>
          <w:sz w:val="24"/>
          <w:szCs w:val="24"/>
        </w:rPr>
        <w:t xml:space="preserve">Figure </w:t>
      </w:r>
      <w:r w:rsidR="00AC4966">
        <w:rPr>
          <w:i w:val="0"/>
          <w:color w:val="auto"/>
          <w:sz w:val="24"/>
          <w:szCs w:val="24"/>
        </w:rPr>
        <w:t>S</w:t>
      </w:r>
      <w:r w:rsidR="009D7598" w:rsidRPr="008C5DDB">
        <w:rPr>
          <w:i w:val="0"/>
          <w:color w:val="auto"/>
          <w:sz w:val="24"/>
          <w:szCs w:val="24"/>
        </w:rPr>
        <w:fldChar w:fldCharType="begin"/>
      </w:r>
      <w:r w:rsidR="009D7598" w:rsidRPr="008C5DDB">
        <w:rPr>
          <w:i w:val="0"/>
          <w:color w:val="auto"/>
          <w:sz w:val="24"/>
          <w:szCs w:val="24"/>
        </w:rPr>
        <w:instrText xml:space="preserve"> SEQ Figure \* ARABIC </w:instrText>
      </w:r>
      <w:r w:rsidR="009D7598" w:rsidRPr="008C5DDB">
        <w:rPr>
          <w:i w:val="0"/>
          <w:color w:val="auto"/>
          <w:sz w:val="24"/>
          <w:szCs w:val="24"/>
        </w:rPr>
        <w:fldChar w:fldCharType="separate"/>
      </w:r>
      <w:r w:rsidR="003C1D08">
        <w:rPr>
          <w:i w:val="0"/>
          <w:noProof/>
          <w:color w:val="auto"/>
          <w:sz w:val="24"/>
          <w:szCs w:val="24"/>
        </w:rPr>
        <w:t>2</w:t>
      </w:r>
      <w:r w:rsidR="009D7598" w:rsidRPr="008C5DDB">
        <w:rPr>
          <w:i w:val="0"/>
          <w:noProof/>
          <w:color w:val="auto"/>
          <w:sz w:val="24"/>
          <w:szCs w:val="24"/>
        </w:rPr>
        <w:fldChar w:fldCharType="end"/>
      </w:r>
      <w:r w:rsidR="005E701A" w:rsidRPr="008C5DDB">
        <w:rPr>
          <w:i w:val="0"/>
          <w:color w:val="auto"/>
          <w:sz w:val="24"/>
          <w:szCs w:val="24"/>
        </w:rPr>
        <w:t>.</w:t>
      </w:r>
      <w:proofErr w:type="gramEnd"/>
      <w:r w:rsidR="005E701A" w:rsidRPr="008C5DDB">
        <w:rPr>
          <w:i w:val="0"/>
          <w:color w:val="auto"/>
          <w:sz w:val="24"/>
          <w:szCs w:val="24"/>
        </w:rPr>
        <w:t xml:space="preserve"> </w:t>
      </w:r>
      <w:r w:rsidR="005E701A" w:rsidRPr="008C5DDB">
        <w:rPr>
          <w:rFonts w:eastAsia="Times New Roman"/>
          <w:i w:val="0"/>
          <w:color w:val="auto"/>
          <w:sz w:val="24"/>
          <w:szCs w:val="24"/>
        </w:rPr>
        <w:t xml:space="preserve">Jaccard </w:t>
      </w:r>
      <w:proofErr w:type="spellStart"/>
      <w:r w:rsidR="005E701A" w:rsidRPr="008C5DDB">
        <w:rPr>
          <w:rFonts w:eastAsia="Times New Roman"/>
          <w:i w:val="0"/>
          <w:color w:val="auto"/>
          <w:sz w:val="24"/>
          <w:szCs w:val="24"/>
        </w:rPr>
        <w:t>dissimilary</w:t>
      </w:r>
      <w:proofErr w:type="spellEnd"/>
      <w:r w:rsidR="005E701A" w:rsidRPr="008C5DDB">
        <w:rPr>
          <w:rFonts w:eastAsia="Times New Roman"/>
          <w:i w:val="0"/>
          <w:color w:val="auto"/>
          <w:sz w:val="24"/>
          <w:szCs w:val="24"/>
        </w:rPr>
        <w:t xml:space="preserve">-based NMDS ordination of potentially pathogenic bacterial assemblages in the heart, liver, lungs, kidneys, spleen, and pooled organs of 13 male Arvicola terrestris collected in November 2014 in the communes of Arc-sous-Montenot (A) and Censeau (C) in Franche-Comté, France. </w:t>
      </w:r>
      <w:proofErr w:type="gramStart"/>
      <w:r w:rsidR="005E701A" w:rsidRPr="008C5DDB">
        <w:rPr>
          <w:rFonts w:eastAsia="Times New Roman"/>
          <w:i w:val="0"/>
          <w:color w:val="auto"/>
          <w:sz w:val="24"/>
          <w:szCs w:val="24"/>
        </w:rPr>
        <w:t>Individual animals are indicated by number</w:t>
      </w:r>
      <w:proofErr w:type="gramEnd"/>
      <w:r w:rsidR="005E701A" w:rsidRPr="008C5DDB">
        <w:rPr>
          <w:rFonts w:eastAsia="Times New Roman"/>
          <w:i w:val="0"/>
          <w:color w:val="auto"/>
          <w:sz w:val="24"/>
          <w:szCs w:val="24"/>
        </w:rPr>
        <w:t>; in instances where points overlap, numbers are shown next to their respective points (e.g. animals 1,4,5,8 and 9 had identical lung assemblages and therefore map to the same point in the lung panel).</w:t>
      </w:r>
    </w:p>
    <w:tbl>
      <w:tblPr>
        <w:tblW w:w="6057" w:type="dxa"/>
        <w:tblInd w:w="108" w:type="dxa"/>
        <w:tblLook w:val="04A0" w:firstRow="1" w:lastRow="0" w:firstColumn="1" w:lastColumn="0" w:noHBand="0" w:noVBand="1"/>
      </w:tblPr>
      <w:tblGrid>
        <w:gridCol w:w="1050"/>
        <w:gridCol w:w="812"/>
        <w:gridCol w:w="642"/>
        <w:gridCol w:w="812"/>
        <w:gridCol w:w="812"/>
        <w:gridCol w:w="1929"/>
      </w:tblGrid>
      <w:tr w:rsidR="005E701A" w:rsidRPr="004A754A" w14:paraId="5B78B176" w14:textId="77777777" w:rsidTr="006C6170">
        <w:trPr>
          <w:trHeight w:val="300"/>
        </w:trPr>
        <w:tc>
          <w:tcPr>
            <w:tcW w:w="6057" w:type="dxa"/>
            <w:gridSpan w:val="6"/>
            <w:tcBorders>
              <w:top w:val="single" w:sz="4" w:space="0" w:color="auto"/>
              <w:left w:val="nil"/>
              <w:bottom w:val="single" w:sz="4" w:space="0" w:color="auto"/>
              <w:right w:val="nil"/>
            </w:tcBorders>
          </w:tcPr>
          <w:p w14:paraId="718A234A" w14:textId="10B81E25" w:rsidR="005E701A" w:rsidRPr="004A754A" w:rsidRDefault="00C4397F" w:rsidP="008C5DDB">
            <w:pPr>
              <w:spacing w:line="480" w:lineRule="auto"/>
              <w:rPr>
                <w:rFonts w:eastAsia="Times New Roman"/>
                <w:color w:val="000000"/>
                <w:sz w:val="22"/>
                <w:szCs w:val="22"/>
              </w:rPr>
            </w:pPr>
            <w:r>
              <w:rPr>
                <w:rFonts w:eastAsia="Times New Roman"/>
                <w:color w:val="000000"/>
                <w:sz w:val="22"/>
                <w:szCs w:val="22"/>
              </w:rPr>
              <w:lastRenderedPageBreak/>
              <w:t>Supplementary</w:t>
            </w:r>
            <w:r w:rsidR="008C5DDB">
              <w:rPr>
                <w:rFonts w:eastAsia="Times New Roman"/>
                <w:color w:val="000000"/>
                <w:sz w:val="22"/>
                <w:szCs w:val="22"/>
              </w:rPr>
              <w:t xml:space="preserve"> </w:t>
            </w:r>
            <w:r w:rsidR="005E701A" w:rsidRPr="004A754A">
              <w:rPr>
                <w:rFonts w:eastAsia="Times New Roman"/>
                <w:color w:val="000000"/>
                <w:sz w:val="22"/>
                <w:szCs w:val="22"/>
              </w:rPr>
              <w:t>Table</w:t>
            </w:r>
            <w:r w:rsidR="009F2DFE">
              <w:rPr>
                <w:rFonts w:eastAsia="Times New Roman"/>
                <w:color w:val="000000"/>
                <w:sz w:val="22"/>
                <w:szCs w:val="22"/>
              </w:rPr>
              <w:t xml:space="preserve"> </w:t>
            </w:r>
            <w:r w:rsidR="00AC4966">
              <w:rPr>
                <w:rFonts w:eastAsia="Times New Roman"/>
                <w:color w:val="000000"/>
                <w:sz w:val="22"/>
                <w:szCs w:val="22"/>
              </w:rPr>
              <w:t>S</w:t>
            </w:r>
            <w:r w:rsidR="00FD3FB6">
              <w:rPr>
                <w:rFonts w:eastAsia="Times New Roman"/>
                <w:color w:val="000000"/>
                <w:sz w:val="22"/>
                <w:szCs w:val="22"/>
              </w:rPr>
              <w:t>4</w:t>
            </w:r>
            <w:r w:rsidR="005E701A" w:rsidRPr="004A754A">
              <w:rPr>
                <w:rFonts w:eastAsia="Times New Roman"/>
                <w:color w:val="000000"/>
                <w:sz w:val="22"/>
                <w:szCs w:val="22"/>
              </w:rPr>
              <w:t xml:space="preserve">. PERMANOVA results for location effects for each organ individually, and for organs pooled within animals. A </w:t>
            </w:r>
            <w:proofErr w:type="spellStart"/>
            <w:r w:rsidR="005E701A" w:rsidRPr="004A754A">
              <w:rPr>
                <w:rFonts w:eastAsia="Times New Roman"/>
                <w:color w:val="000000"/>
                <w:sz w:val="22"/>
                <w:szCs w:val="22"/>
              </w:rPr>
              <w:t>bonferonni</w:t>
            </w:r>
            <w:proofErr w:type="spellEnd"/>
            <w:r w:rsidR="005E701A" w:rsidRPr="004A754A">
              <w:rPr>
                <w:rFonts w:eastAsia="Times New Roman"/>
                <w:color w:val="000000"/>
                <w:sz w:val="22"/>
                <w:szCs w:val="22"/>
              </w:rPr>
              <w:t xml:space="preserve"> correction of α=0.01 was applied to the individual organ PERMANOVAs.</w:t>
            </w:r>
          </w:p>
        </w:tc>
      </w:tr>
      <w:tr w:rsidR="005E701A" w:rsidRPr="004A754A" w14:paraId="6934FA30" w14:textId="77777777" w:rsidTr="006C6170">
        <w:trPr>
          <w:trHeight w:val="300"/>
        </w:trPr>
        <w:tc>
          <w:tcPr>
            <w:tcW w:w="1050" w:type="dxa"/>
            <w:tcBorders>
              <w:top w:val="nil"/>
              <w:left w:val="nil"/>
              <w:bottom w:val="single" w:sz="4" w:space="0" w:color="auto"/>
              <w:right w:val="nil"/>
            </w:tcBorders>
            <w:shd w:val="clear" w:color="auto" w:fill="auto"/>
            <w:noWrap/>
            <w:vAlign w:val="bottom"/>
            <w:hideMark/>
          </w:tcPr>
          <w:p w14:paraId="403CE524"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Organ</w:t>
            </w:r>
          </w:p>
        </w:tc>
        <w:tc>
          <w:tcPr>
            <w:tcW w:w="812" w:type="dxa"/>
            <w:tcBorders>
              <w:top w:val="nil"/>
              <w:left w:val="nil"/>
              <w:bottom w:val="single" w:sz="4" w:space="0" w:color="auto"/>
              <w:right w:val="nil"/>
            </w:tcBorders>
            <w:shd w:val="clear" w:color="auto" w:fill="auto"/>
            <w:noWrap/>
            <w:vAlign w:val="bottom"/>
            <w:hideMark/>
          </w:tcPr>
          <w:p w14:paraId="7B2F77C8"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F</w:t>
            </w:r>
          </w:p>
        </w:tc>
        <w:tc>
          <w:tcPr>
            <w:tcW w:w="642" w:type="dxa"/>
            <w:tcBorders>
              <w:top w:val="nil"/>
              <w:left w:val="nil"/>
              <w:bottom w:val="single" w:sz="4" w:space="0" w:color="auto"/>
              <w:right w:val="nil"/>
            </w:tcBorders>
            <w:shd w:val="clear" w:color="auto" w:fill="auto"/>
            <w:noWrap/>
            <w:vAlign w:val="bottom"/>
            <w:hideMark/>
          </w:tcPr>
          <w:p w14:paraId="67132E76" w14:textId="77777777" w:rsidR="005E701A" w:rsidRPr="004A754A" w:rsidRDefault="005E701A" w:rsidP="00232FFF">
            <w:pPr>
              <w:spacing w:line="480" w:lineRule="auto"/>
              <w:jc w:val="center"/>
              <w:rPr>
                <w:rFonts w:eastAsia="Times New Roman"/>
                <w:color w:val="000000"/>
                <w:sz w:val="22"/>
                <w:szCs w:val="22"/>
              </w:rPr>
            </w:pPr>
            <w:proofErr w:type="spellStart"/>
            <w:proofErr w:type="gramStart"/>
            <w:r w:rsidRPr="004A754A">
              <w:rPr>
                <w:rFonts w:eastAsia="Times New Roman"/>
                <w:color w:val="000000"/>
                <w:sz w:val="22"/>
                <w:szCs w:val="22"/>
              </w:rPr>
              <w:t>df</w:t>
            </w:r>
            <w:proofErr w:type="spellEnd"/>
            <w:proofErr w:type="gramEnd"/>
          </w:p>
        </w:tc>
        <w:tc>
          <w:tcPr>
            <w:tcW w:w="812" w:type="dxa"/>
            <w:tcBorders>
              <w:top w:val="nil"/>
              <w:left w:val="nil"/>
              <w:bottom w:val="single" w:sz="4" w:space="0" w:color="auto"/>
              <w:right w:val="nil"/>
            </w:tcBorders>
          </w:tcPr>
          <w:p w14:paraId="39FF0608" w14:textId="77777777" w:rsidR="00534B5D" w:rsidRDefault="00534B5D" w:rsidP="00BF2E9A">
            <w:pPr>
              <w:spacing w:line="480" w:lineRule="auto"/>
              <w:jc w:val="center"/>
              <w:rPr>
                <w:rFonts w:eastAsia="Times New Roman"/>
                <w:color w:val="000000"/>
                <w:sz w:val="22"/>
                <w:szCs w:val="22"/>
              </w:rPr>
            </w:pPr>
            <w:r>
              <w:rPr>
                <w:rFonts w:eastAsia="Times New Roman"/>
                <w:color w:val="000000"/>
                <w:sz w:val="22"/>
                <w:szCs w:val="22"/>
              </w:rPr>
              <w:t>R2</w:t>
            </w:r>
          </w:p>
        </w:tc>
        <w:tc>
          <w:tcPr>
            <w:tcW w:w="812" w:type="dxa"/>
            <w:tcBorders>
              <w:top w:val="nil"/>
              <w:left w:val="nil"/>
              <w:bottom w:val="single" w:sz="4" w:space="0" w:color="auto"/>
              <w:right w:val="nil"/>
            </w:tcBorders>
            <w:shd w:val="clear" w:color="auto" w:fill="auto"/>
            <w:noWrap/>
            <w:vAlign w:val="bottom"/>
            <w:hideMark/>
          </w:tcPr>
          <w:p w14:paraId="65EA59FA" w14:textId="42B924D3" w:rsidR="005E701A" w:rsidRPr="004A754A" w:rsidRDefault="005E701A" w:rsidP="00232FFF">
            <w:pPr>
              <w:spacing w:line="480" w:lineRule="auto"/>
              <w:jc w:val="center"/>
              <w:rPr>
                <w:rFonts w:eastAsia="Times New Roman"/>
                <w:color w:val="000000"/>
                <w:sz w:val="22"/>
                <w:szCs w:val="22"/>
              </w:rPr>
            </w:pPr>
            <w:proofErr w:type="gramStart"/>
            <w:r w:rsidRPr="004A754A">
              <w:rPr>
                <w:rFonts w:eastAsia="Times New Roman"/>
                <w:color w:val="000000"/>
                <w:sz w:val="22"/>
                <w:szCs w:val="22"/>
              </w:rPr>
              <w:t>p</w:t>
            </w:r>
            <w:proofErr w:type="gramEnd"/>
          </w:p>
        </w:tc>
        <w:tc>
          <w:tcPr>
            <w:tcW w:w="1929" w:type="dxa"/>
            <w:tcBorders>
              <w:top w:val="nil"/>
              <w:left w:val="nil"/>
              <w:bottom w:val="single" w:sz="4" w:space="0" w:color="auto"/>
              <w:right w:val="nil"/>
            </w:tcBorders>
            <w:shd w:val="clear" w:color="auto" w:fill="auto"/>
            <w:noWrap/>
            <w:vAlign w:val="bottom"/>
            <w:hideMark/>
          </w:tcPr>
          <w:p w14:paraId="6A8AC859" w14:textId="77777777" w:rsidR="005E701A" w:rsidRPr="004A754A" w:rsidRDefault="005E701A" w:rsidP="00232FFF">
            <w:pPr>
              <w:spacing w:line="480" w:lineRule="auto"/>
              <w:jc w:val="center"/>
              <w:rPr>
                <w:rFonts w:eastAsia="Times New Roman"/>
                <w:color w:val="000000"/>
                <w:sz w:val="22"/>
                <w:szCs w:val="22"/>
              </w:rPr>
            </w:pPr>
            <w:proofErr w:type="gramStart"/>
            <w:r w:rsidRPr="004A754A">
              <w:rPr>
                <w:rFonts w:eastAsia="Times New Roman"/>
                <w:color w:val="000000"/>
                <w:sz w:val="22"/>
                <w:szCs w:val="22"/>
              </w:rPr>
              <w:t>significant</w:t>
            </w:r>
            <w:proofErr w:type="gramEnd"/>
          </w:p>
        </w:tc>
      </w:tr>
      <w:tr w:rsidR="005E701A" w:rsidRPr="004A754A" w14:paraId="0748AAAB" w14:textId="77777777" w:rsidTr="006C6170">
        <w:trPr>
          <w:trHeight w:val="300"/>
        </w:trPr>
        <w:tc>
          <w:tcPr>
            <w:tcW w:w="1050" w:type="dxa"/>
            <w:tcBorders>
              <w:top w:val="nil"/>
              <w:left w:val="nil"/>
              <w:bottom w:val="nil"/>
              <w:right w:val="nil"/>
            </w:tcBorders>
            <w:shd w:val="clear" w:color="auto" w:fill="auto"/>
            <w:noWrap/>
            <w:vAlign w:val="bottom"/>
            <w:hideMark/>
          </w:tcPr>
          <w:p w14:paraId="306EE6F2"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Heart</w:t>
            </w:r>
          </w:p>
        </w:tc>
        <w:tc>
          <w:tcPr>
            <w:tcW w:w="812" w:type="dxa"/>
            <w:tcBorders>
              <w:top w:val="nil"/>
              <w:left w:val="nil"/>
              <w:bottom w:val="nil"/>
              <w:right w:val="nil"/>
            </w:tcBorders>
            <w:shd w:val="clear" w:color="auto" w:fill="auto"/>
            <w:noWrap/>
            <w:vAlign w:val="bottom"/>
            <w:hideMark/>
          </w:tcPr>
          <w:p w14:paraId="299E8DC9"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2.94</w:t>
            </w:r>
          </w:p>
        </w:tc>
        <w:tc>
          <w:tcPr>
            <w:tcW w:w="642" w:type="dxa"/>
            <w:tcBorders>
              <w:top w:val="nil"/>
              <w:left w:val="nil"/>
              <w:bottom w:val="nil"/>
              <w:right w:val="nil"/>
            </w:tcBorders>
            <w:shd w:val="clear" w:color="auto" w:fill="auto"/>
            <w:noWrap/>
            <w:vAlign w:val="bottom"/>
            <w:hideMark/>
          </w:tcPr>
          <w:p w14:paraId="42B21084"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1,10</w:t>
            </w:r>
          </w:p>
        </w:tc>
        <w:tc>
          <w:tcPr>
            <w:tcW w:w="812" w:type="dxa"/>
            <w:tcBorders>
              <w:top w:val="nil"/>
              <w:left w:val="nil"/>
              <w:bottom w:val="nil"/>
              <w:right w:val="nil"/>
            </w:tcBorders>
          </w:tcPr>
          <w:p w14:paraId="6BE91EF1" w14:textId="77777777" w:rsidR="00534B5D" w:rsidRDefault="00534B5D" w:rsidP="00BF2E9A">
            <w:pPr>
              <w:spacing w:line="480" w:lineRule="auto"/>
              <w:jc w:val="center"/>
              <w:rPr>
                <w:rFonts w:eastAsia="Times New Roman"/>
                <w:color w:val="000000"/>
                <w:sz w:val="22"/>
                <w:szCs w:val="22"/>
              </w:rPr>
            </w:pPr>
            <w:r>
              <w:rPr>
                <w:rFonts w:eastAsia="Times New Roman"/>
                <w:color w:val="000000"/>
                <w:sz w:val="22"/>
                <w:szCs w:val="22"/>
              </w:rPr>
              <w:t>0.23</w:t>
            </w:r>
          </w:p>
        </w:tc>
        <w:tc>
          <w:tcPr>
            <w:tcW w:w="812" w:type="dxa"/>
            <w:tcBorders>
              <w:top w:val="nil"/>
              <w:left w:val="nil"/>
              <w:bottom w:val="nil"/>
              <w:right w:val="nil"/>
            </w:tcBorders>
            <w:shd w:val="clear" w:color="auto" w:fill="auto"/>
            <w:noWrap/>
            <w:vAlign w:val="bottom"/>
            <w:hideMark/>
          </w:tcPr>
          <w:p w14:paraId="44307025" w14:textId="7E5A362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0.045</w:t>
            </w:r>
          </w:p>
        </w:tc>
        <w:tc>
          <w:tcPr>
            <w:tcW w:w="1929" w:type="dxa"/>
            <w:tcBorders>
              <w:top w:val="nil"/>
              <w:left w:val="nil"/>
              <w:bottom w:val="nil"/>
              <w:right w:val="nil"/>
            </w:tcBorders>
            <w:shd w:val="clear" w:color="auto" w:fill="auto"/>
            <w:noWrap/>
            <w:vAlign w:val="bottom"/>
            <w:hideMark/>
          </w:tcPr>
          <w:p w14:paraId="114B0D44" w14:textId="77777777" w:rsidR="005E701A" w:rsidRPr="004A754A" w:rsidRDefault="005E701A" w:rsidP="00232FFF">
            <w:pPr>
              <w:spacing w:line="480" w:lineRule="auto"/>
              <w:jc w:val="center"/>
              <w:rPr>
                <w:rFonts w:eastAsia="Times New Roman"/>
                <w:color w:val="000000"/>
                <w:sz w:val="22"/>
                <w:szCs w:val="22"/>
              </w:rPr>
            </w:pPr>
            <w:proofErr w:type="gramStart"/>
            <w:r w:rsidRPr="004A754A">
              <w:rPr>
                <w:rFonts w:eastAsia="Times New Roman"/>
                <w:color w:val="000000"/>
                <w:sz w:val="22"/>
                <w:szCs w:val="22"/>
              </w:rPr>
              <w:t>no</w:t>
            </w:r>
            <w:proofErr w:type="gramEnd"/>
          </w:p>
        </w:tc>
      </w:tr>
      <w:tr w:rsidR="005E701A" w:rsidRPr="004A754A" w14:paraId="3D1CDDB1" w14:textId="66EC49E6" w:rsidTr="006C6170">
        <w:trPr>
          <w:trHeight w:val="300"/>
        </w:trPr>
        <w:tc>
          <w:tcPr>
            <w:tcW w:w="1050" w:type="dxa"/>
            <w:tcBorders>
              <w:top w:val="nil"/>
              <w:left w:val="nil"/>
              <w:bottom w:val="nil"/>
              <w:right w:val="nil"/>
            </w:tcBorders>
            <w:shd w:val="clear" w:color="auto" w:fill="auto"/>
            <w:noWrap/>
            <w:vAlign w:val="bottom"/>
            <w:hideMark/>
          </w:tcPr>
          <w:p w14:paraId="09C8281C"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Liver</w:t>
            </w:r>
          </w:p>
        </w:tc>
        <w:tc>
          <w:tcPr>
            <w:tcW w:w="812" w:type="dxa"/>
            <w:tcBorders>
              <w:top w:val="nil"/>
              <w:left w:val="nil"/>
              <w:bottom w:val="nil"/>
              <w:right w:val="nil"/>
            </w:tcBorders>
            <w:shd w:val="clear" w:color="auto" w:fill="auto"/>
            <w:noWrap/>
            <w:vAlign w:val="bottom"/>
            <w:hideMark/>
          </w:tcPr>
          <w:p w14:paraId="5EB7604F"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3.53</w:t>
            </w:r>
          </w:p>
        </w:tc>
        <w:tc>
          <w:tcPr>
            <w:tcW w:w="642" w:type="dxa"/>
            <w:tcBorders>
              <w:top w:val="nil"/>
              <w:left w:val="nil"/>
              <w:bottom w:val="nil"/>
              <w:right w:val="nil"/>
            </w:tcBorders>
            <w:shd w:val="clear" w:color="auto" w:fill="auto"/>
            <w:noWrap/>
            <w:vAlign w:val="bottom"/>
            <w:hideMark/>
          </w:tcPr>
          <w:p w14:paraId="3BF6A1FF"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1,6</w:t>
            </w:r>
          </w:p>
        </w:tc>
        <w:tc>
          <w:tcPr>
            <w:tcW w:w="812" w:type="dxa"/>
            <w:tcBorders>
              <w:top w:val="nil"/>
              <w:left w:val="nil"/>
              <w:bottom w:val="nil"/>
              <w:right w:val="nil"/>
            </w:tcBorders>
          </w:tcPr>
          <w:p w14:paraId="7FB191AB" w14:textId="02692B84"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0.</w:t>
            </w:r>
            <w:r w:rsidR="00534B5D">
              <w:rPr>
                <w:rFonts w:eastAsia="Times New Roman"/>
                <w:color w:val="000000"/>
                <w:sz w:val="22"/>
                <w:szCs w:val="22"/>
              </w:rPr>
              <w:t>37</w:t>
            </w:r>
          </w:p>
        </w:tc>
        <w:tc>
          <w:tcPr>
            <w:tcW w:w="812" w:type="dxa"/>
            <w:tcBorders>
              <w:top w:val="nil"/>
              <w:left w:val="nil"/>
              <w:bottom w:val="nil"/>
              <w:right w:val="nil"/>
            </w:tcBorders>
            <w:shd w:val="clear" w:color="auto" w:fill="auto"/>
            <w:noWrap/>
            <w:vAlign w:val="bottom"/>
            <w:hideMark/>
          </w:tcPr>
          <w:p w14:paraId="5A2E4BC0" w14:textId="17B711AA" w:rsidR="005E701A" w:rsidRPr="004A754A" w:rsidRDefault="00534B5D" w:rsidP="00232FFF">
            <w:pPr>
              <w:spacing w:line="480" w:lineRule="auto"/>
              <w:jc w:val="center"/>
              <w:rPr>
                <w:rFonts w:eastAsia="Times New Roman"/>
                <w:color w:val="000000"/>
                <w:sz w:val="22"/>
                <w:szCs w:val="22"/>
              </w:rPr>
            </w:pPr>
            <w:r>
              <w:rPr>
                <w:rFonts w:eastAsia="Times New Roman"/>
                <w:color w:val="000000"/>
                <w:sz w:val="22"/>
                <w:szCs w:val="22"/>
              </w:rPr>
              <w:t>0.02</w:t>
            </w:r>
          </w:p>
        </w:tc>
        <w:tc>
          <w:tcPr>
            <w:tcW w:w="1929" w:type="dxa"/>
            <w:tcBorders>
              <w:top w:val="nil"/>
              <w:left w:val="nil"/>
              <w:bottom w:val="nil"/>
              <w:right w:val="nil"/>
            </w:tcBorders>
            <w:shd w:val="clear" w:color="auto" w:fill="auto"/>
            <w:noWrap/>
            <w:vAlign w:val="bottom"/>
            <w:hideMark/>
          </w:tcPr>
          <w:p w14:paraId="0B56B19E" w14:textId="77777777" w:rsidR="00534B5D" w:rsidRPr="00D66435" w:rsidRDefault="00534B5D" w:rsidP="00BF2E9A">
            <w:pPr>
              <w:spacing w:line="480" w:lineRule="auto"/>
              <w:jc w:val="center"/>
              <w:rPr>
                <w:rFonts w:eastAsia="Times New Roman"/>
                <w:color w:val="000000"/>
                <w:sz w:val="22"/>
                <w:szCs w:val="22"/>
              </w:rPr>
            </w:pPr>
            <w:proofErr w:type="gramStart"/>
            <w:r w:rsidRPr="00D66435">
              <w:rPr>
                <w:rFonts w:eastAsia="Times New Roman"/>
                <w:color w:val="000000"/>
                <w:sz w:val="22"/>
                <w:szCs w:val="22"/>
              </w:rPr>
              <w:t>no</w:t>
            </w:r>
            <w:proofErr w:type="gramEnd"/>
          </w:p>
        </w:tc>
      </w:tr>
      <w:tr w:rsidR="005E701A" w:rsidRPr="004A754A" w14:paraId="4BFC5302" w14:textId="32E43902" w:rsidTr="006C6170">
        <w:trPr>
          <w:trHeight w:val="300"/>
        </w:trPr>
        <w:tc>
          <w:tcPr>
            <w:tcW w:w="1050" w:type="dxa"/>
            <w:tcBorders>
              <w:top w:val="nil"/>
              <w:left w:val="nil"/>
              <w:bottom w:val="nil"/>
              <w:right w:val="nil"/>
            </w:tcBorders>
            <w:shd w:val="clear" w:color="auto" w:fill="auto"/>
            <w:noWrap/>
            <w:vAlign w:val="bottom"/>
            <w:hideMark/>
          </w:tcPr>
          <w:p w14:paraId="17719A15"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Lung</w:t>
            </w:r>
          </w:p>
        </w:tc>
        <w:tc>
          <w:tcPr>
            <w:tcW w:w="812" w:type="dxa"/>
            <w:tcBorders>
              <w:top w:val="nil"/>
              <w:left w:val="nil"/>
              <w:bottom w:val="nil"/>
              <w:right w:val="nil"/>
            </w:tcBorders>
            <w:shd w:val="clear" w:color="auto" w:fill="auto"/>
            <w:noWrap/>
            <w:vAlign w:val="bottom"/>
            <w:hideMark/>
          </w:tcPr>
          <w:p w14:paraId="7C30D5BE"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10.29</w:t>
            </w:r>
          </w:p>
        </w:tc>
        <w:tc>
          <w:tcPr>
            <w:tcW w:w="642" w:type="dxa"/>
            <w:tcBorders>
              <w:top w:val="nil"/>
              <w:left w:val="nil"/>
              <w:bottom w:val="nil"/>
              <w:right w:val="nil"/>
            </w:tcBorders>
            <w:shd w:val="clear" w:color="auto" w:fill="auto"/>
            <w:noWrap/>
            <w:vAlign w:val="bottom"/>
            <w:hideMark/>
          </w:tcPr>
          <w:p w14:paraId="7884CA1D"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1,7</w:t>
            </w:r>
          </w:p>
        </w:tc>
        <w:tc>
          <w:tcPr>
            <w:tcW w:w="812" w:type="dxa"/>
            <w:tcBorders>
              <w:top w:val="nil"/>
              <w:left w:val="nil"/>
              <w:bottom w:val="nil"/>
              <w:right w:val="nil"/>
            </w:tcBorders>
          </w:tcPr>
          <w:p w14:paraId="194AB08D" w14:textId="652D6EC4"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0.</w:t>
            </w:r>
            <w:r w:rsidR="00534B5D">
              <w:rPr>
                <w:rFonts w:eastAsia="Times New Roman"/>
                <w:color w:val="000000"/>
                <w:sz w:val="22"/>
                <w:szCs w:val="22"/>
              </w:rPr>
              <w:t>60</w:t>
            </w:r>
          </w:p>
        </w:tc>
        <w:tc>
          <w:tcPr>
            <w:tcW w:w="812" w:type="dxa"/>
            <w:tcBorders>
              <w:top w:val="nil"/>
              <w:left w:val="nil"/>
              <w:bottom w:val="nil"/>
              <w:right w:val="nil"/>
            </w:tcBorders>
            <w:shd w:val="clear" w:color="auto" w:fill="auto"/>
            <w:noWrap/>
            <w:vAlign w:val="bottom"/>
            <w:hideMark/>
          </w:tcPr>
          <w:p w14:paraId="6163C7FE" w14:textId="1AFF350A" w:rsidR="005E701A" w:rsidRPr="004A754A" w:rsidRDefault="00534B5D" w:rsidP="00232FFF">
            <w:pPr>
              <w:spacing w:line="480" w:lineRule="auto"/>
              <w:jc w:val="center"/>
              <w:rPr>
                <w:rFonts w:eastAsia="Times New Roman"/>
                <w:color w:val="000000"/>
                <w:sz w:val="22"/>
                <w:szCs w:val="22"/>
              </w:rPr>
            </w:pPr>
            <w:r>
              <w:rPr>
                <w:rFonts w:eastAsia="Times New Roman"/>
                <w:color w:val="000000"/>
                <w:sz w:val="22"/>
                <w:szCs w:val="22"/>
              </w:rPr>
              <w:t>0.011</w:t>
            </w:r>
          </w:p>
        </w:tc>
        <w:tc>
          <w:tcPr>
            <w:tcW w:w="1929" w:type="dxa"/>
            <w:tcBorders>
              <w:top w:val="nil"/>
              <w:left w:val="nil"/>
              <w:bottom w:val="nil"/>
              <w:right w:val="nil"/>
            </w:tcBorders>
            <w:shd w:val="clear" w:color="auto" w:fill="auto"/>
            <w:noWrap/>
            <w:vAlign w:val="bottom"/>
            <w:hideMark/>
          </w:tcPr>
          <w:p w14:paraId="05FBA9F3" w14:textId="77777777" w:rsidR="00534B5D" w:rsidRPr="00D66435" w:rsidRDefault="00534B5D" w:rsidP="00BF2E9A">
            <w:pPr>
              <w:spacing w:line="480" w:lineRule="auto"/>
              <w:jc w:val="center"/>
              <w:rPr>
                <w:rFonts w:eastAsia="Times New Roman"/>
                <w:color w:val="000000"/>
                <w:sz w:val="22"/>
                <w:szCs w:val="22"/>
              </w:rPr>
            </w:pPr>
            <w:proofErr w:type="gramStart"/>
            <w:r w:rsidRPr="00D66435">
              <w:rPr>
                <w:rFonts w:eastAsia="Times New Roman"/>
                <w:color w:val="000000"/>
                <w:sz w:val="22"/>
                <w:szCs w:val="22"/>
              </w:rPr>
              <w:t>no</w:t>
            </w:r>
            <w:proofErr w:type="gramEnd"/>
          </w:p>
        </w:tc>
      </w:tr>
      <w:tr w:rsidR="005E701A" w:rsidRPr="004A754A" w14:paraId="0C0445B6" w14:textId="77777777" w:rsidTr="006C6170">
        <w:trPr>
          <w:trHeight w:val="300"/>
        </w:trPr>
        <w:tc>
          <w:tcPr>
            <w:tcW w:w="1050" w:type="dxa"/>
            <w:tcBorders>
              <w:top w:val="nil"/>
              <w:left w:val="nil"/>
              <w:bottom w:val="nil"/>
              <w:right w:val="nil"/>
            </w:tcBorders>
            <w:shd w:val="clear" w:color="auto" w:fill="auto"/>
            <w:noWrap/>
            <w:vAlign w:val="bottom"/>
            <w:hideMark/>
          </w:tcPr>
          <w:p w14:paraId="2A09579C"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Spleen</w:t>
            </w:r>
          </w:p>
        </w:tc>
        <w:tc>
          <w:tcPr>
            <w:tcW w:w="812" w:type="dxa"/>
            <w:tcBorders>
              <w:top w:val="nil"/>
              <w:left w:val="nil"/>
              <w:bottom w:val="nil"/>
              <w:right w:val="nil"/>
            </w:tcBorders>
            <w:shd w:val="clear" w:color="auto" w:fill="auto"/>
            <w:noWrap/>
            <w:vAlign w:val="bottom"/>
            <w:hideMark/>
          </w:tcPr>
          <w:p w14:paraId="4372B405" w14:textId="77777777" w:rsidR="005E701A" w:rsidRPr="004A754A" w:rsidRDefault="005E701A" w:rsidP="00232FFF">
            <w:pPr>
              <w:spacing w:line="480" w:lineRule="auto"/>
              <w:jc w:val="center"/>
              <w:rPr>
                <w:rFonts w:eastAsia="Times New Roman"/>
                <w:color w:val="000000"/>
                <w:sz w:val="22"/>
                <w:szCs w:val="22"/>
              </w:rPr>
            </w:pPr>
            <w:r>
              <w:rPr>
                <w:rFonts w:eastAsia="Times New Roman"/>
                <w:color w:val="000000"/>
                <w:sz w:val="22"/>
                <w:szCs w:val="22"/>
              </w:rPr>
              <w:t>1.77</w:t>
            </w:r>
          </w:p>
        </w:tc>
        <w:tc>
          <w:tcPr>
            <w:tcW w:w="642" w:type="dxa"/>
            <w:tcBorders>
              <w:top w:val="nil"/>
              <w:left w:val="nil"/>
              <w:bottom w:val="nil"/>
              <w:right w:val="nil"/>
            </w:tcBorders>
            <w:shd w:val="clear" w:color="auto" w:fill="auto"/>
            <w:noWrap/>
            <w:vAlign w:val="bottom"/>
            <w:hideMark/>
          </w:tcPr>
          <w:p w14:paraId="2270EE13"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1,10</w:t>
            </w:r>
          </w:p>
        </w:tc>
        <w:tc>
          <w:tcPr>
            <w:tcW w:w="812" w:type="dxa"/>
            <w:tcBorders>
              <w:top w:val="nil"/>
              <w:left w:val="nil"/>
              <w:bottom w:val="nil"/>
              <w:right w:val="nil"/>
            </w:tcBorders>
          </w:tcPr>
          <w:p w14:paraId="32D20E29" w14:textId="77777777" w:rsidR="00534B5D" w:rsidRDefault="00534B5D" w:rsidP="00BF2E9A">
            <w:pPr>
              <w:spacing w:line="480" w:lineRule="auto"/>
              <w:jc w:val="center"/>
              <w:rPr>
                <w:rFonts w:eastAsia="Times New Roman"/>
                <w:color w:val="000000"/>
                <w:sz w:val="22"/>
                <w:szCs w:val="22"/>
              </w:rPr>
            </w:pPr>
            <w:r>
              <w:rPr>
                <w:rFonts w:eastAsia="Times New Roman"/>
                <w:color w:val="000000"/>
                <w:sz w:val="22"/>
                <w:szCs w:val="22"/>
              </w:rPr>
              <w:t>0.15</w:t>
            </w:r>
          </w:p>
        </w:tc>
        <w:tc>
          <w:tcPr>
            <w:tcW w:w="812" w:type="dxa"/>
            <w:tcBorders>
              <w:top w:val="nil"/>
              <w:left w:val="nil"/>
              <w:bottom w:val="nil"/>
              <w:right w:val="nil"/>
            </w:tcBorders>
            <w:shd w:val="clear" w:color="auto" w:fill="auto"/>
            <w:noWrap/>
            <w:vAlign w:val="bottom"/>
            <w:hideMark/>
          </w:tcPr>
          <w:p w14:paraId="616A029A" w14:textId="38800619"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0.06</w:t>
            </w:r>
          </w:p>
        </w:tc>
        <w:tc>
          <w:tcPr>
            <w:tcW w:w="1929" w:type="dxa"/>
            <w:tcBorders>
              <w:top w:val="nil"/>
              <w:left w:val="nil"/>
              <w:bottom w:val="nil"/>
              <w:right w:val="nil"/>
            </w:tcBorders>
            <w:shd w:val="clear" w:color="auto" w:fill="auto"/>
            <w:noWrap/>
            <w:vAlign w:val="bottom"/>
            <w:hideMark/>
          </w:tcPr>
          <w:p w14:paraId="3AF2B486" w14:textId="77777777" w:rsidR="005E701A" w:rsidRPr="004A754A" w:rsidRDefault="005E701A" w:rsidP="00232FFF">
            <w:pPr>
              <w:spacing w:line="480" w:lineRule="auto"/>
              <w:jc w:val="center"/>
              <w:rPr>
                <w:rFonts w:eastAsia="Times New Roman"/>
                <w:color w:val="000000"/>
                <w:sz w:val="22"/>
                <w:szCs w:val="22"/>
              </w:rPr>
            </w:pPr>
            <w:proofErr w:type="gramStart"/>
            <w:r w:rsidRPr="004A754A">
              <w:rPr>
                <w:rFonts w:eastAsia="Times New Roman"/>
                <w:color w:val="000000"/>
                <w:sz w:val="22"/>
                <w:szCs w:val="22"/>
              </w:rPr>
              <w:t>no</w:t>
            </w:r>
            <w:proofErr w:type="gramEnd"/>
          </w:p>
        </w:tc>
      </w:tr>
      <w:tr w:rsidR="005E701A" w:rsidRPr="004A754A" w14:paraId="6DD11695" w14:textId="7279891D" w:rsidTr="006C6170">
        <w:trPr>
          <w:trHeight w:val="300"/>
        </w:trPr>
        <w:tc>
          <w:tcPr>
            <w:tcW w:w="1050" w:type="dxa"/>
            <w:tcBorders>
              <w:top w:val="nil"/>
              <w:left w:val="nil"/>
              <w:right w:val="nil"/>
            </w:tcBorders>
            <w:shd w:val="clear" w:color="auto" w:fill="auto"/>
            <w:noWrap/>
            <w:vAlign w:val="bottom"/>
            <w:hideMark/>
          </w:tcPr>
          <w:p w14:paraId="1AF3001B"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Kidney</w:t>
            </w:r>
          </w:p>
        </w:tc>
        <w:tc>
          <w:tcPr>
            <w:tcW w:w="812" w:type="dxa"/>
            <w:tcBorders>
              <w:top w:val="nil"/>
              <w:left w:val="nil"/>
              <w:right w:val="nil"/>
            </w:tcBorders>
            <w:shd w:val="clear" w:color="auto" w:fill="auto"/>
            <w:noWrap/>
            <w:vAlign w:val="bottom"/>
            <w:hideMark/>
          </w:tcPr>
          <w:p w14:paraId="7757CCFE" w14:textId="4BA28052" w:rsidR="005E701A" w:rsidRPr="004A754A" w:rsidRDefault="00534B5D" w:rsidP="00232FFF">
            <w:pPr>
              <w:spacing w:line="480" w:lineRule="auto"/>
              <w:jc w:val="center"/>
              <w:rPr>
                <w:rFonts w:eastAsia="Times New Roman"/>
                <w:color w:val="000000"/>
                <w:sz w:val="22"/>
                <w:szCs w:val="22"/>
              </w:rPr>
            </w:pPr>
            <w:r>
              <w:rPr>
                <w:rFonts w:eastAsia="Times New Roman"/>
                <w:color w:val="000000"/>
                <w:sz w:val="22"/>
                <w:szCs w:val="22"/>
              </w:rPr>
              <w:t>3</w:t>
            </w:r>
            <w:r w:rsidR="005E701A">
              <w:rPr>
                <w:rFonts w:eastAsia="Times New Roman"/>
                <w:color w:val="000000"/>
                <w:sz w:val="22"/>
                <w:szCs w:val="22"/>
              </w:rPr>
              <w:t>.20</w:t>
            </w:r>
          </w:p>
        </w:tc>
        <w:tc>
          <w:tcPr>
            <w:tcW w:w="642" w:type="dxa"/>
            <w:tcBorders>
              <w:top w:val="nil"/>
              <w:left w:val="nil"/>
              <w:right w:val="nil"/>
            </w:tcBorders>
            <w:shd w:val="clear" w:color="auto" w:fill="auto"/>
            <w:noWrap/>
            <w:vAlign w:val="bottom"/>
            <w:hideMark/>
          </w:tcPr>
          <w:p w14:paraId="7E602D85"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1,9</w:t>
            </w:r>
          </w:p>
        </w:tc>
        <w:tc>
          <w:tcPr>
            <w:tcW w:w="812" w:type="dxa"/>
            <w:tcBorders>
              <w:top w:val="nil"/>
              <w:left w:val="nil"/>
              <w:right w:val="nil"/>
            </w:tcBorders>
          </w:tcPr>
          <w:p w14:paraId="4ABF5442" w14:textId="3421B2C4" w:rsidR="005E701A" w:rsidRPr="004A754A" w:rsidRDefault="005E701A" w:rsidP="00232FFF">
            <w:pPr>
              <w:spacing w:line="480" w:lineRule="auto"/>
              <w:jc w:val="center"/>
              <w:rPr>
                <w:rFonts w:eastAsia="Times New Roman"/>
                <w:color w:val="000000"/>
                <w:sz w:val="22"/>
                <w:szCs w:val="22"/>
              </w:rPr>
            </w:pPr>
            <w:r>
              <w:rPr>
                <w:rFonts w:eastAsia="Times New Roman"/>
                <w:color w:val="000000"/>
                <w:sz w:val="22"/>
                <w:szCs w:val="22"/>
              </w:rPr>
              <w:t>0.</w:t>
            </w:r>
            <w:r w:rsidR="00534B5D">
              <w:rPr>
                <w:rFonts w:eastAsia="Times New Roman"/>
                <w:color w:val="000000"/>
                <w:sz w:val="22"/>
                <w:szCs w:val="22"/>
              </w:rPr>
              <w:t>26</w:t>
            </w:r>
          </w:p>
        </w:tc>
        <w:tc>
          <w:tcPr>
            <w:tcW w:w="812" w:type="dxa"/>
            <w:tcBorders>
              <w:top w:val="nil"/>
              <w:left w:val="nil"/>
              <w:right w:val="nil"/>
            </w:tcBorders>
            <w:shd w:val="clear" w:color="auto" w:fill="auto"/>
            <w:noWrap/>
            <w:vAlign w:val="bottom"/>
            <w:hideMark/>
          </w:tcPr>
          <w:p w14:paraId="29103514" w14:textId="0BD3CF0A" w:rsidR="005E701A" w:rsidRPr="004A754A" w:rsidRDefault="00534B5D" w:rsidP="00232FFF">
            <w:pPr>
              <w:spacing w:line="480" w:lineRule="auto"/>
              <w:jc w:val="center"/>
              <w:rPr>
                <w:rFonts w:eastAsia="Times New Roman"/>
                <w:color w:val="000000"/>
                <w:sz w:val="22"/>
                <w:szCs w:val="22"/>
              </w:rPr>
            </w:pPr>
            <w:r>
              <w:rPr>
                <w:rFonts w:eastAsia="Times New Roman"/>
                <w:color w:val="000000"/>
                <w:sz w:val="22"/>
                <w:szCs w:val="22"/>
              </w:rPr>
              <w:t>0.009</w:t>
            </w:r>
          </w:p>
        </w:tc>
        <w:tc>
          <w:tcPr>
            <w:tcW w:w="1929" w:type="dxa"/>
            <w:tcBorders>
              <w:top w:val="nil"/>
              <w:left w:val="nil"/>
              <w:right w:val="nil"/>
            </w:tcBorders>
            <w:shd w:val="clear" w:color="auto" w:fill="auto"/>
            <w:noWrap/>
            <w:vAlign w:val="bottom"/>
            <w:hideMark/>
          </w:tcPr>
          <w:p w14:paraId="70A3D5AC" w14:textId="77777777" w:rsidR="00534B5D" w:rsidRPr="00D66435" w:rsidRDefault="00534B5D" w:rsidP="00BF2E9A">
            <w:pPr>
              <w:spacing w:line="480" w:lineRule="auto"/>
              <w:jc w:val="center"/>
              <w:rPr>
                <w:rFonts w:eastAsia="Times New Roman"/>
                <w:color w:val="000000"/>
                <w:sz w:val="22"/>
                <w:szCs w:val="22"/>
              </w:rPr>
            </w:pPr>
            <w:proofErr w:type="gramStart"/>
            <w:r w:rsidRPr="00D66435">
              <w:rPr>
                <w:rFonts w:eastAsia="Times New Roman"/>
                <w:color w:val="000000"/>
                <w:sz w:val="22"/>
                <w:szCs w:val="22"/>
              </w:rPr>
              <w:t>yes</w:t>
            </w:r>
            <w:proofErr w:type="gramEnd"/>
          </w:p>
        </w:tc>
      </w:tr>
      <w:tr w:rsidR="005E701A" w:rsidRPr="004A754A" w14:paraId="4C4D14FE" w14:textId="77777777" w:rsidTr="006C6170">
        <w:trPr>
          <w:trHeight w:val="300"/>
        </w:trPr>
        <w:tc>
          <w:tcPr>
            <w:tcW w:w="1050" w:type="dxa"/>
            <w:tcBorders>
              <w:top w:val="nil"/>
              <w:left w:val="nil"/>
              <w:bottom w:val="single" w:sz="4" w:space="0" w:color="auto"/>
              <w:right w:val="nil"/>
            </w:tcBorders>
            <w:shd w:val="clear" w:color="auto" w:fill="auto"/>
            <w:noWrap/>
            <w:vAlign w:val="bottom"/>
            <w:hideMark/>
          </w:tcPr>
          <w:p w14:paraId="095C3590"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Pool</w:t>
            </w:r>
          </w:p>
        </w:tc>
        <w:tc>
          <w:tcPr>
            <w:tcW w:w="812" w:type="dxa"/>
            <w:tcBorders>
              <w:top w:val="nil"/>
              <w:left w:val="nil"/>
              <w:bottom w:val="single" w:sz="4" w:space="0" w:color="auto"/>
              <w:right w:val="nil"/>
            </w:tcBorders>
            <w:shd w:val="clear" w:color="auto" w:fill="auto"/>
            <w:noWrap/>
            <w:vAlign w:val="bottom"/>
            <w:hideMark/>
          </w:tcPr>
          <w:p w14:paraId="317F8A4A" w14:textId="57BA7132"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2.</w:t>
            </w:r>
            <w:r w:rsidR="00534B5D">
              <w:rPr>
                <w:rFonts w:eastAsia="Times New Roman"/>
                <w:color w:val="000000"/>
                <w:sz w:val="22"/>
                <w:szCs w:val="22"/>
              </w:rPr>
              <w:t>92</w:t>
            </w:r>
          </w:p>
        </w:tc>
        <w:tc>
          <w:tcPr>
            <w:tcW w:w="642" w:type="dxa"/>
            <w:tcBorders>
              <w:top w:val="nil"/>
              <w:left w:val="nil"/>
              <w:bottom w:val="single" w:sz="4" w:space="0" w:color="auto"/>
              <w:right w:val="nil"/>
            </w:tcBorders>
            <w:shd w:val="clear" w:color="auto" w:fill="auto"/>
            <w:noWrap/>
            <w:vAlign w:val="bottom"/>
            <w:hideMark/>
          </w:tcPr>
          <w:p w14:paraId="04E8FC79" w14:textId="77777777"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1,11</w:t>
            </w:r>
          </w:p>
        </w:tc>
        <w:tc>
          <w:tcPr>
            <w:tcW w:w="812" w:type="dxa"/>
            <w:tcBorders>
              <w:top w:val="nil"/>
              <w:left w:val="nil"/>
              <w:bottom w:val="single" w:sz="4" w:space="0" w:color="auto"/>
              <w:right w:val="nil"/>
            </w:tcBorders>
          </w:tcPr>
          <w:p w14:paraId="792A5B49" w14:textId="26957EB5" w:rsidR="005E701A" w:rsidRPr="004A754A" w:rsidRDefault="005E701A" w:rsidP="00232FFF">
            <w:pPr>
              <w:spacing w:line="480" w:lineRule="auto"/>
              <w:jc w:val="center"/>
              <w:rPr>
                <w:rFonts w:eastAsia="Times New Roman"/>
                <w:color w:val="000000"/>
                <w:sz w:val="22"/>
                <w:szCs w:val="22"/>
              </w:rPr>
            </w:pPr>
            <w:r w:rsidRPr="004A754A">
              <w:rPr>
                <w:rFonts w:eastAsia="Times New Roman"/>
                <w:color w:val="000000"/>
                <w:sz w:val="22"/>
                <w:szCs w:val="22"/>
              </w:rPr>
              <w:t>0.</w:t>
            </w:r>
            <w:r w:rsidR="00534B5D">
              <w:rPr>
                <w:rFonts w:eastAsia="Times New Roman"/>
                <w:color w:val="000000"/>
                <w:sz w:val="22"/>
                <w:szCs w:val="22"/>
              </w:rPr>
              <w:t>21</w:t>
            </w:r>
          </w:p>
        </w:tc>
        <w:tc>
          <w:tcPr>
            <w:tcW w:w="812" w:type="dxa"/>
            <w:tcBorders>
              <w:top w:val="nil"/>
              <w:left w:val="nil"/>
              <w:bottom w:val="single" w:sz="4" w:space="0" w:color="auto"/>
              <w:right w:val="nil"/>
            </w:tcBorders>
            <w:shd w:val="clear" w:color="auto" w:fill="auto"/>
            <w:noWrap/>
            <w:vAlign w:val="bottom"/>
            <w:hideMark/>
          </w:tcPr>
          <w:p w14:paraId="5A4718C9" w14:textId="77777777" w:rsidR="00534B5D" w:rsidRDefault="00534B5D" w:rsidP="00BF2E9A">
            <w:pPr>
              <w:spacing w:line="480" w:lineRule="auto"/>
              <w:jc w:val="center"/>
              <w:rPr>
                <w:rFonts w:eastAsia="Times New Roman"/>
                <w:color w:val="000000"/>
                <w:sz w:val="22"/>
                <w:szCs w:val="22"/>
              </w:rPr>
            </w:pPr>
            <w:r>
              <w:rPr>
                <w:rFonts w:eastAsia="Times New Roman"/>
                <w:color w:val="000000"/>
                <w:sz w:val="22"/>
                <w:szCs w:val="22"/>
              </w:rPr>
              <w:t>0.008</w:t>
            </w:r>
          </w:p>
        </w:tc>
        <w:tc>
          <w:tcPr>
            <w:tcW w:w="1929" w:type="dxa"/>
            <w:tcBorders>
              <w:top w:val="nil"/>
              <w:left w:val="nil"/>
              <w:bottom w:val="single" w:sz="4" w:space="0" w:color="auto"/>
              <w:right w:val="nil"/>
            </w:tcBorders>
            <w:shd w:val="clear" w:color="auto" w:fill="auto"/>
            <w:noWrap/>
            <w:vAlign w:val="bottom"/>
            <w:hideMark/>
          </w:tcPr>
          <w:p w14:paraId="68FCFB99" w14:textId="113F7A73" w:rsidR="005E701A" w:rsidRPr="004A754A" w:rsidRDefault="005E701A" w:rsidP="00232FFF">
            <w:pPr>
              <w:spacing w:line="480" w:lineRule="auto"/>
              <w:jc w:val="center"/>
              <w:rPr>
                <w:rFonts w:eastAsia="Times New Roman"/>
                <w:color w:val="000000"/>
                <w:sz w:val="22"/>
                <w:szCs w:val="22"/>
              </w:rPr>
            </w:pPr>
            <w:proofErr w:type="gramStart"/>
            <w:r w:rsidRPr="004A754A">
              <w:rPr>
                <w:rFonts w:eastAsia="Times New Roman"/>
                <w:color w:val="000000"/>
                <w:sz w:val="22"/>
                <w:szCs w:val="22"/>
              </w:rPr>
              <w:t>yes</w:t>
            </w:r>
            <w:proofErr w:type="gramEnd"/>
          </w:p>
        </w:tc>
      </w:tr>
    </w:tbl>
    <w:p w14:paraId="442B2A24" w14:textId="77777777" w:rsidR="00F72D00" w:rsidRDefault="00F72D00"/>
    <w:sectPr w:rsidR="00F72D00" w:rsidSect="00181149">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A9B7D" w14:textId="77777777" w:rsidR="00974402" w:rsidRDefault="00974402" w:rsidP="00181149">
      <w:pPr>
        <w:spacing w:after="0" w:line="240" w:lineRule="auto"/>
      </w:pPr>
      <w:r>
        <w:separator/>
      </w:r>
    </w:p>
  </w:endnote>
  <w:endnote w:type="continuationSeparator" w:id="0">
    <w:p w14:paraId="3C9430E1" w14:textId="77777777" w:rsidR="00974402" w:rsidRDefault="00974402" w:rsidP="00181149">
      <w:pPr>
        <w:spacing w:after="0" w:line="240" w:lineRule="auto"/>
      </w:pPr>
      <w:r>
        <w:continuationSeparator/>
      </w:r>
    </w:p>
  </w:endnote>
  <w:endnote w:type="continuationNotice" w:id="1">
    <w:p w14:paraId="2D68B069" w14:textId="77777777" w:rsidR="00974402" w:rsidRDefault="00974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17CF" w14:textId="77777777" w:rsidR="00181149" w:rsidRDefault="001811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829600"/>
      <w:docPartObj>
        <w:docPartGallery w:val="Page Numbers (Bottom of Page)"/>
        <w:docPartUnique/>
      </w:docPartObj>
    </w:sdtPr>
    <w:sdtEndPr>
      <w:rPr>
        <w:noProof/>
      </w:rPr>
    </w:sdtEndPr>
    <w:sdtContent>
      <w:p w14:paraId="6DF71BDC" w14:textId="77777777" w:rsidR="00181149" w:rsidRDefault="00181149">
        <w:pPr>
          <w:pStyle w:val="Footer"/>
          <w:jc w:val="right"/>
        </w:pPr>
        <w:r>
          <w:fldChar w:fldCharType="begin"/>
        </w:r>
        <w:r>
          <w:instrText xml:space="preserve"> PAGE   \* MERGEFORMAT </w:instrText>
        </w:r>
        <w:r>
          <w:fldChar w:fldCharType="separate"/>
        </w:r>
        <w:r w:rsidR="00203AE8">
          <w:rPr>
            <w:noProof/>
          </w:rPr>
          <w:t>3</w:t>
        </w:r>
        <w:r>
          <w:rPr>
            <w:noProof/>
          </w:rPr>
          <w:fldChar w:fldCharType="end"/>
        </w:r>
      </w:p>
    </w:sdtContent>
  </w:sdt>
  <w:p w14:paraId="3BF4A974" w14:textId="77777777" w:rsidR="00181149" w:rsidRDefault="0018114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7E9E7" w14:textId="77777777" w:rsidR="00181149" w:rsidRDefault="001811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D0570" w14:textId="77777777" w:rsidR="00974402" w:rsidRDefault="00974402" w:rsidP="00181149">
      <w:pPr>
        <w:spacing w:after="0" w:line="240" w:lineRule="auto"/>
      </w:pPr>
      <w:r>
        <w:separator/>
      </w:r>
    </w:p>
  </w:footnote>
  <w:footnote w:type="continuationSeparator" w:id="0">
    <w:p w14:paraId="49E6EA88" w14:textId="77777777" w:rsidR="00974402" w:rsidRDefault="00974402" w:rsidP="00181149">
      <w:pPr>
        <w:spacing w:after="0" w:line="240" w:lineRule="auto"/>
      </w:pPr>
      <w:r>
        <w:continuationSeparator/>
      </w:r>
    </w:p>
  </w:footnote>
  <w:footnote w:type="continuationNotice" w:id="1">
    <w:p w14:paraId="7E0E33A1" w14:textId="77777777" w:rsidR="00974402" w:rsidRDefault="0097440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C8710" w14:textId="77777777" w:rsidR="00181149" w:rsidRDefault="001811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62F6C" w14:textId="77777777" w:rsidR="00181149" w:rsidRDefault="0018114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982B" w14:textId="77777777" w:rsidR="00181149" w:rsidRDefault="00181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00"/>
    <w:rsid w:val="00004E70"/>
    <w:rsid w:val="000069D2"/>
    <w:rsid w:val="00024C91"/>
    <w:rsid w:val="00031DFA"/>
    <w:rsid w:val="000433A8"/>
    <w:rsid w:val="0004560A"/>
    <w:rsid w:val="00050F89"/>
    <w:rsid w:val="00062380"/>
    <w:rsid w:val="00073075"/>
    <w:rsid w:val="00094FCB"/>
    <w:rsid w:val="000A508A"/>
    <w:rsid w:val="000B0FEA"/>
    <w:rsid w:val="000B1214"/>
    <w:rsid w:val="000B274B"/>
    <w:rsid w:val="000C707A"/>
    <w:rsid w:val="000C7D66"/>
    <w:rsid w:val="000D696B"/>
    <w:rsid w:val="000E044D"/>
    <w:rsid w:val="000E3E22"/>
    <w:rsid w:val="000F2325"/>
    <w:rsid w:val="000F5CC4"/>
    <w:rsid w:val="00103D18"/>
    <w:rsid w:val="00104C18"/>
    <w:rsid w:val="00104EA5"/>
    <w:rsid w:val="001101F6"/>
    <w:rsid w:val="00112362"/>
    <w:rsid w:val="0011239E"/>
    <w:rsid w:val="0011284D"/>
    <w:rsid w:val="00113D66"/>
    <w:rsid w:val="001176B3"/>
    <w:rsid w:val="00125BA7"/>
    <w:rsid w:val="001377B8"/>
    <w:rsid w:val="00137F49"/>
    <w:rsid w:val="0014138B"/>
    <w:rsid w:val="00166D33"/>
    <w:rsid w:val="00181149"/>
    <w:rsid w:val="001919EC"/>
    <w:rsid w:val="00192413"/>
    <w:rsid w:val="00196CE3"/>
    <w:rsid w:val="001A174E"/>
    <w:rsid w:val="001B349F"/>
    <w:rsid w:val="001D2CB4"/>
    <w:rsid w:val="001E1241"/>
    <w:rsid w:val="001E257E"/>
    <w:rsid w:val="001E509C"/>
    <w:rsid w:val="00203AE8"/>
    <w:rsid w:val="002042EA"/>
    <w:rsid w:val="00212712"/>
    <w:rsid w:val="00216C5F"/>
    <w:rsid w:val="00220BD9"/>
    <w:rsid w:val="002213E8"/>
    <w:rsid w:val="002311CB"/>
    <w:rsid w:val="00232FFF"/>
    <w:rsid w:val="00251E4C"/>
    <w:rsid w:val="00270083"/>
    <w:rsid w:val="00273CA4"/>
    <w:rsid w:val="00282F2D"/>
    <w:rsid w:val="00294F42"/>
    <w:rsid w:val="00295633"/>
    <w:rsid w:val="0029603C"/>
    <w:rsid w:val="002A29B5"/>
    <w:rsid w:val="002A30BC"/>
    <w:rsid w:val="002B5C98"/>
    <w:rsid w:val="002B60D1"/>
    <w:rsid w:val="002F2970"/>
    <w:rsid w:val="002F51C9"/>
    <w:rsid w:val="002F5B5B"/>
    <w:rsid w:val="00305604"/>
    <w:rsid w:val="003131C0"/>
    <w:rsid w:val="0033067D"/>
    <w:rsid w:val="00340C77"/>
    <w:rsid w:val="003468F0"/>
    <w:rsid w:val="0036673A"/>
    <w:rsid w:val="0038163A"/>
    <w:rsid w:val="003926CB"/>
    <w:rsid w:val="003C1443"/>
    <w:rsid w:val="003C1D08"/>
    <w:rsid w:val="003D33A4"/>
    <w:rsid w:val="003F0F32"/>
    <w:rsid w:val="004150A1"/>
    <w:rsid w:val="00432DA8"/>
    <w:rsid w:val="00443E3A"/>
    <w:rsid w:val="004515FF"/>
    <w:rsid w:val="00452224"/>
    <w:rsid w:val="0045662F"/>
    <w:rsid w:val="00472CD6"/>
    <w:rsid w:val="00473FF5"/>
    <w:rsid w:val="00485151"/>
    <w:rsid w:val="00492F45"/>
    <w:rsid w:val="00495773"/>
    <w:rsid w:val="00497C45"/>
    <w:rsid w:val="004C37D4"/>
    <w:rsid w:val="004C3C54"/>
    <w:rsid w:val="004F52CB"/>
    <w:rsid w:val="004F6C45"/>
    <w:rsid w:val="005049B3"/>
    <w:rsid w:val="00521CE3"/>
    <w:rsid w:val="00523044"/>
    <w:rsid w:val="00523495"/>
    <w:rsid w:val="00526F25"/>
    <w:rsid w:val="00534B5D"/>
    <w:rsid w:val="005407F5"/>
    <w:rsid w:val="0055097A"/>
    <w:rsid w:val="00585AC7"/>
    <w:rsid w:val="00585BF8"/>
    <w:rsid w:val="005B2136"/>
    <w:rsid w:val="005B262C"/>
    <w:rsid w:val="005B3428"/>
    <w:rsid w:val="005C10E6"/>
    <w:rsid w:val="005D72F4"/>
    <w:rsid w:val="005E701A"/>
    <w:rsid w:val="0060130B"/>
    <w:rsid w:val="00602FBF"/>
    <w:rsid w:val="006116F0"/>
    <w:rsid w:val="00613633"/>
    <w:rsid w:val="00621650"/>
    <w:rsid w:val="00632EFE"/>
    <w:rsid w:val="0068145A"/>
    <w:rsid w:val="006A1DBE"/>
    <w:rsid w:val="006B6D00"/>
    <w:rsid w:val="006C0D28"/>
    <w:rsid w:val="006C6170"/>
    <w:rsid w:val="006E18C3"/>
    <w:rsid w:val="007142CD"/>
    <w:rsid w:val="00720971"/>
    <w:rsid w:val="00720FA0"/>
    <w:rsid w:val="00746251"/>
    <w:rsid w:val="0075016F"/>
    <w:rsid w:val="00756BA4"/>
    <w:rsid w:val="00756D9B"/>
    <w:rsid w:val="00760FDA"/>
    <w:rsid w:val="00762E45"/>
    <w:rsid w:val="00764B24"/>
    <w:rsid w:val="00774B28"/>
    <w:rsid w:val="00774FFE"/>
    <w:rsid w:val="00777DF8"/>
    <w:rsid w:val="0078574C"/>
    <w:rsid w:val="007870F4"/>
    <w:rsid w:val="00793CE7"/>
    <w:rsid w:val="007A1D00"/>
    <w:rsid w:val="007A25E1"/>
    <w:rsid w:val="007A692C"/>
    <w:rsid w:val="007B3DC3"/>
    <w:rsid w:val="007B5536"/>
    <w:rsid w:val="007C2C19"/>
    <w:rsid w:val="007D413D"/>
    <w:rsid w:val="007F421F"/>
    <w:rsid w:val="00801EA2"/>
    <w:rsid w:val="008045B9"/>
    <w:rsid w:val="00814128"/>
    <w:rsid w:val="0083060A"/>
    <w:rsid w:val="008371D5"/>
    <w:rsid w:val="00855D20"/>
    <w:rsid w:val="00867465"/>
    <w:rsid w:val="0088063E"/>
    <w:rsid w:val="0088236B"/>
    <w:rsid w:val="00883E68"/>
    <w:rsid w:val="00890678"/>
    <w:rsid w:val="00891A8B"/>
    <w:rsid w:val="00892CE8"/>
    <w:rsid w:val="008951D6"/>
    <w:rsid w:val="0089703B"/>
    <w:rsid w:val="008A18C4"/>
    <w:rsid w:val="008A264B"/>
    <w:rsid w:val="008A2D22"/>
    <w:rsid w:val="008A32FD"/>
    <w:rsid w:val="008B13D2"/>
    <w:rsid w:val="008B39F4"/>
    <w:rsid w:val="008C0C92"/>
    <w:rsid w:val="008C5DDB"/>
    <w:rsid w:val="008E6CFD"/>
    <w:rsid w:val="00900B49"/>
    <w:rsid w:val="0090193E"/>
    <w:rsid w:val="009071BF"/>
    <w:rsid w:val="009148B4"/>
    <w:rsid w:val="00914C1F"/>
    <w:rsid w:val="00921C14"/>
    <w:rsid w:val="00923CD1"/>
    <w:rsid w:val="00933B08"/>
    <w:rsid w:val="009378B1"/>
    <w:rsid w:val="00942050"/>
    <w:rsid w:val="009707BB"/>
    <w:rsid w:val="009743EA"/>
    <w:rsid w:val="00974402"/>
    <w:rsid w:val="00985214"/>
    <w:rsid w:val="009A793C"/>
    <w:rsid w:val="009B3CC9"/>
    <w:rsid w:val="009C592E"/>
    <w:rsid w:val="009D30B2"/>
    <w:rsid w:val="009D660F"/>
    <w:rsid w:val="009D7598"/>
    <w:rsid w:val="009D7636"/>
    <w:rsid w:val="009F1693"/>
    <w:rsid w:val="009F2DFE"/>
    <w:rsid w:val="009F6228"/>
    <w:rsid w:val="009F7B50"/>
    <w:rsid w:val="00A04EA7"/>
    <w:rsid w:val="00A058A8"/>
    <w:rsid w:val="00A2316F"/>
    <w:rsid w:val="00A24010"/>
    <w:rsid w:val="00A2566E"/>
    <w:rsid w:val="00A33379"/>
    <w:rsid w:val="00A36545"/>
    <w:rsid w:val="00A476AE"/>
    <w:rsid w:val="00A50F80"/>
    <w:rsid w:val="00A664F0"/>
    <w:rsid w:val="00A80BBF"/>
    <w:rsid w:val="00A9355A"/>
    <w:rsid w:val="00AA68F0"/>
    <w:rsid w:val="00AB1DC6"/>
    <w:rsid w:val="00AB503E"/>
    <w:rsid w:val="00AC1635"/>
    <w:rsid w:val="00AC4966"/>
    <w:rsid w:val="00AD16F8"/>
    <w:rsid w:val="00AE1D9B"/>
    <w:rsid w:val="00AE372C"/>
    <w:rsid w:val="00AF101E"/>
    <w:rsid w:val="00B05563"/>
    <w:rsid w:val="00B069CE"/>
    <w:rsid w:val="00B15423"/>
    <w:rsid w:val="00B24FC9"/>
    <w:rsid w:val="00B33F74"/>
    <w:rsid w:val="00B43AC3"/>
    <w:rsid w:val="00B450C5"/>
    <w:rsid w:val="00B54C7D"/>
    <w:rsid w:val="00B57816"/>
    <w:rsid w:val="00B646F3"/>
    <w:rsid w:val="00B656EA"/>
    <w:rsid w:val="00B931D9"/>
    <w:rsid w:val="00B94713"/>
    <w:rsid w:val="00B94C89"/>
    <w:rsid w:val="00B960A7"/>
    <w:rsid w:val="00BA59A1"/>
    <w:rsid w:val="00BD0967"/>
    <w:rsid w:val="00C023A8"/>
    <w:rsid w:val="00C05420"/>
    <w:rsid w:val="00C05CE5"/>
    <w:rsid w:val="00C05D88"/>
    <w:rsid w:val="00C05E9A"/>
    <w:rsid w:val="00C122C2"/>
    <w:rsid w:val="00C23AD8"/>
    <w:rsid w:val="00C3510B"/>
    <w:rsid w:val="00C4210E"/>
    <w:rsid w:val="00C4397F"/>
    <w:rsid w:val="00C453F6"/>
    <w:rsid w:val="00C61669"/>
    <w:rsid w:val="00C7080A"/>
    <w:rsid w:val="00C757EE"/>
    <w:rsid w:val="00C76D6E"/>
    <w:rsid w:val="00C771D7"/>
    <w:rsid w:val="00C772F4"/>
    <w:rsid w:val="00C80044"/>
    <w:rsid w:val="00C86AF8"/>
    <w:rsid w:val="00C90F89"/>
    <w:rsid w:val="00C9107E"/>
    <w:rsid w:val="00C95588"/>
    <w:rsid w:val="00CA2E47"/>
    <w:rsid w:val="00CA6724"/>
    <w:rsid w:val="00CB02FB"/>
    <w:rsid w:val="00CB15F8"/>
    <w:rsid w:val="00CB3594"/>
    <w:rsid w:val="00CC35F1"/>
    <w:rsid w:val="00CC4158"/>
    <w:rsid w:val="00CD245C"/>
    <w:rsid w:val="00CD28D5"/>
    <w:rsid w:val="00CD3809"/>
    <w:rsid w:val="00CD5180"/>
    <w:rsid w:val="00CE287D"/>
    <w:rsid w:val="00CE72DA"/>
    <w:rsid w:val="00CF1FAF"/>
    <w:rsid w:val="00CF5AA2"/>
    <w:rsid w:val="00D22D13"/>
    <w:rsid w:val="00D272A4"/>
    <w:rsid w:val="00D2767A"/>
    <w:rsid w:val="00D3359C"/>
    <w:rsid w:val="00D36245"/>
    <w:rsid w:val="00D51213"/>
    <w:rsid w:val="00D57022"/>
    <w:rsid w:val="00D570BC"/>
    <w:rsid w:val="00D65BE9"/>
    <w:rsid w:val="00D66435"/>
    <w:rsid w:val="00DA2649"/>
    <w:rsid w:val="00DA3131"/>
    <w:rsid w:val="00DC777F"/>
    <w:rsid w:val="00E25067"/>
    <w:rsid w:val="00E52FFD"/>
    <w:rsid w:val="00E628C0"/>
    <w:rsid w:val="00E66AD9"/>
    <w:rsid w:val="00E71197"/>
    <w:rsid w:val="00E711CC"/>
    <w:rsid w:val="00E829C9"/>
    <w:rsid w:val="00E907DF"/>
    <w:rsid w:val="00E97D16"/>
    <w:rsid w:val="00EA1A14"/>
    <w:rsid w:val="00EA2283"/>
    <w:rsid w:val="00EA505C"/>
    <w:rsid w:val="00EC6D3A"/>
    <w:rsid w:val="00EC6EAE"/>
    <w:rsid w:val="00ED5AAC"/>
    <w:rsid w:val="00F15EBB"/>
    <w:rsid w:val="00F402B1"/>
    <w:rsid w:val="00F4572E"/>
    <w:rsid w:val="00F7186C"/>
    <w:rsid w:val="00F71D26"/>
    <w:rsid w:val="00F72157"/>
    <w:rsid w:val="00F72D00"/>
    <w:rsid w:val="00F76F36"/>
    <w:rsid w:val="00F903D8"/>
    <w:rsid w:val="00FA02CA"/>
    <w:rsid w:val="00FA60E1"/>
    <w:rsid w:val="00FB7121"/>
    <w:rsid w:val="00FC0620"/>
    <w:rsid w:val="00FC5A05"/>
    <w:rsid w:val="00FC6536"/>
    <w:rsid w:val="00FD0BAB"/>
    <w:rsid w:val="00FD3FB6"/>
    <w:rsid w:val="00FD6E7D"/>
    <w:rsid w:val="00FF58A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720FA0"/>
    <w:rPr>
      <w:b/>
    </w:rPr>
  </w:style>
  <w:style w:type="character" w:customStyle="1" w:styleId="HeadingChar">
    <w:name w:val="Heading Char"/>
    <w:basedOn w:val="Heading1Char"/>
    <w:link w:val="Heading"/>
    <w:rsid w:val="00720FA0"/>
    <w:rPr>
      <w:rFonts w:asciiTheme="majorHAnsi" w:eastAsiaTheme="majorEastAsia" w:hAnsiTheme="majorHAnsi" w:cstheme="majorBidi"/>
      <w:b/>
      <w:noProof/>
      <w:color w:val="2E74B5" w:themeColor="accent1" w:themeShade="BF"/>
      <w:sz w:val="32"/>
      <w:szCs w:val="32"/>
    </w:rPr>
  </w:style>
  <w:style w:type="character" w:customStyle="1" w:styleId="Heading1Char">
    <w:name w:val="Heading 1 Char"/>
    <w:basedOn w:val="DefaultParagraphFont"/>
    <w:link w:val="Heading1"/>
    <w:uiPriority w:val="9"/>
    <w:rsid w:val="00720FA0"/>
    <w:rPr>
      <w:rFonts w:asciiTheme="majorHAnsi" w:eastAsiaTheme="majorEastAsia" w:hAnsiTheme="majorHAnsi" w:cstheme="majorBidi"/>
      <w:noProof/>
      <w:color w:val="2E74B5" w:themeColor="accent1" w:themeShade="BF"/>
      <w:sz w:val="32"/>
      <w:szCs w:val="32"/>
    </w:rPr>
  </w:style>
  <w:style w:type="paragraph" w:customStyle="1" w:styleId="Mini-Heading">
    <w:name w:val="Mini-Heading"/>
    <w:basedOn w:val="Heading"/>
    <w:next w:val="Normal"/>
    <w:link w:val="Mini-HeadingChar"/>
    <w:qFormat/>
    <w:rsid w:val="0078574C"/>
    <w:pPr>
      <w:spacing w:before="360" w:after="120"/>
    </w:pPr>
    <w:rPr>
      <w:rFonts w:ascii="Times New Roman" w:hAnsi="Times New Roman"/>
      <w:b w:val="0"/>
      <w:color w:val="auto"/>
      <w:sz w:val="24"/>
    </w:rPr>
  </w:style>
  <w:style w:type="character" w:customStyle="1" w:styleId="Mini-HeadingChar">
    <w:name w:val="Mini-Heading Char"/>
    <w:basedOn w:val="DefaultParagraphFont"/>
    <w:link w:val="Mini-Heading"/>
    <w:rsid w:val="0078574C"/>
    <w:rPr>
      <w:rFonts w:eastAsiaTheme="majorEastAsia" w:cstheme="majorBidi"/>
      <w:noProof/>
      <w:szCs w:val="32"/>
    </w:rPr>
  </w:style>
  <w:style w:type="paragraph" w:styleId="Caption">
    <w:name w:val="caption"/>
    <w:basedOn w:val="Normal"/>
    <w:next w:val="Normal"/>
    <w:uiPriority w:val="35"/>
    <w:unhideWhenUsed/>
    <w:qFormat/>
    <w:rsid w:val="005E701A"/>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181149"/>
  </w:style>
  <w:style w:type="paragraph" w:styleId="Header">
    <w:name w:val="header"/>
    <w:basedOn w:val="Normal"/>
    <w:link w:val="HeaderChar"/>
    <w:uiPriority w:val="99"/>
    <w:unhideWhenUsed/>
    <w:rsid w:val="001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149"/>
  </w:style>
  <w:style w:type="paragraph" w:styleId="Footer">
    <w:name w:val="footer"/>
    <w:basedOn w:val="Normal"/>
    <w:link w:val="FooterChar"/>
    <w:uiPriority w:val="99"/>
    <w:unhideWhenUsed/>
    <w:rsid w:val="0018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149"/>
  </w:style>
  <w:style w:type="table" w:styleId="TableGrid">
    <w:name w:val="Table Grid"/>
    <w:basedOn w:val="TableNormal"/>
    <w:uiPriority w:val="39"/>
    <w:rsid w:val="006C6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17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720FA0"/>
    <w:rPr>
      <w:b/>
    </w:rPr>
  </w:style>
  <w:style w:type="character" w:customStyle="1" w:styleId="HeadingChar">
    <w:name w:val="Heading Char"/>
    <w:basedOn w:val="Heading1Char"/>
    <w:link w:val="Heading"/>
    <w:rsid w:val="00720FA0"/>
    <w:rPr>
      <w:rFonts w:asciiTheme="majorHAnsi" w:eastAsiaTheme="majorEastAsia" w:hAnsiTheme="majorHAnsi" w:cstheme="majorBidi"/>
      <w:b/>
      <w:noProof/>
      <w:color w:val="2E74B5" w:themeColor="accent1" w:themeShade="BF"/>
      <w:sz w:val="32"/>
      <w:szCs w:val="32"/>
    </w:rPr>
  </w:style>
  <w:style w:type="character" w:customStyle="1" w:styleId="Heading1Char">
    <w:name w:val="Heading 1 Char"/>
    <w:basedOn w:val="DefaultParagraphFont"/>
    <w:link w:val="Heading1"/>
    <w:uiPriority w:val="9"/>
    <w:rsid w:val="00720FA0"/>
    <w:rPr>
      <w:rFonts w:asciiTheme="majorHAnsi" w:eastAsiaTheme="majorEastAsia" w:hAnsiTheme="majorHAnsi" w:cstheme="majorBidi"/>
      <w:noProof/>
      <w:color w:val="2E74B5" w:themeColor="accent1" w:themeShade="BF"/>
      <w:sz w:val="32"/>
      <w:szCs w:val="32"/>
    </w:rPr>
  </w:style>
  <w:style w:type="paragraph" w:customStyle="1" w:styleId="Mini-Heading">
    <w:name w:val="Mini-Heading"/>
    <w:basedOn w:val="Heading"/>
    <w:next w:val="Normal"/>
    <w:link w:val="Mini-HeadingChar"/>
    <w:qFormat/>
    <w:rsid w:val="0078574C"/>
    <w:pPr>
      <w:spacing w:before="360" w:after="120"/>
    </w:pPr>
    <w:rPr>
      <w:rFonts w:ascii="Times New Roman" w:hAnsi="Times New Roman"/>
      <w:b w:val="0"/>
      <w:color w:val="auto"/>
      <w:sz w:val="24"/>
    </w:rPr>
  </w:style>
  <w:style w:type="character" w:customStyle="1" w:styleId="Mini-HeadingChar">
    <w:name w:val="Mini-Heading Char"/>
    <w:basedOn w:val="DefaultParagraphFont"/>
    <w:link w:val="Mini-Heading"/>
    <w:rsid w:val="0078574C"/>
    <w:rPr>
      <w:rFonts w:eastAsiaTheme="majorEastAsia" w:cstheme="majorBidi"/>
      <w:noProof/>
      <w:szCs w:val="32"/>
    </w:rPr>
  </w:style>
  <w:style w:type="paragraph" w:styleId="Caption">
    <w:name w:val="caption"/>
    <w:basedOn w:val="Normal"/>
    <w:next w:val="Normal"/>
    <w:uiPriority w:val="35"/>
    <w:unhideWhenUsed/>
    <w:qFormat/>
    <w:rsid w:val="005E701A"/>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181149"/>
  </w:style>
  <w:style w:type="paragraph" w:styleId="Header">
    <w:name w:val="header"/>
    <w:basedOn w:val="Normal"/>
    <w:link w:val="HeaderChar"/>
    <w:uiPriority w:val="99"/>
    <w:unhideWhenUsed/>
    <w:rsid w:val="001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149"/>
  </w:style>
  <w:style w:type="paragraph" w:styleId="Footer">
    <w:name w:val="footer"/>
    <w:basedOn w:val="Normal"/>
    <w:link w:val="FooterChar"/>
    <w:uiPriority w:val="99"/>
    <w:unhideWhenUsed/>
    <w:rsid w:val="0018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149"/>
  </w:style>
  <w:style w:type="table" w:styleId="TableGrid">
    <w:name w:val="Table Grid"/>
    <w:basedOn w:val="TableNormal"/>
    <w:uiPriority w:val="39"/>
    <w:rsid w:val="006C6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2738">
      <w:bodyDiv w:val="1"/>
      <w:marLeft w:val="0"/>
      <w:marRight w:val="0"/>
      <w:marTop w:val="0"/>
      <w:marBottom w:val="0"/>
      <w:divBdr>
        <w:top w:val="none" w:sz="0" w:space="0" w:color="auto"/>
        <w:left w:val="none" w:sz="0" w:space="0" w:color="auto"/>
        <w:bottom w:val="none" w:sz="0" w:space="0" w:color="auto"/>
        <w:right w:val="none" w:sz="0" w:space="0" w:color="auto"/>
      </w:divBdr>
    </w:div>
    <w:div w:id="15067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5DE0-F7AA-D64F-BD36-6EC924CE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CNRS</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Villette</dc:creator>
  <cp:keywords/>
  <dc:description/>
  <cp:lastModifiedBy>Bryan McCleery</cp:lastModifiedBy>
  <cp:revision>2</cp:revision>
  <dcterms:created xsi:type="dcterms:W3CDTF">2017-08-03T08:51:00Z</dcterms:created>
  <dcterms:modified xsi:type="dcterms:W3CDTF">2017-08-03T08:51:00Z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http://csl.mendeley.com/styles/10885451/the-journal-of-clinical-investigation-2</vt:lpwstr>
  </property>
  <property fmtid="{D5CDD505-2E9C-101B-9397-08002B2CF9AE}" pid="3" name="Mendeley Document_1">
    <vt:lpwstr>True</vt:lpwstr>
  </property>
  <property fmtid="{D5CDD505-2E9C-101B-9397-08002B2CF9AE}" pid="4" name="Mendeley Unique User Id_1">
    <vt:lpwstr>c0bb2b25-462e-3896-80ed-ba70d30ed96d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http://csl.mendeley.com/styles/10885451/epi-infect</vt:lpwstr>
  </property>
  <property fmtid="{D5CDD505-2E9C-101B-9397-08002B2CF9AE}" pid="12" name="Mendeley Recent Style Name 3_1">
    <vt:lpwstr>American Society for Microbiology - Petra Villette</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http://www.zotero.org/styles/applied-and-environmental-microbiology</vt:lpwstr>
  </property>
  <property fmtid="{D5CDD505-2E9C-101B-9397-08002B2CF9AE}" pid="16" name="Mendeley Recent Style Name 5_1">
    <vt:lpwstr>Applied and Environmental Microbiology</vt:lpwstr>
  </property>
  <property fmtid="{D5CDD505-2E9C-101B-9397-08002B2CF9AE}" pid="17" name="Mendeley Recent Style Id 6_1">
    <vt:lpwstr>http://www.zotero.org/styles/european-journal-of-wildlife-research</vt:lpwstr>
  </property>
  <property fmtid="{D5CDD505-2E9C-101B-9397-08002B2CF9AE}" pid="18" name="Mendeley Recent Style Name 6_1">
    <vt:lpwstr>European Journal of Wildlife Research</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http://csl.mendeley.com/styles/10885451/journal-of-mammalogy</vt:lpwstr>
  </property>
  <property fmtid="{D5CDD505-2E9C-101B-9397-08002B2CF9AE}" pid="22" name="Mendeley Recent Style Name 8_1">
    <vt:lpwstr>Journal of Mammalogy - Petra Villette</vt:lpwstr>
  </property>
  <property fmtid="{D5CDD505-2E9C-101B-9397-08002B2CF9AE}" pid="23" name="Mendeley Recent Style Id 9_1">
    <vt:lpwstr>http://csl.mendeley.com/styles/10885451/the-journal-of-clinical-investigation-2</vt:lpwstr>
  </property>
  <property fmtid="{D5CDD505-2E9C-101B-9397-08002B2CF9AE}" pid="24" name="Mendeley Recent Style Name 9_1">
    <vt:lpwstr>The Journal of Clinical Investigation - Petra Villette</vt:lpwstr>
  </property>
</Properties>
</file>