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CC1AD" w14:textId="3CFED7E5" w:rsidR="00552563" w:rsidRPr="00552563" w:rsidRDefault="00552563" w:rsidP="00C2306D">
      <w:pPr>
        <w:spacing w:line="240" w:lineRule="auto"/>
        <w:rPr>
          <w:rFonts w:cs="Arial"/>
          <w:szCs w:val="24"/>
        </w:rPr>
      </w:pPr>
      <w:r w:rsidRPr="00552563">
        <w:rPr>
          <w:rFonts w:cs="Arial"/>
          <w:szCs w:val="24"/>
        </w:rPr>
        <w:t>Epidemiology and Infection</w:t>
      </w:r>
    </w:p>
    <w:p w14:paraId="1FE5B5E2" w14:textId="77777777" w:rsidR="00552563" w:rsidRPr="00552563" w:rsidRDefault="00552563" w:rsidP="00C2306D">
      <w:pPr>
        <w:spacing w:line="240" w:lineRule="auto"/>
        <w:rPr>
          <w:rFonts w:cs="Arial"/>
          <w:b/>
          <w:szCs w:val="24"/>
        </w:rPr>
      </w:pPr>
      <w:r w:rsidRPr="00552563">
        <w:rPr>
          <w:rStyle w:val="Strong"/>
          <w:rFonts w:cs="Arial"/>
          <w:b w:val="0"/>
          <w:szCs w:val="24"/>
        </w:rPr>
        <w:t>Seasonality of urinary tract infections in the United Kingdom in different age groups: longitudinal analysis of The Health Improvement Network (THIN)</w:t>
      </w:r>
      <w:r w:rsidRPr="00552563">
        <w:rPr>
          <w:rFonts w:cs="Arial"/>
          <w:b/>
          <w:szCs w:val="24"/>
        </w:rPr>
        <w:t xml:space="preserve"> </w:t>
      </w:r>
    </w:p>
    <w:p w14:paraId="19E975E2" w14:textId="77777777" w:rsidR="00552563" w:rsidRPr="00552563" w:rsidRDefault="00552563" w:rsidP="00C2306D">
      <w:pPr>
        <w:autoSpaceDE w:val="0"/>
        <w:autoSpaceDN w:val="0"/>
        <w:adjustRightInd w:val="0"/>
        <w:spacing w:line="240" w:lineRule="auto"/>
        <w:jc w:val="left"/>
        <w:rPr>
          <w:rFonts w:cs="Arial"/>
          <w:iCs/>
          <w:szCs w:val="24"/>
          <w:vertAlign w:val="superscript"/>
          <w:lang w:val="en-US" w:eastAsia="zh-CN"/>
        </w:rPr>
      </w:pPr>
      <w:r w:rsidRPr="00552563">
        <w:rPr>
          <w:rFonts w:cs="Arial"/>
          <w:iCs/>
          <w:szCs w:val="24"/>
          <w:lang w:val="en-US" w:eastAsia="zh-CN"/>
        </w:rPr>
        <w:t>A. ROSELLO*</w:t>
      </w:r>
      <w:r w:rsidRPr="00552563">
        <w:rPr>
          <w:rFonts w:cs="Arial"/>
          <w:iCs/>
          <w:szCs w:val="24"/>
          <w:vertAlign w:val="superscript"/>
          <w:lang w:val="en-US" w:eastAsia="zh-CN"/>
        </w:rPr>
        <w:t>1,2</w:t>
      </w:r>
      <w:r w:rsidRPr="00552563">
        <w:rPr>
          <w:rFonts w:cs="Arial"/>
          <w:iCs/>
          <w:szCs w:val="24"/>
          <w:lang w:val="en-US" w:eastAsia="zh-CN"/>
        </w:rPr>
        <w:t>, K. B. POUWELS</w:t>
      </w:r>
      <w:r w:rsidRPr="00552563">
        <w:rPr>
          <w:rFonts w:cs="Arial"/>
          <w:iCs/>
          <w:szCs w:val="24"/>
          <w:vertAlign w:val="superscript"/>
          <w:lang w:val="en-US" w:eastAsia="zh-CN"/>
        </w:rPr>
        <w:t>1,3</w:t>
      </w:r>
      <w:r w:rsidRPr="00552563">
        <w:rPr>
          <w:rFonts w:cs="Arial"/>
          <w:iCs/>
          <w:szCs w:val="24"/>
          <w:lang w:val="en-US" w:eastAsia="zh-CN"/>
        </w:rPr>
        <w:t>, M. DOMENECH DE CELLÈS</w:t>
      </w:r>
      <w:r w:rsidRPr="00552563">
        <w:rPr>
          <w:rFonts w:cs="Arial"/>
          <w:iCs/>
          <w:szCs w:val="24"/>
          <w:vertAlign w:val="superscript"/>
          <w:lang w:val="en-US" w:eastAsia="zh-CN"/>
        </w:rPr>
        <w:t>4</w:t>
      </w:r>
      <w:r w:rsidRPr="00552563">
        <w:rPr>
          <w:rFonts w:cs="Arial"/>
          <w:iCs/>
          <w:szCs w:val="24"/>
          <w:lang w:val="en-US" w:eastAsia="zh-CN"/>
        </w:rPr>
        <w:t>, E. VAN KLEEF</w:t>
      </w:r>
      <w:r w:rsidRPr="00552563">
        <w:rPr>
          <w:rFonts w:cs="Arial"/>
          <w:iCs/>
          <w:szCs w:val="24"/>
          <w:vertAlign w:val="superscript"/>
          <w:lang w:val="en-US" w:eastAsia="zh-CN"/>
        </w:rPr>
        <w:t>5,6</w:t>
      </w:r>
      <w:r w:rsidRPr="00552563">
        <w:rPr>
          <w:rFonts w:cs="Arial"/>
          <w:iCs/>
          <w:szCs w:val="24"/>
          <w:lang w:val="en-US" w:eastAsia="zh-CN"/>
        </w:rPr>
        <w:t>, A. C. HAYWARD</w:t>
      </w:r>
      <w:r w:rsidRPr="00552563">
        <w:rPr>
          <w:rFonts w:cs="Arial"/>
          <w:iCs/>
          <w:szCs w:val="24"/>
          <w:vertAlign w:val="superscript"/>
          <w:lang w:val="en-US" w:eastAsia="zh-CN"/>
        </w:rPr>
        <w:t>2,7</w:t>
      </w:r>
      <w:r w:rsidRPr="00552563">
        <w:rPr>
          <w:rFonts w:cs="Arial"/>
          <w:iCs/>
          <w:szCs w:val="24"/>
          <w:lang w:val="en-US" w:eastAsia="zh-CN"/>
        </w:rPr>
        <w:t>, S. HOPKINS</w:t>
      </w:r>
      <w:r w:rsidRPr="00552563">
        <w:rPr>
          <w:rFonts w:cs="Arial"/>
          <w:iCs/>
          <w:szCs w:val="24"/>
          <w:vertAlign w:val="superscript"/>
          <w:lang w:val="en-US" w:eastAsia="zh-CN"/>
        </w:rPr>
        <w:t>8,9</w:t>
      </w:r>
      <w:r w:rsidRPr="00552563">
        <w:rPr>
          <w:rFonts w:cs="Arial"/>
          <w:iCs/>
          <w:szCs w:val="24"/>
          <w:lang w:val="en-US" w:eastAsia="zh-CN"/>
        </w:rPr>
        <w:t>, J. V. ROBOTHAM</w:t>
      </w:r>
      <w:r w:rsidRPr="00552563">
        <w:rPr>
          <w:rFonts w:cs="Arial"/>
          <w:iCs/>
          <w:szCs w:val="24"/>
          <w:vertAlign w:val="superscript"/>
          <w:lang w:val="en-US" w:eastAsia="zh-CN"/>
        </w:rPr>
        <w:t>1</w:t>
      </w:r>
      <w:r w:rsidRPr="00552563">
        <w:rPr>
          <w:rFonts w:cs="Arial"/>
          <w:iCs/>
          <w:szCs w:val="24"/>
          <w:lang w:val="en-US" w:eastAsia="zh-CN"/>
        </w:rPr>
        <w:t>, T. SMIESZEK</w:t>
      </w:r>
      <w:r w:rsidRPr="00552563">
        <w:rPr>
          <w:rFonts w:cs="Arial"/>
          <w:iCs/>
          <w:szCs w:val="24"/>
          <w:vertAlign w:val="superscript"/>
          <w:lang w:val="en-US" w:eastAsia="zh-CN"/>
        </w:rPr>
        <w:t>1,3</w:t>
      </w:r>
      <w:r w:rsidRPr="00552563">
        <w:rPr>
          <w:rFonts w:cs="Arial"/>
          <w:iCs/>
          <w:szCs w:val="24"/>
          <w:lang w:val="en-US" w:eastAsia="zh-CN"/>
        </w:rPr>
        <w:t>, L. OPATOWSKI</w:t>
      </w:r>
      <w:r w:rsidRPr="00552563">
        <w:rPr>
          <w:rFonts w:cs="Arial"/>
          <w:iCs/>
          <w:szCs w:val="24"/>
          <w:vertAlign w:val="superscript"/>
          <w:lang w:val="en-US" w:eastAsia="zh-CN"/>
        </w:rPr>
        <w:t>4</w:t>
      </w:r>
      <w:r w:rsidRPr="00552563">
        <w:rPr>
          <w:rFonts w:cs="Arial"/>
          <w:iCs/>
          <w:szCs w:val="24"/>
          <w:lang w:val="en-US" w:eastAsia="zh-CN"/>
        </w:rPr>
        <w:t xml:space="preserve"> and S. R. DEENY</w:t>
      </w:r>
      <w:r w:rsidRPr="00552563">
        <w:rPr>
          <w:rFonts w:cs="Arial"/>
          <w:iCs/>
          <w:szCs w:val="24"/>
          <w:vertAlign w:val="superscript"/>
          <w:lang w:val="en-US" w:eastAsia="zh-CN"/>
        </w:rPr>
        <w:t>10</w:t>
      </w:r>
      <w:r w:rsidRPr="00552563">
        <w:rPr>
          <w:rFonts w:cs="Arial"/>
          <w:iCs/>
          <w:szCs w:val="24"/>
          <w:lang w:val="en-US" w:eastAsia="zh-CN"/>
        </w:rPr>
        <w:t>.</w:t>
      </w:r>
    </w:p>
    <w:p w14:paraId="72F55E14" w14:textId="77777777" w:rsidR="00552563" w:rsidRDefault="00552563" w:rsidP="00B0224B">
      <w:pPr>
        <w:pStyle w:val="Heading1"/>
        <w:spacing w:line="480" w:lineRule="auto"/>
        <w:rPr>
          <w:rFonts w:ascii="Arial" w:hAnsi="Arial" w:cs="Arial"/>
          <w:color w:val="auto"/>
        </w:rPr>
      </w:pPr>
      <w:r>
        <w:rPr>
          <w:rFonts w:ascii="Arial" w:hAnsi="Arial" w:cs="Arial"/>
          <w:color w:val="auto"/>
        </w:rPr>
        <w:t>Supplementary material</w:t>
      </w:r>
    </w:p>
    <w:p w14:paraId="4EDC8BED" w14:textId="42871955" w:rsidR="008160DF" w:rsidRPr="0059677A" w:rsidRDefault="005A2424" w:rsidP="00B0224B">
      <w:pPr>
        <w:pStyle w:val="Heading1"/>
        <w:spacing w:line="480" w:lineRule="auto"/>
        <w:rPr>
          <w:rFonts w:ascii="Arial" w:hAnsi="Arial" w:cs="Arial"/>
          <w:color w:val="auto"/>
        </w:rPr>
      </w:pPr>
      <w:r w:rsidRPr="0059677A">
        <w:rPr>
          <w:rFonts w:ascii="Arial" w:hAnsi="Arial" w:cs="Arial"/>
          <w:color w:val="auto"/>
        </w:rPr>
        <w:t>Appendix</w:t>
      </w:r>
      <w:r w:rsidR="00D41A71" w:rsidRPr="0059677A">
        <w:rPr>
          <w:rFonts w:ascii="Arial" w:hAnsi="Arial" w:cs="Arial"/>
          <w:color w:val="auto"/>
        </w:rPr>
        <w:t xml:space="preserve"> 1</w:t>
      </w:r>
      <w:r w:rsidR="004B17DA" w:rsidRPr="0059677A">
        <w:rPr>
          <w:rFonts w:ascii="Arial" w:hAnsi="Arial" w:cs="Arial"/>
          <w:color w:val="auto"/>
        </w:rPr>
        <w:t>- Tables and Figures</w:t>
      </w:r>
    </w:p>
    <w:p w14:paraId="1B1238EC" w14:textId="2A88495B" w:rsidR="004B17DA" w:rsidRPr="0059677A" w:rsidRDefault="004B17DA" w:rsidP="004B17DA">
      <w:pPr>
        <w:pStyle w:val="Heading2"/>
        <w:rPr>
          <w:rFonts w:cs="Arial"/>
        </w:rPr>
      </w:pPr>
      <w:r w:rsidRPr="0059677A">
        <w:rPr>
          <w:rFonts w:cs="Arial"/>
        </w:rPr>
        <w:t>Tables</w:t>
      </w:r>
    </w:p>
    <w:p w14:paraId="7DF0D823" w14:textId="2890BA6A" w:rsidR="009606B3" w:rsidRPr="0059677A" w:rsidRDefault="009606B3" w:rsidP="00B0224B">
      <w:pPr>
        <w:pStyle w:val="Caption"/>
        <w:spacing w:line="480" w:lineRule="auto"/>
        <w:rPr>
          <w:rFonts w:cs="Arial"/>
          <w:color w:val="auto"/>
        </w:rPr>
      </w:pPr>
      <w:r w:rsidRPr="0059677A">
        <w:rPr>
          <w:rFonts w:cs="Arial"/>
          <w:color w:val="auto"/>
        </w:rPr>
        <w:t xml:space="preserve">Table </w:t>
      </w:r>
      <w:r w:rsidR="00552563">
        <w:rPr>
          <w:rFonts w:cs="Arial"/>
          <w:color w:val="auto"/>
        </w:rPr>
        <w:t>S1</w:t>
      </w:r>
      <w:r w:rsidRPr="0059677A">
        <w:rPr>
          <w:rFonts w:cs="Arial"/>
          <w:color w:val="auto"/>
        </w:rPr>
        <w:t>. Studies that analysed the seasonality of UTI</w:t>
      </w:r>
    </w:p>
    <w:tbl>
      <w:tblPr>
        <w:tblW w:w="9924" w:type="dxa"/>
        <w:tblInd w:w="-3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5"/>
        <w:gridCol w:w="588"/>
        <w:gridCol w:w="891"/>
        <w:gridCol w:w="1113"/>
        <w:gridCol w:w="1275"/>
        <w:gridCol w:w="851"/>
        <w:gridCol w:w="709"/>
        <w:gridCol w:w="2126"/>
        <w:gridCol w:w="1276"/>
      </w:tblGrid>
      <w:tr w:rsidR="002F7D3E" w:rsidRPr="0059677A" w14:paraId="0CBD10BD" w14:textId="77777777" w:rsidTr="002F7D3E">
        <w:trPr>
          <w:trHeight w:val="4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A0BD2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Author</w:t>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84BC77"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Year</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3EBF0C"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Country</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343AC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Community/ hospital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C0B133"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Organism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5ACC7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Sex</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63C4E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Age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84D41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Seasonality</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CA376C"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b/>
                <w:bCs/>
                <w:sz w:val="16"/>
                <w:szCs w:val="16"/>
              </w:rPr>
              <w:t>Methods</w:t>
            </w:r>
          </w:p>
        </w:tc>
      </w:tr>
      <w:tr w:rsidR="002F7D3E" w:rsidRPr="0059677A" w14:paraId="645DA8D6" w14:textId="77777777" w:rsidTr="002F7D3E">
        <w:trPr>
          <w:trHeight w:val="10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37E8B8" w14:textId="1C85E349" w:rsidR="009606B3" w:rsidRPr="0059677A" w:rsidRDefault="009606B3" w:rsidP="00BD0BBF">
            <w:pPr>
              <w:pStyle w:val="Body"/>
              <w:spacing w:after="0" w:line="480" w:lineRule="auto"/>
              <w:ind w:firstLine="0"/>
              <w:jc w:val="left"/>
              <w:rPr>
                <w:rFonts w:ascii="Arial" w:hAnsi="Arial" w:cs="Arial"/>
                <w:sz w:val="16"/>
                <w:szCs w:val="16"/>
              </w:rPr>
            </w:pPr>
            <w:proofErr w:type="spellStart"/>
            <w:r w:rsidRPr="0059677A">
              <w:rPr>
                <w:rFonts w:ascii="Arial" w:hAnsi="Arial" w:cs="Arial"/>
                <w:sz w:val="16"/>
                <w:szCs w:val="16"/>
              </w:rPr>
              <w:t>Stansfeld</w:t>
            </w:r>
            <w:proofErr w:type="spellEnd"/>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"ISSN" : "0007-1447", "PMID" : "5908707", "author" : [ { "dropping-particle" : "", "family" : "Stansfeld", "given" : "J M", "non-dropping-particle" : "", "parse-names" : false, "suffix" : "" } ], "container-title" : "British medical journal", "id" : "ITEM-1", "issue" : "5488", "issued" : { "date-parts" : [ [ "1966", "3" ] ] }, "page" : "631-5", "title" : "Clinical observations relating to incidence and aetiology of urinary-tract infections in children.", "type" : "article-journal", "volume" : "1" }, "uris" : [ "http://www.mendeley.com/documents/?uuid=0e5a942e-8a90-4b85-8868-6366ee98eceb" ] } ], "mendeley" : { "formattedCitation" : "[1]", "plainTextFormattedCitation" : "[1]", "previouslyFormattedCitation" : "[1]"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[1]</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E7AE5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1966</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171A3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England</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567492"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Hospital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C2D9C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29B83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8C87F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0-12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49103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In cases &gt;1 year age, 96 in winter and 58 in summer (significant at 1% level)</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FFA4AF"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Unknown</w:t>
            </w:r>
          </w:p>
        </w:tc>
      </w:tr>
      <w:tr w:rsidR="002F7D3E" w:rsidRPr="0059677A" w14:paraId="7DCAEEBB" w14:textId="77777777" w:rsidTr="002F7D3E">
        <w:trPr>
          <w:trHeight w:val="6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22FCB8" w14:textId="0F837C62" w:rsidR="009606B3" w:rsidRPr="0059677A" w:rsidRDefault="009606B3" w:rsidP="00BD0BBF">
            <w:pPr>
              <w:pStyle w:val="Body"/>
              <w:spacing w:after="0" w:line="480" w:lineRule="auto"/>
              <w:ind w:firstLine="0"/>
              <w:jc w:val="left"/>
              <w:rPr>
                <w:rFonts w:ascii="Arial" w:hAnsi="Arial" w:cs="Arial"/>
                <w:sz w:val="16"/>
                <w:szCs w:val="16"/>
              </w:rPr>
            </w:pPr>
            <w:r w:rsidRPr="0059677A">
              <w:rPr>
                <w:rFonts w:ascii="Arial" w:hAnsi="Arial" w:cs="Arial"/>
                <w:sz w:val="16"/>
                <w:szCs w:val="16"/>
              </w:rPr>
              <w:t>Anderson</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"abstract" : "SUMMARY Bacterial infections of the female urinary tract (UTI) are a frequent clinical problem. A chance observation, supported by a one year survey reported from another country, suggested that UTI presented to the general practitioner more frequently in the summer. A retrospective survey, covering three consecutive years, was carried out to test this observation. The records of all women reported as attending this practice with a UTI showed that 213 culture positive episodes occurred in the third calendar quarter of each year. Edward's test for cyclic variation showed a significant peaking in August. These results indicate a definite seasonal fluctuation in the frequency with which symptomatic UTIs present to general practitioners in this practice. The clinical and epidemiological significance of this phenomenon remains to be determined. Bacterial infections of the urinary tract (UTI) are a common problem in women. General practitioners have reported encounter rates of from eight to 17 per thousand registered patients.1\"3 Surveys for asymptomatic UTI have estimated prevalence rates of 5-10% in populations of sexually active women.4 Despite the common nature of the problem, there remain gaps in our knowledge about it. From the epidemiological standpoint, the abrupt rise in frequency during late adolesence and early adulthood has been ascribed to sexual activity.5 Both Asscher and Rocha have concluded that race has no significant effect on prevalence rates,6 7 although Bailey has noted a high rate in Maori women.4 Increasing age seems associated with increased risk, independent of sexual activity and parity.6 Kunin has stated that neither the use of oral contraceptives nor different modes of menstrual hygiene \"appear to affect the frequency of bacteriuria.\"8 A chance observation in the practice at the Hotel Dieu Family Medicine Centre of Queen's University raised the possibility of a seasonal fluctuation in the frequency of UTI, with a peaking in the summer. This possibility was strengthened by similar findings in a one year study in Denmark.9 In contrast, peak rates in children have been reported to occur in the winter in both England'\u00b0 and Finland.1\"", "author" : [ { "dropping-particle" : "", "family" : "Anderson", "given" : "John E", "non-dropping-particle" : "", "parse-names" : false, "suffix" : "" } ], "container-title" : "Journal of Epidemiology and Community Health", "id" : "ITEM-1", "issued" : { "date-parts" : [ [ "1983" ] ] }, "page" : "286-290", "title" : "Seasonality of symptomatic bacterial urinary infections in women", "type" : "article-journal", "volume" : "37" }, "uris" : [ "http://www.mendeley.com/documents/?uuid=4d1f429f-7022-4e7d-8191-344b63c481ce" ] } ], "mendeley" : { "formattedCitation" : "[2]", "plainTextFormattedCitation" : "[2]", "previouslyFormattedCitation" : "[2]"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[2]</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461D0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1983</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D4448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Canada</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559E52"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A7A13C"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E12E6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Females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BEC4D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15 or older</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92639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August peak</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04736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Edward's test for cyclic variation</w:t>
            </w:r>
          </w:p>
        </w:tc>
      </w:tr>
      <w:tr w:rsidR="002F7D3E" w:rsidRPr="0059677A" w14:paraId="5B832A81" w14:textId="77777777" w:rsidTr="002F7D3E">
        <w:trPr>
          <w:trHeight w:val="18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35795C" w14:textId="47CDF756" w:rsidR="009606B3" w:rsidRPr="0059677A" w:rsidRDefault="009606B3" w:rsidP="00BD0BBF">
            <w:pPr>
              <w:pStyle w:val="Body"/>
              <w:spacing w:after="0" w:line="480" w:lineRule="auto"/>
              <w:ind w:firstLine="0"/>
              <w:jc w:val="left"/>
              <w:rPr>
                <w:rFonts w:ascii="Arial" w:hAnsi="Arial" w:cs="Arial"/>
                <w:sz w:val="16"/>
                <w:szCs w:val="16"/>
              </w:rPr>
            </w:pPr>
            <w:proofErr w:type="spellStart"/>
            <w:r w:rsidRPr="0059677A">
              <w:rPr>
                <w:rFonts w:ascii="Arial" w:hAnsi="Arial" w:cs="Arial"/>
                <w:sz w:val="16"/>
                <w:szCs w:val="16"/>
              </w:rPr>
              <w:t>Pead</w:t>
            </w:r>
            <w:proofErr w:type="spellEnd"/>
            <w:r w:rsidRPr="0059677A">
              <w:rPr>
                <w:rFonts w:ascii="Arial" w:hAnsi="Arial" w:cs="Arial"/>
                <w:sz w:val="16"/>
                <w:szCs w:val="16"/>
              </w:rPr>
              <w:t xml:space="preserve">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"ISSN" : "0267-0623", "PMID" : "3931834", "abstract" : "Over six years (1978-83, inclusive) weekly laboratory records of organisms causing urinary tract infection in women aged 15-25 not attending hospital were kept prospectively and analysed. The incidence of infection with Staphylococcus saprophyticus defined by age and sex was confirmed. This organism caused an increasing proportion of infections in young women over the six years studied, and these infections showed noticeable seasonality. All but four isolates of S saprophyticus were sensitive to all the commonly used antimicrobial agents that were tested. This might be because the organism is not often present in the body as a commensal and therefore not subject to the selection pressures exerted by such agents. As infection with S saprophyticus has different clinical connotations from infection with other coagulase negative staphylococci it should be differentiated from them in routine laboratory practice.", "author" : [ { "dropping-particle" : "", "family" : "Pead", "given" : "L", "non-dropping-particle" : "", "parse-names" : false, "suffix" : "" }, { "dropping-particle" : "", "family" : "Maskell", "given" : "R", "non-dropping-particle" : "", "parse-names" : false, "suffix" : "" }, { "dropping-particle" : "", "family" : "Morris", "given" : "J", "non-dropping-particle" : "", "parse-names" : false, "suffix" : "" } ], "container-title" : "British medical journal (Clinical research ed.)", "id" : "ITEM-1", "issue" : "6503", "issued" : { "date-parts" : [ [ "1985", "10", "26" ] ] }, "page" : "1157-9", "title" : "Staphylococcus saprophyticus as a urinary pathogen: a six year prospective survey.", "type" : "article-journal", "volume" : "291" }, "uris" : [ "http://www.mendeley.com/documents/?uuid=871004a9-bed4-363a-b020-bff496384de9" ] } ], "mendeley" : { "formattedCitation" : "[3]", "plainTextFormattedCitation" : "[3]", "previouslyFormattedCitation" : "[3]"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[3]</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7DC153"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1985</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6E4D37"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England</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951C7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70A61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9FA88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Females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1202E9"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15-25</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068EB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i/>
                <w:iCs/>
                <w:sz w:val="16"/>
                <w:szCs w:val="16"/>
              </w:rPr>
              <w:t xml:space="preserve">S. </w:t>
            </w:r>
            <w:proofErr w:type="spellStart"/>
            <w:r w:rsidRPr="0059677A">
              <w:rPr>
                <w:rFonts w:ascii="Arial" w:hAnsi="Arial" w:cs="Arial"/>
                <w:i/>
                <w:iCs/>
                <w:sz w:val="16"/>
                <w:szCs w:val="16"/>
              </w:rPr>
              <w:t>saprophyticus</w:t>
            </w:r>
            <w:proofErr w:type="spellEnd"/>
            <w:r w:rsidRPr="0059677A">
              <w:rPr>
                <w:rFonts w:ascii="Arial" w:hAnsi="Arial" w:cs="Arial"/>
                <w:sz w:val="16"/>
                <w:szCs w:val="16"/>
              </w:rPr>
              <w:t xml:space="preserve"> UTI peak in mid-September. Coliform (all Gram-negative bacilli other than Proteus spp. and Pseudomonas spp.) UTI peak in mid-March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9EF0A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Chi-squared test</w:t>
            </w:r>
          </w:p>
        </w:tc>
      </w:tr>
      <w:tr w:rsidR="002F7D3E" w:rsidRPr="0059677A" w14:paraId="2BDA1B4A" w14:textId="77777777" w:rsidTr="002F7D3E">
        <w:trPr>
          <w:trHeight w:val="18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029006" w14:textId="7F1F0893" w:rsidR="009606B3" w:rsidRPr="0059677A" w:rsidRDefault="009606B3" w:rsidP="00BD0BBF">
            <w:pPr>
              <w:pStyle w:val="Body"/>
              <w:spacing w:after="0" w:line="480" w:lineRule="auto"/>
              <w:ind w:firstLine="0"/>
              <w:jc w:val="left"/>
              <w:rPr>
                <w:rFonts w:ascii="Arial" w:hAnsi="Arial" w:cs="Arial"/>
                <w:sz w:val="16"/>
                <w:szCs w:val="16"/>
              </w:rPr>
            </w:pPr>
            <w:proofErr w:type="spellStart"/>
            <w:r w:rsidRPr="0059677A">
              <w:rPr>
                <w:rFonts w:ascii="Arial" w:hAnsi="Arial" w:cs="Arial"/>
                <w:sz w:val="16"/>
                <w:szCs w:val="16"/>
              </w:rPr>
              <w:t>Vorland</w:t>
            </w:r>
            <w:proofErr w:type="spellEnd"/>
            <w:r w:rsidRPr="0059677A">
              <w:rPr>
                <w:rFonts w:ascii="Arial" w:hAnsi="Arial" w:cs="Arial"/>
                <w:sz w:val="16"/>
                <w:szCs w:val="16"/>
              </w:rPr>
              <w:t xml:space="preserve">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"ISSN" : "0066-4804", "PMID" : "3885842", "abstract" : "Escherichia coli strains from outpatient urinary tract infections in northern Norway over a period of 1 year were examined for resistance to nine commonly used antibiotics. Strains collected during 4.5 months were examined for R plasmid content by using conjugation and in vitro transformation. Of the E. coli strains, 42% were resistant to one or more antibiotics. Resistance was highest to sulfonamide (20.8% of all strains), nitrofurantoin (14.5%), and tetracycline (10.1%), whereas less than 6% of the strains were resistant to ampicillin, carbenicillin, cephalothin, nalidixic acid, or trimethoprim-sulfamethoxazole. No strain was resistant to gentamicin. Tetracycline resistance was more common in men than in women. Resistance to cephalothin, nalidixic acid, and sulfonamide was higher in strains from older people. Resistance to sulfonamide was more frequent in the urban community. These was no seasonal variation in antibiotic resistance, although the incidence of urinary tract infection varied with seasons. Plasmid-determined resistance to ampicillin, streptomycin, sulfonamide, and tetracycline was found. About 18% of the resistant strains from the urban municipality carried R plasmids, most of which were small plasmids mediating resistance to sulfonamide and streptomycin. The overall frequency of resistance in strains collected from rural areas was similar to the urban frequency, but in the rural strains, R plasmids were found in only 5% of the resistant strains.", "author" : [ { "dropping-particle" : "", "family" : "Vorland", "given" : "L H", "non-dropping-particle" : "", "parse-names" : false, "suffix" : "" }, { "dropping-particle" : "", "family" : "Carlson", "given" : "K", "non-dropping-particle" : "", "parse-names" : false, "suffix" : "" }, { "dropping-particle" : "", "family" : "Aalen", "given" : "O", "non-dropping-particle" : "", "parse-names" : false, "suffix" : "" } ], "container-title" : "Antimicrobial agents and chemotherapy", "id" : "ITEM-1", "issue" : "1", "issued" : { "date-parts" : [ [ "1985", "1" ] ] }, "page" : "107-13", "title" : "Antibiotic resistance and small R plasmids among Escherichia coli isolates from outpatient urinary tract infections in northern Norway.", "type" : "article-journal", "volume" : "27" }, "uris" : [ "http://www.mendeley.com/documents/?uuid=a7570211-4aba-30d6-b467-19a38f139814" ] } ], "mendeley" : { "formattedCitation" : "[4]", "plainTextFormattedCitation" : "[4]", "previouslyFormattedCitation" : "[4]"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[4]</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5C050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1985</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38D48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Norway</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3D03E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CA65E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i/>
                <w:iCs/>
                <w:sz w:val="16"/>
                <w:szCs w:val="16"/>
              </w:rPr>
              <w:t>E. coli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B3BA8A"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080A6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83520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 xml:space="preserve">Higher incidence from September to December (10.2 per 1,000 inhabitants) than from January to April (8.6 per 1000 inhabitants) or May to August (6.2 per </w:t>
            </w:r>
            <w:r w:rsidRPr="0059677A">
              <w:rPr>
                <w:rFonts w:ascii="Arial" w:hAnsi="Arial" w:cs="Arial"/>
                <w:sz w:val="16"/>
                <w:szCs w:val="16"/>
              </w:rPr>
              <w:lastRenderedPageBreak/>
              <w:t>1,000 inhabitants), but non-significant.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EEBD1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lastRenderedPageBreak/>
              <w:t>Chi-squared test</w:t>
            </w:r>
          </w:p>
        </w:tc>
      </w:tr>
      <w:tr w:rsidR="002F7D3E" w:rsidRPr="0059677A" w14:paraId="2351F774" w14:textId="77777777" w:rsidTr="002F7D3E">
        <w:trPr>
          <w:trHeight w:val="8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55B53B" w14:textId="56BD46A1" w:rsidR="009606B3" w:rsidRPr="0059677A" w:rsidRDefault="009606B3" w:rsidP="00BD0BBF">
            <w:pPr>
              <w:pStyle w:val="Body"/>
              <w:spacing w:after="0" w:line="480" w:lineRule="auto"/>
              <w:ind w:firstLine="0"/>
              <w:jc w:val="left"/>
              <w:rPr>
                <w:rFonts w:ascii="Arial" w:hAnsi="Arial" w:cs="Arial"/>
                <w:sz w:val="16"/>
                <w:szCs w:val="16"/>
              </w:rPr>
            </w:pPr>
            <w:r w:rsidRPr="0059677A">
              <w:rPr>
                <w:rFonts w:ascii="Arial" w:hAnsi="Arial" w:cs="Arial"/>
                <w:sz w:val="16"/>
                <w:szCs w:val="16"/>
              </w:rPr>
              <w:lastRenderedPageBreak/>
              <w:t>Ferry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"ISSN" : "0281-3432", "PMID" : "3616271", "abstract" : "During a 12-month study at the primary health care (PHC) centre in V\u00e4nn\u00e4s (population 8,000) 632 encounters by 265 individuals because of suspected urinary tract infection (UTI) or control after treatment resulted in 279 episodes of bacteriuria in 185 patients. Nine per cent of the episodes concerned patients with indwelling catheter or incontinence requiring other aids. Symptoms of lower and higher UTI were recorded in 56 and 12%, respectively, whereas one third of the episodes were associated with vague or no symptoms and discovered mainly at planned treatment controls. The annual incidence of bacteriuria recorded increased from 0.5% in the first decade of life to more than 10% in the age group 90-100 years. Male UTI comprised 13% of the episodes, increased after middle age and contributed 40% at greater than or equal to 80 years of age. The risk of recurrence (on average 50% during the year studied) was relatively independent of sex and age. No seasonal variation of UTI was observed except for a peak in late summer due to Staphylococcus saprophyticus confined to females aged 15-64 years and causing 28% of the episodes in August. Although UTI in PHC appears to be similar globally it represents a far more complex patient group than indicated by the UTI drug trials frequently published.", "author" : [ { "dropping-particle" : "", "family" : "Ferry", "given" : "S", "non-dropping-particle" : "", "parse-names" : false, "suffix" : "" }, { "dropping-particle" : "", "family" : "Burman", "given" : "L G", "non-dropping-particle" : "", "parse-names" : false, "suffix" : "" }, { "dropping-particle" : "", "family" : "Mattsson", "given" : "B", "non-dropping-particle" : "", "parse-names" : false, "suffix" : "" } ], "container-title" : "Scandinavian journal of primary health care", "id" : "ITEM-1", "issue" : "2", "issued" : { "date-parts" : [ [ "1987", "5" ] ] }, "page" : "123-8", "title" : "Urinary tract infection in primary health care in northern Sweden. I. Epidemiology.", "type" : "article-journal", "volume" : "5" }, "uris" : [ "http://www.mendeley.com/documents/?uuid=5c3fe350-4ac6-38e0-b2a9-214ee97a08a6" ] } ], "mendeley" : { "formattedCitation" : "[5]", "plainTextFormattedCitation" : "[5]", "previouslyFormattedCitation" : "[5]"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[5]</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167FF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1987</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38C17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Sweden</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61A5D3"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237C13"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5BB86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BCFBB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106D5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 xml:space="preserve">No seasonality in </w:t>
            </w:r>
            <w:r w:rsidRPr="0059677A">
              <w:rPr>
                <w:rFonts w:ascii="Arial" w:hAnsi="Arial" w:cs="Arial"/>
                <w:i/>
                <w:iCs/>
                <w:sz w:val="16"/>
                <w:szCs w:val="16"/>
              </w:rPr>
              <w:t>E. coli</w:t>
            </w:r>
            <w:r w:rsidRPr="0059677A">
              <w:rPr>
                <w:rFonts w:ascii="Arial" w:hAnsi="Arial" w:cs="Arial"/>
                <w:sz w:val="16"/>
                <w:szCs w:val="16"/>
              </w:rPr>
              <w:t xml:space="preserve"> UTI but August peak in </w:t>
            </w:r>
            <w:r w:rsidRPr="0059677A">
              <w:rPr>
                <w:rFonts w:ascii="Arial" w:hAnsi="Arial" w:cs="Arial"/>
                <w:i/>
                <w:iCs/>
                <w:sz w:val="16"/>
                <w:szCs w:val="16"/>
              </w:rPr>
              <w:t xml:space="preserve">S. </w:t>
            </w:r>
            <w:proofErr w:type="spellStart"/>
            <w:r w:rsidRPr="0059677A">
              <w:rPr>
                <w:rFonts w:ascii="Arial" w:hAnsi="Arial" w:cs="Arial"/>
                <w:i/>
                <w:iCs/>
                <w:sz w:val="16"/>
                <w:szCs w:val="16"/>
              </w:rPr>
              <w:t>saprophyticus</w:t>
            </w:r>
            <w:proofErr w:type="spellEnd"/>
            <w:r w:rsidRPr="0059677A">
              <w:rPr>
                <w:rFonts w:ascii="Arial" w:hAnsi="Arial" w:cs="Arial"/>
                <w:sz w:val="16"/>
                <w:szCs w:val="16"/>
              </w:rPr>
              <w:t xml:space="preserve"> UTIs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3FC413"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Comparing incidence</w:t>
            </w:r>
          </w:p>
        </w:tc>
      </w:tr>
      <w:tr w:rsidR="002F7D3E" w:rsidRPr="0059677A" w14:paraId="5346D432" w14:textId="77777777" w:rsidTr="002F7D3E">
        <w:trPr>
          <w:trHeight w:val="6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8EDBDC" w14:textId="062A8D7A" w:rsidR="009606B3" w:rsidRPr="0059677A" w:rsidRDefault="009606B3" w:rsidP="00BD0BBF">
            <w:pPr>
              <w:pStyle w:val="Body"/>
              <w:spacing w:after="0" w:line="480" w:lineRule="auto"/>
              <w:ind w:firstLine="0"/>
              <w:jc w:val="left"/>
              <w:rPr>
                <w:rFonts w:ascii="Arial" w:hAnsi="Arial" w:cs="Arial"/>
                <w:sz w:val="16"/>
                <w:szCs w:val="16"/>
              </w:rPr>
            </w:pPr>
            <w:proofErr w:type="spellStart"/>
            <w:r w:rsidRPr="0059677A">
              <w:rPr>
                <w:rFonts w:ascii="Arial" w:hAnsi="Arial" w:cs="Arial"/>
                <w:sz w:val="16"/>
                <w:szCs w:val="16"/>
              </w:rPr>
              <w:t>Stamm</w:t>
            </w:r>
            <w:proofErr w:type="spellEnd"/>
            <w:r w:rsidRPr="0059677A">
              <w:rPr>
                <w:rFonts w:ascii="Arial" w:hAnsi="Arial" w:cs="Arial"/>
                <w:sz w:val="16"/>
                <w:szCs w:val="16"/>
              </w:rPr>
              <w:t xml:space="preserve">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"ISSN" : "0162-0886", "PMID" : "2017637", "abstract" : "To evaluate the natural history of uncomplicated urinary tract infections in women, we observed 51 infection-prone women in a standardized fashion for a median of 9 years. During intervals when patients were not receiving antimicrobial prophylaxis, infections occurred at an average rate of 2.6 per patient-year, but the rate varied widely from patient to patient (range 0.3-7.6 episodes per year). Seventy-three percent of the observed episodes were symptomatic, with an 18:1 ratio of cystitis to pyelonephritis episodes. Infectious episodes were strikingly clustered, and rates of infection decreased in the winter months. Antimicrobial prophylaxis was highly effective in preventing acute cystitis, asymptomatic bacteriuria, and acute pyelonephritis, even when used for as long as 5 years. The proportions of infecting strains resistant in vitro to ampicillin (19%-32%) and nitrofurantoin (5%-18%) were unchanged over the 15-year observation period, while resistance to trimethoprim-sulfamethoxazole increased in the last 5 years of the study.", "author" : [ { "dropping-particle" : "", "family" : "Stamm", "given" : "W E", "non-dropping-particle" : "", "parse-names" : false, "suffix" : "" }, { "dropping-particle" : "", "family" : "McKevitt", "given" : "M", "non-dropping-particle" : "", "parse-names" : false, "suffix" : "" }, { "dropping-particle" : "", "family" : "Roberts", "given" : "P L", "non-dropping-particle" : "", "parse-names" : false, "suffix" : "" }, { "dropping-particle" : "", "family" : "White", "given" : "N J", "non-dropping-particle" : "", "parse-names" : false, "suffix" : "" } ], "container-title" : "Reviews of infectious diseases", "id" : "ITEM-1", "issue" : "1", "issued" : { "date-parts" : [ [ "1991" ] ] }, "page" : "77-84", "title" : "Natural history of recurrent urinary tract infections in women.", "type" : "article-journal", "volume" : "13" }, "uris" : [ "http://www.mendeley.com/documents/?uuid=14ae2fac-95f4-32ad-9779-539438913a5c" ] } ], "mendeley" : { "formattedCitation" : "[6]", "plainTextFormattedCitation" : "[6]", "previouslyFormattedCitation" : "[6]"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[6]</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953BAB"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1991</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1F0A8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USA</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E3BD2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Outpatient recurrence clinic</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DD42FC"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5F9D02"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Females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1718F0"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24866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Decrease in incidence November to February</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04507B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Wilcoxon's signed-rank test</w:t>
            </w:r>
          </w:p>
        </w:tc>
      </w:tr>
      <w:tr w:rsidR="002F7D3E" w:rsidRPr="0059677A" w14:paraId="3EA537B0" w14:textId="77777777" w:rsidTr="002F7D3E">
        <w:trPr>
          <w:trHeight w:val="8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4769A3" w14:textId="01A67981" w:rsidR="009606B3" w:rsidRPr="0059677A" w:rsidRDefault="009606B3" w:rsidP="00BD0BBF">
            <w:pPr>
              <w:pStyle w:val="Body"/>
              <w:spacing w:after="0" w:line="480" w:lineRule="auto"/>
              <w:ind w:firstLine="0"/>
              <w:jc w:val="left"/>
              <w:rPr>
                <w:rFonts w:ascii="Arial" w:hAnsi="Arial" w:cs="Arial"/>
                <w:sz w:val="16"/>
                <w:szCs w:val="16"/>
              </w:rPr>
            </w:pPr>
            <w:r w:rsidRPr="0059677A">
              <w:rPr>
                <w:rFonts w:ascii="Arial" w:hAnsi="Arial" w:cs="Arial"/>
                <w:sz w:val="16"/>
                <w:szCs w:val="16"/>
              </w:rPr>
              <w:t>Kwok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"DOI" : "10.1186/1471-2431-6-10", "ISSN" : "1471-2431", "PMID" : "16584577", "abstract" : "BACKGROUND We aimed to investigate incidence rates of urinary tract infections in Dutch general practice and their association with gender, season and urbanisation level, and to analyse prescription and referral in case of urinary tract infections. METHOD During one calendar year, 195 general practitioners in 104 practices in the Netherlands registered all their patient contacts. This study was performed by the Netherlands Institute for Health Services Research (NIVEL) in 2001. Of 82,053 children aged 0 to 18 years, the following variables were collected: number of episodes per patient, number of contacts per episode, month of the year in which the diagnosis of urinary tract infection was made, age, gender, urbanisation level, drug prescription and referral. RESULTS The overall incidence rate was 19 episodes per 1000 person years. The incidence rate in girls was 8 times as high as in boys. The incidence rate in smaller cities and rural areas was 2 times as high as in the three largest cities. Throughout the year, incidence rates varied with a decrease in summertime for children at the age of 0 to 12 years. Of the prescriptions, 66% were in accordance with current guidelines, but only 18% of the children who had an indication were actually referred. CONCLUSION This study shows that incidence rates of urinary tract infections are not only related to gender and season, but also to urbanisation. General practitioners in the Netherlands frequently do not follow the clinical guidelines for urinary tract infections, especially with respect to referral.", "author" : [ { "dropping-particle" : "", "family" : "Kwok", "given" : "Wing-Yee", "non-dropping-particle" : "", "parse-names" : false, "suffix" : "" }, { "dropping-particle" : "", "family" : "Kwaadsteniet", "given" : "Marjolein C E", "non-dropping-particle" : "de", "parse-names" : false, "suffix" : "" }, { "dropping-particle" : "", "family" : "Harmsen", "given" : "Mirjam", "non-dropping-particle" : "", "parse-names" : false, "suffix" : "" }, { "dropping-particle" : "", "family" : "Suijlekom-Smit", "given" : "Lisette W A", "non-dropping-particle" : "van", "parse-names" : false, "suffix" : "" }, { "dropping-particle" : "", "family" : "Schellevis", "given" : "Fran\u00e7ois G", "non-dropping-particle" : "", "parse-names" : false, "suffix" : "" }, { "dropping-particle" : "", "family" : "Wouden", "given" : "Johannes C", "non-dropping-particle" : "van der", "parse-names" : false, "suffix" : "" } ], "container-title" : "BMC pediatrics", "id" : "ITEM-1", "issued" : { "date-parts" : [ [ "2006" ] ] }, "page" : "10", "title" : "Incidence rates and management of urinary tract infections among children in Dutch general practice: results from a nation-wide registration study.", "type" : "article-journal", "volume" : "6" }, "uris" : [ "http://www.mendeley.com/documents/?uuid=83c4dc16-2c0a-4a3a-bf83-97609ea27c47" ] } ], "mendeley" : { "formattedCitation" : "[7]", "plainTextFormattedCitation" : "[7]", "previouslyFormattedCitation" : "[7]"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[7]</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AC8C7F"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2006</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96CEC2"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Netherlands</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B86D48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93EFAB"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5E6EE7"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D1707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0-18</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D3F87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Decrease in the summer months mainly in children 0-12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CF0D84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Comparing incidence rates</w:t>
            </w:r>
          </w:p>
        </w:tc>
      </w:tr>
      <w:tr w:rsidR="002F7D3E" w:rsidRPr="0059677A" w14:paraId="673905A5" w14:textId="77777777" w:rsidTr="002F7D3E">
        <w:trPr>
          <w:trHeight w:val="8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56415D" w14:textId="2F44B7CF" w:rsidR="009606B3" w:rsidRPr="0059677A" w:rsidRDefault="009606B3" w:rsidP="00BD0BBF">
            <w:pPr>
              <w:pStyle w:val="Body"/>
              <w:spacing w:after="0" w:line="480" w:lineRule="auto"/>
              <w:ind w:firstLine="0"/>
              <w:jc w:val="left"/>
              <w:rPr>
                <w:rFonts w:ascii="Arial" w:hAnsi="Arial" w:cs="Arial"/>
                <w:sz w:val="16"/>
                <w:szCs w:val="16"/>
              </w:rPr>
            </w:pPr>
            <w:proofErr w:type="spellStart"/>
            <w:r w:rsidRPr="0059677A">
              <w:rPr>
                <w:rFonts w:ascii="Arial" w:hAnsi="Arial" w:cs="Arial"/>
                <w:sz w:val="16"/>
                <w:szCs w:val="16"/>
              </w:rPr>
              <w:t>Falagas</w:t>
            </w:r>
            <w:proofErr w:type="spellEnd"/>
            <w:r w:rsidRPr="0059677A">
              <w:rPr>
                <w:rFonts w:ascii="Arial" w:hAnsi="Arial" w:cs="Arial"/>
                <w:sz w:val="16"/>
                <w:szCs w:val="16"/>
              </w:rPr>
              <w:t xml:space="preserve">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"DOI" : "10.1007/s10096-008-0679-z", "ISSN" : "1435-4373", "PMID" : "19104854", "abstract" : "Several types of infections involving the respiratory tract have a seasonal variation. We further examined whether lower urinary tract infections (UTIs) are associated with meteorological parameters. We retrospectively evaluated the correlation of the weekly percentage of house call visits for lower UTIs (relatively to all house call visits, excluding those for respiratory tract infections), performed by \"SOS Doctors\" specialized physicians in Attica, Greece (1/11/2000-18/1/2005), with the average weekly temperature and humidity, recorded at the same area, 3 days earlier. Three thousand two hundred and twenty-one visits for lower UTIs were recorded in patients of 62.9 +/- 21.0 years of age. House call visits for lower UTIs, as defined above, correlated with the average weekly temperature (Spearman's rho+0.468) and humidity (Spearman's rho -0.394); similarly, if respiratory tract infections were not excluded from the calculations (Spearman's rho +0.491 and -0.406, respectively); or if a 2-day lag between measurements was used (Spearman's rho +0.468 and -0.386, respectively). All the above findings were significant (p&lt;0.001). In conclusion, in a population that consisted mainly of patients of advanced age, higher temperature and decreased humidity are associated with an increase in house call visits for lower UTIs. The awareness of this association may facilitate preventive public health strategies. [corrected]", "author" : [ { "dropping-particle" : "", "family" : "Falagas", "given" : "M E", "non-dropping-particle" : "", "parse-names" : false, "suffix" : "" }, { "dropping-particle" : "", "family" : "Peppas", "given" : "G", "non-dropping-particle" : "", "parse-names" : false, "suffix" : "" }, { "dropping-particle" : "", "family" : "Matthaiou", "given" : "D K", "non-dropping-particle" : "", "parse-names" : false, "suffix" : "" }, { "dropping-particle" : "", "family" : "Karageorgopoulos", "given" : "D E", "non-dropping-particle" : "", "parse-names" : false, "suffix" : "" }, { "dropping-particle" : "", "family" : "Karalis", "given" : "N", "non-dropping-particle" : "", "parse-names" : false, "suffix" : "" }, { "dropping-particle" : "", "family" : "Theocharis", "given" : "G", "non-dropping-particle" : "", "parse-names" : false, "suffix" : "" } ], "container-title" : "European journal of clinical microbiology &amp; infectious diseases : official publication of the European Society of Clinical Microbiology", "id" : "ITEM-1", "issue" : "6", "issued" : { "date-parts" : [ [ "2009", "6" ] ] }, "page" : "709-12", "title" : "Effect of meteorological variables on the incidence of lower urinary tract infections.", "type" : "article-journal", "volume" : "28" }, "uris" : [ "http://www.mendeley.com/documents/?uuid=1b84c594-2b8f-4411-aabe-0445062d8011" ] } ], "mendeley" : { "formattedCitation" : "[8]", "plainTextFormattedCitation" : "[8]", "previouslyFormattedCitation" : "[8]"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[8]</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F16723C"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2009</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2965C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Greece</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315DA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 (house call visits)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E1AC0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91476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6D49D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B63D5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UTIs correlate with higher temperatures and decreased relative humidity</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5BAE42"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Spearman's rank correlation</w:t>
            </w:r>
          </w:p>
        </w:tc>
      </w:tr>
      <w:tr w:rsidR="002F7D3E" w:rsidRPr="0059677A" w14:paraId="62AE9D11" w14:textId="77777777" w:rsidTr="002F7D3E">
        <w:trPr>
          <w:trHeight w:val="16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9A8BD2" w14:textId="5B52A3E5" w:rsidR="009606B3" w:rsidRPr="0059677A" w:rsidRDefault="009606B3" w:rsidP="00BD0BBF">
            <w:pPr>
              <w:pStyle w:val="Body"/>
              <w:spacing w:after="0" w:line="480" w:lineRule="auto"/>
              <w:ind w:firstLine="0"/>
              <w:jc w:val="left"/>
              <w:rPr>
                <w:rFonts w:ascii="Arial" w:hAnsi="Arial" w:cs="Arial"/>
                <w:sz w:val="16"/>
                <w:szCs w:val="16"/>
              </w:rPr>
            </w:pPr>
            <w:r w:rsidRPr="0059677A">
              <w:rPr>
                <w:rFonts w:ascii="Arial" w:hAnsi="Arial" w:cs="Arial"/>
                <w:sz w:val="16"/>
                <w:szCs w:val="16"/>
              </w:rPr>
              <w:t>Eriksson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"DOI" : "10.1111/j.1600-0463.2012.02937.x", "ISSN" : "09034641", "author" : [ { "dropping-particle" : "", "family" : "Eriksson", "given" : "Andreas", "non-dropping-particle" : "", "parse-names" : false, "suffix" : "" }, { "dropping-particle" : "", "family" : "Giske", "given" : "Christian G.", "non-dropping-particle" : "", "parse-names" : false, "suffix" : "" }, { "dropping-particle" : "", "family" : "Ternhag", "given" : "Anders", "non-dropping-particle" : "", "parse-names" : false, "suffix" : "" } ], "container-title" : "APMIS", "id" : "ITEM-1", "issue" : "1", "issued" : { "date-parts" : [ [ "2013", "1" ] ] }, "page" : "72-78", "title" : "The relative importance of &lt;i&gt;Staphylococcus saprophyticus&lt;/i&gt; as a urinary tract pathogen: distribution of bacteria among urinary samples analysed during 1\u00a0year at a major Swedish laboratory", "type" : "article-journal", "volume" : "121" }, "uris" : [ "http://www.mendeley.com/documents/?uuid=9b7be258-39e3-399c-8fb2-5a0655eb6afd" ] } ], "mendeley" : { "formattedCitation" : "[9]", "plainTextFormattedCitation" : "[9]", "previouslyFormattedCitation" : "[9]"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[9]</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F2BAF2"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2013</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FAD6F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Sweden</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14AD4B"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 and hospital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8491CF7"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i/>
                <w:iCs/>
                <w:sz w:val="16"/>
                <w:szCs w:val="16"/>
              </w:rPr>
              <w:t>E. coli</w:t>
            </w:r>
            <w:r w:rsidRPr="0059677A">
              <w:rPr>
                <w:rFonts w:ascii="Arial" w:hAnsi="Arial" w:cs="Arial"/>
                <w:sz w:val="16"/>
                <w:szCs w:val="16"/>
              </w:rPr>
              <w:t xml:space="preserve">, </w:t>
            </w:r>
            <w:r w:rsidRPr="0059677A">
              <w:rPr>
                <w:rFonts w:ascii="Arial" w:hAnsi="Arial" w:cs="Arial"/>
                <w:i/>
                <w:iCs/>
                <w:sz w:val="16"/>
                <w:szCs w:val="16"/>
              </w:rPr>
              <w:t>K. pneumoniae</w:t>
            </w:r>
            <w:r w:rsidRPr="0059677A">
              <w:rPr>
                <w:rFonts w:ascii="Arial" w:hAnsi="Arial" w:cs="Arial"/>
                <w:sz w:val="16"/>
                <w:szCs w:val="16"/>
              </w:rPr>
              <w:t xml:space="preserve"> and </w:t>
            </w:r>
            <w:r w:rsidRPr="0059677A">
              <w:rPr>
                <w:rFonts w:ascii="Arial" w:hAnsi="Arial" w:cs="Arial"/>
                <w:i/>
                <w:iCs/>
                <w:sz w:val="16"/>
                <w:szCs w:val="16"/>
              </w:rPr>
              <w:t>P. mirabilis</w:t>
            </w:r>
            <w:r w:rsidRPr="0059677A">
              <w:rPr>
                <w:rFonts w:ascii="Arial" w:hAnsi="Arial" w:cs="Arial"/>
                <w:sz w:val="16"/>
                <w:szCs w:val="16"/>
              </w:rPr>
              <w:t xml:space="preserve"> aggregated and </w:t>
            </w:r>
            <w:r w:rsidRPr="0059677A">
              <w:rPr>
                <w:rFonts w:ascii="Arial" w:hAnsi="Arial" w:cs="Arial"/>
                <w:i/>
                <w:iCs/>
                <w:sz w:val="16"/>
                <w:szCs w:val="16"/>
              </w:rPr>
              <w:t xml:space="preserve">S. </w:t>
            </w:r>
            <w:proofErr w:type="spellStart"/>
            <w:r w:rsidRPr="0059677A">
              <w:rPr>
                <w:rFonts w:ascii="Arial" w:hAnsi="Arial" w:cs="Arial"/>
                <w:i/>
                <w:iCs/>
                <w:sz w:val="16"/>
                <w:szCs w:val="16"/>
              </w:rPr>
              <w:t>saprophyticus</w:t>
            </w:r>
            <w:proofErr w:type="spellEnd"/>
            <w:r w:rsidRPr="0059677A">
              <w:rPr>
                <w:rFonts w:ascii="Arial" w:hAnsi="Arial" w:cs="Arial"/>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E9205A"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Females</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8AD06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15-29</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69994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 xml:space="preserve">In GP samples, both </w:t>
            </w:r>
            <w:proofErr w:type="gramStart"/>
            <w:r w:rsidRPr="0059677A">
              <w:rPr>
                <w:rFonts w:ascii="Arial" w:hAnsi="Arial" w:cs="Arial"/>
                <w:sz w:val="16"/>
                <w:szCs w:val="16"/>
              </w:rPr>
              <w:t>peak</w:t>
            </w:r>
            <w:proofErr w:type="gramEnd"/>
            <w:r w:rsidRPr="0059677A">
              <w:rPr>
                <w:rFonts w:ascii="Arial" w:hAnsi="Arial" w:cs="Arial"/>
                <w:sz w:val="16"/>
                <w:szCs w:val="16"/>
              </w:rPr>
              <w:t xml:space="preserve"> in September, in hospital samples, both peak in August. Stronger seasonality in </w:t>
            </w:r>
            <w:r w:rsidRPr="0059677A">
              <w:rPr>
                <w:rFonts w:ascii="Arial" w:hAnsi="Arial" w:cs="Arial"/>
                <w:i/>
                <w:iCs/>
                <w:sz w:val="16"/>
                <w:szCs w:val="16"/>
              </w:rPr>
              <w:t xml:space="preserve">S. </w:t>
            </w:r>
            <w:proofErr w:type="spellStart"/>
            <w:r w:rsidRPr="0059677A">
              <w:rPr>
                <w:rFonts w:ascii="Arial" w:hAnsi="Arial" w:cs="Arial"/>
                <w:i/>
                <w:iCs/>
                <w:sz w:val="16"/>
                <w:szCs w:val="16"/>
              </w:rPr>
              <w:t>saprophyticus</w:t>
            </w:r>
            <w:proofErr w:type="spellEnd"/>
            <w:r w:rsidRPr="0059677A">
              <w:rPr>
                <w:rFonts w:ascii="Arial" w:hAnsi="Arial" w:cs="Arial"/>
                <w:sz w:val="16"/>
                <w:szCs w:val="16"/>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29B918"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Chi-squared test</w:t>
            </w:r>
          </w:p>
        </w:tc>
      </w:tr>
      <w:tr w:rsidR="002F7D3E" w:rsidRPr="0059677A" w14:paraId="726AA34F" w14:textId="77777777" w:rsidTr="002F7D3E">
        <w:trPr>
          <w:trHeight w:val="20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CC7CBA" w14:textId="4F21DAB3" w:rsidR="009606B3" w:rsidRPr="0059677A" w:rsidRDefault="009606B3" w:rsidP="00BD0BBF">
            <w:pPr>
              <w:pStyle w:val="Body"/>
              <w:spacing w:after="0" w:line="480" w:lineRule="auto"/>
              <w:ind w:firstLine="0"/>
              <w:jc w:val="left"/>
              <w:rPr>
                <w:rFonts w:ascii="Arial" w:hAnsi="Arial" w:cs="Arial"/>
                <w:sz w:val="16"/>
                <w:szCs w:val="16"/>
              </w:rPr>
            </w:pPr>
            <w:r w:rsidRPr="0059677A">
              <w:rPr>
                <w:rFonts w:ascii="Arial" w:hAnsi="Arial" w:cs="Arial"/>
                <w:sz w:val="16"/>
                <w:szCs w:val="16"/>
              </w:rPr>
              <w:t>Rossignol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"DOI" : "10.1371/journal.pone.0076020", "ISSN" : "1932-6203", "PMID" : "24204587", "abstract" : "BACKGROUND: Despite the fact that urinary tract infection (UTI) is a very frequent disease, little is known about its seasonality in the community.\n\nMETHODS AND FINDINGS: To estimate seasonality of UTI using multiple time series constructed with available proxies of UTI. Eight time series based on two databases were used: sales of urinary antibacterial medications reported by a panel of pharmacy stores in France between 2000 and 2012, and search trends on the Google search engine for UTI-related terms between 2004 and 2012 in France, Germany, Italy, the USA, China, Australia and Brazil. Differences between summers and winters were statistically assessed with the Mann-Whitney test. We evaluated seasonality by applying the Harmonics Product Spectrum on Fast Fourier Transform. Seven time series out of eight displayed a significant increase in medication sales or web searches in the summer compared to the winter, ranging from 8% to 20%. The eight time series displayed a periodicity of one year. Annual increases were seen in the summer for UTI drug sales in France and Google searches in France, the USA, Germany, Italy, and China. Increases occurred in the austral summer for Google searches in Brazil and Australia.\n\nCONCLUSIONS: An annual seasonality of UTIs was evidenced in seven different countries, with peaks during the summer.", "author" : [ { "dropping-particle" : "", "family" : "Rossignol", "given" : "Louise", "non-dropping-particle" : "", "parse-names" : false, "suffix" : "" }, { "dropping-particle" : "", "family" : "Pelat", "given" : "Camille", "non-dropping-particle" : "", "parse-names" : false, "suffix" : "" }, { "dropping-particle" : "", "family" : "Lambert", "given" : "Bruno", "non-dropping-particle" : "", "parse-names" : false, "suffix" : "" }, { "dropping-particle" : "", "family" : "Flahault", "given" : "Antoine", "non-dropping-particle" : "", "parse-names" : false, "suffix" : "" }, { "dropping-particle" : "", "family" : "Chartier-Kastler", "given" : "Emmanuel", "non-dropping-particle" : "", "parse-names" : false, "suffix" : "" }, { "dropping-particle" : "", "family" : "Hanslik", "given" : "Thomas", "non-dropping-particle" : "", "parse-names" : false, "suffix" : "" } ], "container-title" : "PloS one", "id" : "ITEM-1", "issue" : "10", "issued" : { "date-parts" : [ [ "2013", "1", "25" ] ] }, "page" : "e76020", "publisher" : "Public Library of Science", "title" : "A method to assess seasonality of urinary tract infections based on medication sales and google trends.", "type" : "article-journal", "volume" : "8" }, "uris" : [ "http://www.mendeley.com/documents/?uuid=cf38a046-ce64-4c41-9ac3-1242884d8be9" ] } ], "mendeley" : { "formattedCitation" : "[10]", "plainTextFormattedCitation" : "[10]", "previouslyFormattedCitation" : "[10]"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[10]</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D9C67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2013</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9F5D02"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France, Germany, USA, China Italy, Brazil and Australia</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BFDBC8" w14:textId="77777777" w:rsidR="009606B3" w:rsidRPr="0059677A" w:rsidRDefault="007110D5"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 (online)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5F817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F77FBC"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EC3BA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B8F57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Increases of 8-19% in search trends for UTI-related terms in summer in France, Germany, USA, China and Italy, and peaks in the southern hemisphere austral summer in Brazil and Australia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ACDB6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Google trends analysis, Mann-Whitney test</w:t>
            </w:r>
          </w:p>
        </w:tc>
      </w:tr>
      <w:tr w:rsidR="002F7D3E" w:rsidRPr="0059677A" w14:paraId="51D476D0" w14:textId="77777777" w:rsidTr="002F7D3E">
        <w:trPr>
          <w:trHeight w:val="751"/>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080F2E" w14:textId="204CCBD7" w:rsidR="009606B3" w:rsidRPr="0059677A" w:rsidRDefault="009606B3" w:rsidP="00BD0BBF">
            <w:pPr>
              <w:pStyle w:val="Body"/>
              <w:spacing w:after="0" w:line="480" w:lineRule="auto"/>
              <w:ind w:firstLine="0"/>
              <w:jc w:val="left"/>
              <w:rPr>
                <w:rFonts w:ascii="Arial" w:hAnsi="Arial" w:cs="Arial"/>
                <w:sz w:val="16"/>
                <w:szCs w:val="16"/>
              </w:rPr>
            </w:pPr>
            <w:proofErr w:type="spellStart"/>
            <w:r w:rsidRPr="0059677A">
              <w:rPr>
                <w:rFonts w:ascii="Arial" w:hAnsi="Arial" w:cs="Arial"/>
                <w:sz w:val="16"/>
                <w:szCs w:val="16"/>
              </w:rPr>
              <w:t>Yolbas</w:t>
            </w:r>
            <w:proofErr w:type="spellEnd"/>
            <w:r w:rsidRPr="0059677A">
              <w:rPr>
                <w:rFonts w:ascii="Arial" w:hAnsi="Arial" w:cs="Arial"/>
                <w:sz w:val="16"/>
                <w:szCs w:val="16"/>
              </w:rPr>
              <w:t xml:space="preserve">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"ISSN" : "1128-3602", "PMID" : "23640446", "abstract" : "AIM Urinary tract infections (UTIs) are common infections affecting children. The aim of our study is to determine microorganisms that cause community-acquired urinary tract infections and their antibiotic susceptibility in children. MATERIALS AND METHODS Our investigation includes 150 cases which has positive urine culture. The cases are detected at Pediatric Polyclinics of Dicle University between June 2010 and June 2011. RESULTS The study included 118 (78.7%) female and 32 (21.3%) male children. Urinary tract infections were seen in autumn 10.7% (n = 16), summer 35.3% (n = 53), winter 30.7% (n = 46) and spring 23.3% (n = 35). The culture results indicated 75.3% (n = 113) Escherichia coli; 20.7% (n = 31) Klebsiella; 2.7% (n = 4) Proteus and % 1.3 (n = 2) Pseudomonas. The antibiotic resistance against Escherichia coli was found out is amikacin (3%), ertapenem (7%), imipenem (0%), meropenem (0%), nitrofurantoin (9%), trimethoprim/sulfamethoxazole (58%), piperacillin (83%), amoxicillin/clavulanate (50%), ampicillin/sulbactam (65%), cefazolin (54%), cefotaxime (51%), cefuroxime sodium (51% ) and tetracycline (68%). The resistance ratios of Klebsiella are amikacin (0%), imipenem (0%), levofloxacin (0%), meropenem (0%), amoxicillin/clavulanate (57%), ampicillin/sulbactam (79%), ceftriaxone (68%), cefuroxime sodium (74%) and trimethoprim/sulfamethoxazole (61%). CONCLUSIONS The results represent the increasing antibiotic resistance against microorganisms among the community-acquired UTI patients in a developing country such as Turkey. So, the physicians should consider resistance status of the infectious agent and choose effective antibiotics which are nitrofurantoin and cefoxitin for their empirical antibiotic treatment. Furthermore, they should be trained about selection of more effective antibiotics and check the regional studies regularly.", "author" : [ { "dropping-particle" : "", "family" : "Yolba\u015f", "given" : "I", "non-dropping-particle" : "", "parse-names" : false, "suffix" : "" }, { "dropping-particle" : "", "family" : "Tekin", "given" : "R", "non-dropping-particle" : "", "parse-names" : false, "suffix" : "" }, { "dropping-particle" : "", "family" : "Kelekci", "given" : "S", "non-dropping-particle" : "", "parse-names" : false, "suffix" : "" }, { "dropping-particle" : "", "family" : "Tekin", "given" : "A", "non-dropping-particle" : "", "parse-names" : false, "suffix" : "" }, { "dropping-particle" : "", "family" : "Okur", "given" : "M H", "non-dropping-particle" : "", "parse-names" : false, "suffix" : "" }, { "dropping-particle" : "", "family" : "Ece", "given" : "A", "non-dropping-particle" : "", "parse-names" : false, "suffix" : "" }, { "dropping-particle" : "", "family" : "Gunes", "given" : "A", "non-dropping-particle" : "", "parse-names" : false, "suffix" : "" }, { "dropping-particle" : "", "family" : "Sen", "given" : "V", "non-dropping-particle" : "", "parse-names" : false, "suffix" : "" } ], "container-title" : "European review for medical and pharmacological sciences", "id" : "ITEM-1", "issue" : "7", "issued" : { "date-parts" : [ [ "2013", "4" ] ] }, "page" : "971-6", "title" : "Community-acquired urinary tract infections in children: pathogens, antibiotic susceptibility and seasonal changes.", "type" : "article-journal", "volume" : "17" }, "uris" : [ "http://www.mendeley.com/documents/?uuid=a16da3a7-5e5b-332e-9853-47d1c3fe28ee" ] } ], "mendeley" : { "formattedCitation" : "[11]", "plainTextFormattedCitation" : "[11]", "previouslyFormattedCitation" : "[11]"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[11]</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3B066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2013</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710A6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Turkey</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A85A33"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Community</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990F0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E2315F"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8CDB56"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 xml:space="preserve">1 month- 15 </w:t>
            </w:r>
            <w:r w:rsidRPr="0059677A">
              <w:rPr>
                <w:rFonts w:ascii="Arial" w:hAnsi="Arial" w:cs="Arial"/>
                <w:sz w:val="16"/>
                <w:szCs w:val="16"/>
              </w:rPr>
              <w:lastRenderedPageBreak/>
              <w:t>years</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C7333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lastRenderedPageBreak/>
              <w:t xml:space="preserve">More UTIs in summer (53/150) than overall in winter (46/150), spring </w:t>
            </w:r>
            <w:r w:rsidRPr="0059677A">
              <w:rPr>
                <w:rFonts w:ascii="Arial" w:hAnsi="Arial" w:cs="Arial"/>
                <w:sz w:val="16"/>
                <w:szCs w:val="16"/>
              </w:rPr>
              <w:lastRenderedPageBreak/>
              <w:t>(35/150) or autumn (16/150) but difference in seasonality by sex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043E3D"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lastRenderedPageBreak/>
              <w:t>Comparing incidence</w:t>
            </w:r>
          </w:p>
        </w:tc>
      </w:tr>
      <w:tr w:rsidR="002F7D3E" w:rsidRPr="0059677A" w14:paraId="5B3280A9" w14:textId="77777777" w:rsidTr="002F7D3E">
        <w:trPr>
          <w:trHeight w:val="1012"/>
        </w:trPr>
        <w:tc>
          <w:tcPr>
            <w:tcW w:w="10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DEDC6E" w14:textId="2D8E6D9B" w:rsidR="009606B3" w:rsidRPr="0059677A" w:rsidRDefault="009606B3" w:rsidP="00BD0BBF">
            <w:pPr>
              <w:pStyle w:val="Body"/>
              <w:spacing w:after="0" w:line="480" w:lineRule="auto"/>
              <w:ind w:firstLine="0"/>
              <w:jc w:val="left"/>
              <w:rPr>
                <w:rFonts w:ascii="Arial" w:hAnsi="Arial" w:cs="Arial"/>
                <w:sz w:val="16"/>
                <w:szCs w:val="16"/>
              </w:rPr>
            </w:pPr>
            <w:proofErr w:type="spellStart"/>
            <w:r w:rsidRPr="0059677A">
              <w:rPr>
                <w:rFonts w:ascii="Arial" w:hAnsi="Arial" w:cs="Arial"/>
                <w:sz w:val="16"/>
                <w:szCs w:val="16"/>
              </w:rPr>
              <w:lastRenderedPageBreak/>
              <w:t>Melamed</w:t>
            </w:r>
            <w:proofErr w:type="spellEnd"/>
            <w:r w:rsidRPr="0059677A">
              <w:rPr>
                <w:rFonts w:ascii="Arial" w:hAnsi="Arial" w:cs="Arial"/>
                <w:sz w:val="16"/>
                <w:szCs w:val="16"/>
              </w:rPr>
              <w:t xml:space="preserve"> et al.</w:t>
            </w:r>
            <w:r w:rsidR="00BD0BBF" w:rsidRPr="0059677A">
              <w:rPr>
                <w:rFonts w:ascii="Arial" w:hAnsi="Arial" w:cs="Arial"/>
                <w:sz w:val="16"/>
                <w:szCs w:val="16"/>
              </w:rPr>
              <w:fldChar w:fldCharType="begin" w:fldLock="1"/>
            </w:r>
            <w:r w:rsidR="00872C88">
              <w:rPr>
                <w:rFonts w:ascii="Arial" w:hAnsi="Arial" w:cs="Arial"/>
                <w:sz w:val="16"/>
                <w:szCs w:val="16"/>
              </w:rPr>
              <w:instrText>ADDIN CSL_CITATION { "citationItems" : [ { "id" : "ITEM-1", "itemData" : { "DOI" : "10.1186/1471-2105-15-S6-S3", "ISSN" : "1471-2105", "PMID" : "25078762", "abstract" : "BACKGROUND: Patterns of disease incidence can identify new risk factors for the disease or provide insight into the etiology. For example, allergies and infectious diseases have been shown to follow periodic temporal patterns due to seasonal changes in environmental or infectious agents. Previous work searching for seasonal or other temporal patterns in disease diagnosis rates has been limited both in the scope of the diseases examined and in the ability to distinguish unexpected seasonal patterns. Electronic Health Records (EHR) compile extensive longitudinal clinical information, constituting a unique source for discovery of trends in occurrence of disease. However, the data suffer from inherent biases that preclude an identification of temporal trends.\n\nMETHODS: Motivated by observation of the biases in this data source, we developed a method (Lomb-Scargle periodograms in detrended data, LSP-detrend) to find periodic patterns by adjusting the temporal information for broad trends in incidence, as well as seasonal changes in total hospitalizations. LSP-detrend can sensitively uncover periodic temporal patterns in the corrected data and identify the significance of the trend. We apply LSP-detrend to a compilation of records from 1.5 million patients encoded by ICD-9-CM (International Classification of Diseases, Ninth Revision, Clinical Modification), including 2,805 disorders with more than 500 occurrences across a 12 year period, recorded from 1.5 million patients.\n\nRESULTS AND CONCLUSIONS: Although EHR data, and ICD-9 coded records in particular, were not created with the intention of aggregated use for research, these data can in fact be mined for periodic patterns in incidence of disease, if confounders are properly removed. Of all diagnoses, around 10% are identified as seasonal by LSP-detrend, including many known phenomena. We robustly reproduce previous findings, even for relatively rare diseases. For instance, Kawasaki disease, a rare childhood disease that has been associated with weather patterns, is detected as strongly linked with winter months. Among the novel results, we find a bi-annual increase in exacerbations of myasthenia gravis, a potentially life threatening complication of an autoimmune disease. We dissect the causes of this seasonal incidence and propose that factors predisposing patients to this event vary through the year.", "author" : [ { "dropping-particle" : "", "family" : "Melamed", "given" : "Rachel D", "non-dropping-particle" : "", "parse-names" : false, "suffix" : "" }, { "dropping-particle" : "", "family" : "Khiabanian", "given" : "Hossein", "non-dropping-particle" : "", "parse-names" : false, "suffix" : "" }, { "dropping-particle" : "", "family" : "Rabadan", "given" : "Raul", "non-dropping-particle" : "", "parse-names" : false, "suffix" : "" } ], "container-title" : "BMC bioinformatics", "id" : "ITEM-1", "issued" : { "date-parts" : [ [ "2014", "1" ] ] }, "page" : "S3", "title" : "Data-driven discovery of seasonally linked diseases from an Electronic Health Records system.", "type" : "article-journal", "volume" : "15 Suppl 6" }, "uris" : [ "http://www.mendeley.com/documents/?uuid=d7540037-7b76-4668-aaa6-bc515bbb7189" ] } ], "mendeley" : { "formattedCitation" : "[12]", "plainTextFormattedCitation" : "[12]", "previouslyFormattedCitation" : "[12]" }, "properties" : { "noteIndex" : 0 }, "schema" : "https://github.com/citation-style-language/schema/raw/master/csl-citation.json" }</w:instrText>
            </w:r>
            <w:r w:rsidR="00BD0BBF" w:rsidRPr="0059677A">
              <w:rPr>
                <w:rFonts w:ascii="Arial" w:hAnsi="Arial" w:cs="Arial"/>
                <w:sz w:val="16"/>
                <w:szCs w:val="16"/>
              </w:rPr>
              <w:fldChar w:fldCharType="separate"/>
            </w:r>
            <w:r w:rsidR="00D47ACD" w:rsidRPr="00D47ACD">
              <w:rPr>
                <w:rFonts w:ascii="Arial" w:hAnsi="Arial" w:cs="Arial"/>
                <w:noProof/>
                <w:sz w:val="16"/>
                <w:szCs w:val="16"/>
              </w:rPr>
              <w:t>[12]</w:t>
            </w:r>
            <w:r w:rsidR="00BD0BBF" w:rsidRPr="0059677A">
              <w:rPr>
                <w:rFonts w:ascii="Arial" w:hAnsi="Arial" w:cs="Arial"/>
                <w:sz w:val="16"/>
                <w:szCs w:val="16"/>
              </w:rPr>
              <w:fldChar w:fldCharType="end"/>
            </w:r>
          </w:p>
        </w:tc>
        <w:tc>
          <w:tcPr>
            <w:tcW w:w="5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BB641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2014</w:t>
            </w:r>
          </w:p>
        </w:tc>
        <w:tc>
          <w:tcPr>
            <w:tcW w:w="89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FCABE9"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USA</w:t>
            </w:r>
          </w:p>
        </w:tc>
        <w:tc>
          <w:tcPr>
            <w:tcW w:w="111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5C01C1"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Hospital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BC298C"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92B0EE"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9A88D4"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All</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801C35"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Summer peak</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C70C5F" w14:textId="77777777" w:rsidR="009606B3" w:rsidRPr="0059677A" w:rsidRDefault="009606B3" w:rsidP="00B0224B">
            <w:pPr>
              <w:pStyle w:val="Body"/>
              <w:spacing w:after="0" w:line="480" w:lineRule="auto"/>
              <w:ind w:firstLine="0"/>
              <w:jc w:val="left"/>
              <w:rPr>
                <w:rFonts w:ascii="Arial" w:hAnsi="Arial" w:cs="Arial"/>
                <w:sz w:val="16"/>
                <w:szCs w:val="16"/>
              </w:rPr>
            </w:pPr>
            <w:r w:rsidRPr="0059677A">
              <w:rPr>
                <w:rFonts w:ascii="Arial" w:hAnsi="Arial" w:cs="Arial"/>
                <w:sz w:val="16"/>
                <w:szCs w:val="16"/>
              </w:rPr>
              <w:t>Lomb-</w:t>
            </w:r>
            <w:proofErr w:type="spellStart"/>
            <w:r w:rsidRPr="0059677A">
              <w:rPr>
                <w:rFonts w:ascii="Arial" w:hAnsi="Arial" w:cs="Arial"/>
                <w:sz w:val="16"/>
                <w:szCs w:val="16"/>
              </w:rPr>
              <w:t>Scargle</w:t>
            </w:r>
            <w:proofErr w:type="spellEnd"/>
            <w:r w:rsidRPr="0059677A">
              <w:rPr>
                <w:rFonts w:ascii="Arial" w:hAnsi="Arial" w:cs="Arial"/>
                <w:sz w:val="16"/>
                <w:szCs w:val="16"/>
              </w:rPr>
              <w:t xml:space="preserve"> </w:t>
            </w:r>
            <w:proofErr w:type="spellStart"/>
            <w:r w:rsidRPr="0059677A">
              <w:rPr>
                <w:rFonts w:ascii="Arial" w:hAnsi="Arial" w:cs="Arial"/>
                <w:sz w:val="16"/>
                <w:szCs w:val="16"/>
              </w:rPr>
              <w:t>periodograms</w:t>
            </w:r>
            <w:proofErr w:type="spellEnd"/>
            <w:r w:rsidRPr="0059677A">
              <w:rPr>
                <w:rFonts w:ascii="Arial" w:hAnsi="Arial" w:cs="Arial"/>
                <w:sz w:val="16"/>
                <w:szCs w:val="16"/>
              </w:rPr>
              <w:t xml:space="preserve"> in de-trended data</w:t>
            </w:r>
          </w:p>
        </w:tc>
      </w:tr>
    </w:tbl>
    <w:p w14:paraId="330F5F1E" w14:textId="0FBB783A" w:rsidR="00EE22C7" w:rsidRPr="0059677A" w:rsidRDefault="00EC1168" w:rsidP="00EC1168">
      <w:pPr>
        <w:spacing w:line="276" w:lineRule="auto"/>
        <w:jc w:val="left"/>
        <w:rPr>
          <w:rFonts w:cs="Arial"/>
        </w:rPr>
      </w:pPr>
      <w:r w:rsidRPr="0059677A">
        <w:rPr>
          <w:rFonts w:cs="Arial"/>
        </w:rPr>
        <w:br w:type="page"/>
      </w:r>
    </w:p>
    <w:p w14:paraId="241D289C" w14:textId="433507BB" w:rsidR="004B17DA" w:rsidRPr="0059677A" w:rsidRDefault="004B17DA" w:rsidP="004B17DA">
      <w:pPr>
        <w:pStyle w:val="Caption"/>
        <w:spacing w:line="480" w:lineRule="auto"/>
        <w:rPr>
          <w:rFonts w:cs="Arial"/>
          <w:color w:val="auto"/>
        </w:rPr>
      </w:pPr>
      <w:r w:rsidRPr="0059677A">
        <w:rPr>
          <w:rFonts w:cs="Arial"/>
          <w:color w:val="auto"/>
        </w:rPr>
        <w:lastRenderedPageBreak/>
        <w:t xml:space="preserve">Table </w:t>
      </w:r>
      <w:r w:rsidR="00552563">
        <w:rPr>
          <w:rFonts w:cs="Arial"/>
          <w:color w:val="auto"/>
        </w:rPr>
        <w:t>S2</w:t>
      </w:r>
      <w:r w:rsidRPr="0059677A">
        <w:rPr>
          <w:rFonts w:cs="Arial"/>
          <w:color w:val="auto"/>
        </w:rPr>
        <w:t xml:space="preserve">. </w:t>
      </w:r>
      <w:proofErr w:type="spellStart"/>
      <w:r w:rsidRPr="0059677A">
        <w:rPr>
          <w:rFonts w:cs="Arial"/>
          <w:color w:val="auto"/>
        </w:rPr>
        <w:t>Akaike</w:t>
      </w:r>
      <w:proofErr w:type="spellEnd"/>
      <w:r w:rsidRPr="0059677A">
        <w:rPr>
          <w:rFonts w:cs="Arial"/>
          <w:color w:val="auto"/>
        </w:rPr>
        <w:t xml:space="preserve"> information </w:t>
      </w:r>
      <w:r w:rsidRPr="0059677A">
        <w:rPr>
          <w:rFonts w:cs="Arial"/>
          <w:color w:val="auto"/>
        </w:rPr>
        <w:t xml:space="preserve">criteria (AIC) for the models of UTI consultations in the UK including a seasonal component with no trend term, a linear trend term and a quadratic trend term, by sex and age group. </w:t>
      </w:r>
      <w:r w:rsidRPr="0059677A">
        <w:rPr>
          <w:rFonts w:cs="Arial"/>
          <w:b w:val="0"/>
          <w:color w:val="auto"/>
        </w:rPr>
        <w:t>*In order to calculate the AIC, the dispersion parameter (theta) was fixed at the estimate derived for the most complex model (the seasonal model with a quadratic trend term).</w:t>
      </w:r>
      <w:r w:rsidR="009972F1" w:rsidRPr="0059677A">
        <w:rPr>
          <w:rFonts w:cs="Arial"/>
          <w:b w:val="0"/>
          <w:color w:val="auto"/>
        </w:rPr>
        <w:t xml:space="preserve"> The trend term was given by </w:t>
      </w:r>
      <m:oMath>
        <m:r>
          <m:rPr>
            <m:sty m:val="b"/>
          </m:rPr>
          <w:rPr>
            <w:rFonts w:ascii="Cambria Math" w:hAnsi="Cambria Math" w:cs="Arial"/>
            <w:color w:val="auto"/>
          </w:rPr>
          <m:t>t+</m:t>
        </m:r>
        <m:sSup>
          <m:sSupPr>
            <m:ctrlPr>
              <w:rPr>
                <w:rFonts w:ascii="Cambria Math" w:hAnsi="Cambria Math" w:cs="Arial"/>
                <w:b w:val="0"/>
                <w:color w:val="auto"/>
              </w:rPr>
            </m:ctrlPr>
          </m:sSupPr>
          <m:e>
            <m:r>
              <m:rPr>
                <m:sty m:val="b"/>
              </m:rPr>
              <w:rPr>
                <w:rFonts w:ascii="Cambria Math" w:hAnsi="Cambria Math" w:cs="Arial"/>
                <w:color w:val="auto"/>
              </w:rPr>
              <m:t>t</m:t>
            </m:r>
          </m:e>
          <m:sup>
            <m:r>
              <m:rPr>
                <m:sty m:val="b"/>
              </m:rPr>
              <w:rPr>
                <w:rFonts w:ascii="Cambria Math" w:hAnsi="Cambria Math" w:cs="Arial"/>
                <w:color w:val="auto"/>
              </w:rPr>
              <m:t>2</m:t>
            </m:r>
          </m:sup>
        </m:sSup>
      </m:oMath>
      <w:r w:rsidR="009972F1" w:rsidRPr="0059677A">
        <w:rPr>
          <w:rFonts w:cs="Arial"/>
          <w:b w:val="0"/>
          <w:color w:val="auto"/>
        </w:rPr>
        <w:t xml:space="preserve"> and the seasonality term </w:t>
      </w:r>
      <w:proofErr w:type="gramStart"/>
      <w:r w:rsidR="009972F1" w:rsidRPr="0059677A">
        <w:rPr>
          <w:rFonts w:cs="Arial"/>
          <w:b w:val="0"/>
          <w:color w:val="auto"/>
        </w:rPr>
        <w:t xml:space="preserve">by </w:t>
      </w:r>
      <w:proofErr w:type="gramEnd"/>
      <m:oMath>
        <m:func>
          <m:funcPr>
            <m:ctrlPr>
              <w:rPr>
                <w:rFonts w:ascii="Cambria Math" w:hAnsi="Cambria Math" w:cs="Arial"/>
                <w:b w:val="0"/>
                <w:color w:val="auto"/>
              </w:rPr>
            </m:ctrlPr>
          </m:funcPr>
          <m:fName>
            <m:r>
              <m:rPr>
                <m:sty m:val="b"/>
              </m:rPr>
              <w:rPr>
                <w:rFonts w:ascii="Cambria Math" w:hAnsi="Cambria Math" w:cs="Arial"/>
                <w:color w:val="auto"/>
              </w:rPr>
              <m:t>cos</m:t>
            </m:r>
          </m:fName>
          <m:e>
            <m:d>
              <m:dPr>
                <m:ctrlPr>
                  <w:rPr>
                    <w:rFonts w:ascii="Cambria Math" w:hAnsi="Cambria Math" w:cs="Arial"/>
                    <w:b w:val="0"/>
                    <w:color w:val="auto"/>
                  </w:rPr>
                </m:ctrlPr>
              </m:dPr>
              <m:e>
                <m:f>
                  <m:fPr>
                    <m:ctrlPr>
                      <w:rPr>
                        <w:rFonts w:ascii="Cambria Math" w:hAnsi="Cambria Math" w:cs="Arial"/>
                        <w:b w:val="0"/>
                        <w:color w:val="auto"/>
                      </w:rPr>
                    </m:ctrlPr>
                  </m:fPr>
                  <m:num>
                    <m:r>
                      <m:rPr>
                        <m:sty m:val="b"/>
                      </m:rPr>
                      <w:rPr>
                        <w:rFonts w:ascii="Cambria Math" w:hAnsi="Cambria Math" w:cs="Arial"/>
                        <w:color w:val="auto"/>
                      </w:rPr>
                      <m:t>2Π</m:t>
                    </m:r>
                    <m:r>
                      <m:rPr>
                        <m:sty m:val="bi"/>
                      </m:rPr>
                      <w:rPr>
                        <w:rFonts w:ascii="Cambria Math" w:hAnsi="Cambria Math" w:cs="Arial"/>
                        <w:color w:val="auto"/>
                      </w:rPr>
                      <m:t>t</m:t>
                    </m:r>
                  </m:num>
                  <m:den>
                    <m:r>
                      <m:rPr>
                        <m:sty m:val="b"/>
                      </m:rPr>
                      <w:rPr>
                        <w:rFonts w:ascii="Cambria Math" w:hAnsi="Cambria Math" w:cs="Arial"/>
                        <w:color w:val="auto"/>
                      </w:rPr>
                      <m:t>12</m:t>
                    </m:r>
                  </m:den>
                </m:f>
              </m:e>
            </m:d>
          </m:e>
        </m:func>
        <m:r>
          <m:rPr>
            <m:sty m:val="bi"/>
          </m:rPr>
          <w:rPr>
            <w:rFonts w:ascii="Cambria Math" w:hAnsi="Cambria Math" w:cs="Arial"/>
            <w:color w:val="auto"/>
          </w:rPr>
          <m:t>+</m:t>
        </m:r>
        <m:func>
          <m:funcPr>
            <m:ctrlPr>
              <w:rPr>
                <w:rFonts w:ascii="Cambria Math" w:hAnsi="Cambria Math" w:cs="Arial"/>
                <w:b w:val="0"/>
                <w:color w:val="auto"/>
              </w:rPr>
            </m:ctrlPr>
          </m:funcPr>
          <m:fName>
            <m:r>
              <m:rPr>
                <m:sty m:val="b"/>
              </m:rPr>
              <w:rPr>
                <w:rFonts w:ascii="Cambria Math" w:hAnsi="Cambria Math" w:cs="Arial"/>
                <w:color w:val="auto"/>
              </w:rPr>
              <m:t>sin</m:t>
            </m:r>
          </m:fName>
          <m:e>
            <m:d>
              <m:dPr>
                <m:ctrlPr>
                  <w:rPr>
                    <w:rFonts w:ascii="Cambria Math" w:hAnsi="Cambria Math" w:cs="Arial"/>
                    <w:b w:val="0"/>
                    <w:color w:val="auto"/>
                  </w:rPr>
                </m:ctrlPr>
              </m:dPr>
              <m:e>
                <m:f>
                  <m:fPr>
                    <m:ctrlPr>
                      <w:rPr>
                        <w:rFonts w:ascii="Cambria Math" w:hAnsi="Cambria Math" w:cs="Arial"/>
                        <w:b w:val="0"/>
                        <w:color w:val="auto"/>
                      </w:rPr>
                    </m:ctrlPr>
                  </m:fPr>
                  <m:num>
                    <m:r>
                      <m:rPr>
                        <m:sty m:val="b"/>
                      </m:rPr>
                      <w:rPr>
                        <w:rFonts w:ascii="Cambria Math" w:hAnsi="Cambria Math" w:cs="Arial"/>
                        <w:color w:val="auto"/>
                      </w:rPr>
                      <m:t>2Π</m:t>
                    </m:r>
                    <m:r>
                      <m:rPr>
                        <m:sty m:val="bi"/>
                      </m:rPr>
                      <w:rPr>
                        <w:rFonts w:ascii="Cambria Math" w:hAnsi="Cambria Math" w:cs="Arial"/>
                        <w:color w:val="auto"/>
                      </w:rPr>
                      <m:t>t</m:t>
                    </m:r>
                  </m:num>
                  <m:den>
                    <m:r>
                      <m:rPr>
                        <m:sty m:val="b"/>
                      </m:rPr>
                      <w:rPr>
                        <w:rFonts w:ascii="Cambria Math" w:hAnsi="Cambria Math" w:cs="Arial"/>
                        <w:color w:val="auto"/>
                      </w:rPr>
                      <m:t>12</m:t>
                    </m:r>
                  </m:den>
                </m:f>
              </m:e>
            </m:d>
          </m:e>
        </m:func>
      </m:oMath>
      <w:r w:rsidR="009972F1" w:rsidRPr="0059677A">
        <w:rPr>
          <w:rFonts w:eastAsiaTheme="minorEastAsia" w:cs="Arial"/>
          <w:b w:val="0"/>
          <w:color w:val="auto"/>
        </w:rPr>
        <w:t xml:space="preserve">, where </w:t>
      </w:r>
      <m:oMath>
        <m:r>
          <m:rPr>
            <m:sty m:val="b"/>
          </m:rPr>
          <w:rPr>
            <w:rFonts w:ascii="Cambria Math" w:hAnsi="Cambria Math" w:cs="Arial"/>
            <w:color w:val="auto"/>
          </w:rPr>
          <m:t>t</m:t>
        </m:r>
      </m:oMath>
      <w:r w:rsidR="009972F1" w:rsidRPr="0059677A">
        <w:rPr>
          <w:rFonts w:eastAsiaTheme="minorEastAsia" w:cs="Arial"/>
          <w:b w:val="0"/>
          <w:color w:val="auto"/>
        </w:rPr>
        <w:t xml:space="preserve"> was the month of the study (1 to 96).</w:t>
      </w:r>
    </w:p>
    <w:tbl>
      <w:tblPr>
        <w:tblStyle w:val="TableGrid"/>
        <w:tblW w:w="8698" w:type="dxa"/>
        <w:tblLook w:val="04A0" w:firstRow="1" w:lastRow="0" w:firstColumn="1" w:lastColumn="0" w:noHBand="0" w:noVBand="1"/>
      </w:tblPr>
      <w:tblGrid>
        <w:gridCol w:w="1598"/>
        <w:gridCol w:w="1244"/>
        <w:gridCol w:w="2043"/>
        <w:gridCol w:w="1735"/>
        <w:gridCol w:w="2078"/>
      </w:tblGrid>
      <w:tr w:rsidR="004B17DA" w:rsidRPr="0059677A" w14:paraId="326D02D4" w14:textId="77777777" w:rsidTr="0059677A">
        <w:trPr>
          <w:trHeight w:val="300"/>
        </w:trPr>
        <w:tc>
          <w:tcPr>
            <w:tcW w:w="1598" w:type="dxa"/>
            <w:noWrap/>
            <w:hideMark/>
          </w:tcPr>
          <w:p w14:paraId="0DABAC6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Sex</w:t>
            </w:r>
          </w:p>
        </w:tc>
        <w:tc>
          <w:tcPr>
            <w:tcW w:w="1244" w:type="dxa"/>
            <w:noWrap/>
            <w:hideMark/>
          </w:tcPr>
          <w:p w14:paraId="0E01F36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Age group</w:t>
            </w:r>
          </w:p>
        </w:tc>
        <w:tc>
          <w:tcPr>
            <w:tcW w:w="2043" w:type="dxa"/>
            <w:noWrap/>
            <w:hideMark/>
          </w:tcPr>
          <w:p w14:paraId="7BE3F6FB" w14:textId="261A6011"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 xml:space="preserve">AIC </w:t>
            </w:r>
            <w:r w:rsidR="009972F1" w:rsidRPr="0059677A">
              <w:rPr>
                <w:rFonts w:eastAsia="Times New Roman" w:cs="Arial"/>
                <w:color w:val="000000"/>
                <w:sz w:val="22"/>
                <w:lang w:eastAsia="en-GB"/>
              </w:rPr>
              <w:t xml:space="preserve">of the regression model with </w:t>
            </w:r>
            <w:r w:rsidRPr="0059677A">
              <w:rPr>
                <w:rFonts w:eastAsia="Times New Roman" w:cs="Arial"/>
                <w:color w:val="000000"/>
                <w:sz w:val="22"/>
                <w:lang w:eastAsia="en-GB"/>
              </w:rPr>
              <w:t>no trend term*</w:t>
            </w:r>
          </w:p>
        </w:tc>
        <w:tc>
          <w:tcPr>
            <w:tcW w:w="1735" w:type="dxa"/>
            <w:noWrap/>
            <w:hideMark/>
          </w:tcPr>
          <w:p w14:paraId="7386F457" w14:textId="51028ED7" w:rsidR="004B17DA" w:rsidRPr="0059677A" w:rsidRDefault="004B17DA" w:rsidP="009972F1">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 xml:space="preserve">AIC </w:t>
            </w:r>
            <w:r w:rsidR="009972F1" w:rsidRPr="0059677A">
              <w:rPr>
                <w:rFonts w:eastAsia="Times New Roman" w:cs="Arial"/>
                <w:color w:val="000000"/>
                <w:sz w:val="22"/>
                <w:lang w:eastAsia="en-GB"/>
              </w:rPr>
              <w:t xml:space="preserve">of the regression model with a </w:t>
            </w:r>
            <w:r w:rsidRPr="0059677A">
              <w:rPr>
                <w:rFonts w:eastAsia="Times New Roman" w:cs="Arial"/>
                <w:color w:val="000000"/>
                <w:sz w:val="22"/>
                <w:lang w:eastAsia="en-GB"/>
              </w:rPr>
              <w:t>linear trend</w:t>
            </w:r>
            <w:r w:rsidR="009972F1" w:rsidRPr="0059677A">
              <w:rPr>
                <w:rFonts w:eastAsia="Times New Roman" w:cs="Arial"/>
                <w:color w:val="000000"/>
                <w:sz w:val="22"/>
                <w:lang w:eastAsia="en-GB"/>
              </w:rPr>
              <w:t xml:space="preserve"> term (</w:t>
            </w:r>
            <m:oMath>
              <m:r>
                <w:rPr>
                  <w:rFonts w:ascii="Cambria Math" w:eastAsia="Times New Roman" w:hAnsi="Cambria Math" w:cs="Arial"/>
                  <w:color w:val="000000"/>
                  <w:sz w:val="22"/>
                  <w:lang w:eastAsia="en-GB"/>
                </w:rPr>
                <m:t>t</m:t>
              </m:r>
            </m:oMath>
            <w:r w:rsidR="009972F1" w:rsidRPr="0059677A">
              <w:rPr>
                <w:rFonts w:eastAsia="Times New Roman" w:cs="Arial"/>
                <w:color w:val="000000"/>
                <w:sz w:val="22"/>
                <w:lang w:eastAsia="en-GB"/>
              </w:rPr>
              <w:t>)*</w:t>
            </w:r>
          </w:p>
        </w:tc>
        <w:tc>
          <w:tcPr>
            <w:tcW w:w="2078" w:type="dxa"/>
            <w:noWrap/>
            <w:hideMark/>
          </w:tcPr>
          <w:p w14:paraId="1B58A2DF" w14:textId="0808C575" w:rsidR="00CD5892" w:rsidRPr="0059677A" w:rsidRDefault="004B17DA" w:rsidP="009972F1">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 xml:space="preserve">AIC </w:t>
            </w:r>
            <w:r w:rsidR="009972F1" w:rsidRPr="0059677A">
              <w:rPr>
                <w:rFonts w:eastAsia="Times New Roman" w:cs="Arial"/>
                <w:color w:val="000000"/>
                <w:sz w:val="22"/>
                <w:lang w:eastAsia="en-GB"/>
              </w:rPr>
              <w:t xml:space="preserve">of the regression model with a </w:t>
            </w:r>
            <w:r w:rsidRPr="0059677A">
              <w:rPr>
                <w:rFonts w:eastAsia="Times New Roman" w:cs="Arial"/>
                <w:color w:val="000000"/>
                <w:sz w:val="22"/>
                <w:lang w:eastAsia="en-GB"/>
              </w:rPr>
              <w:t>quadratic trend</w:t>
            </w:r>
            <w:r w:rsidR="009972F1" w:rsidRPr="0059677A">
              <w:rPr>
                <w:rFonts w:eastAsia="Times New Roman" w:cs="Arial"/>
                <w:color w:val="000000"/>
                <w:sz w:val="22"/>
                <w:lang w:eastAsia="en-GB"/>
              </w:rPr>
              <w:t xml:space="preserve"> term </w:t>
            </w:r>
            <m:oMath>
              <m:r>
                <w:rPr>
                  <w:rFonts w:ascii="Cambria Math" w:hAnsi="Cambria Math" w:cs="Arial"/>
                </w:rPr>
                <m:t>(</m:t>
              </m:r>
              <m:sSup>
                <m:sSupPr>
                  <m:ctrlPr>
                    <w:rPr>
                      <w:rFonts w:ascii="Cambria Math" w:hAnsi="Cambria Math" w:cs="Arial"/>
                    </w:rPr>
                  </m:ctrlPr>
                </m:sSupPr>
                <m:e>
                  <m:r>
                    <w:rPr>
                      <w:rFonts w:ascii="Cambria Math" w:hAnsi="Cambria Math" w:cs="Arial"/>
                    </w:rPr>
                    <m:t>t+t</m:t>
                  </m:r>
                </m:e>
                <m:sup>
                  <m:r>
                    <m:rPr>
                      <m:sty m:val="p"/>
                    </m:rPr>
                    <w:rPr>
                      <w:rFonts w:ascii="Cambria Math" w:hAnsi="Cambria Math" w:cs="Arial"/>
                    </w:rPr>
                    <m:t>2</m:t>
                  </m:r>
                </m:sup>
              </m:sSup>
              <m:r>
                <w:rPr>
                  <w:rFonts w:ascii="Cambria Math" w:hAnsi="Cambria Math" w:cs="Arial"/>
                </w:rPr>
                <m:t>)</m:t>
              </m:r>
            </m:oMath>
          </w:p>
        </w:tc>
      </w:tr>
      <w:tr w:rsidR="004B17DA" w:rsidRPr="0059677A" w14:paraId="307D71C5" w14:textId="77777777" w:rsidTr="0059677A">
        <w:trPr>
          <w:trHeight w:val="300"/>
        </w:trPr>
        <w:tc>
          <w:tcPr>
            <w:tcW w:w="1598" w:type="dxa"/>
            <w:noWrap/>
            <w:hideMark/>
          </w:tcPr>
          <w:p w14:paraId="1B12533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1244" w:type="dxa"/>
            <w:noWrap/>
            <w:hideMark/>
          </w:tcPr>
          <w:p w14:paraId="291004E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14-17</w:t>
            </w:r>
          </w:p>
        </w:tc>
        <w:tc>
          <w:tcPr>
            <w:tcW w:w="2043" w:type="dxa"/>
            <w:noWrap/>
            <w:hideMark/>
          </w:tcPr>
          <w:p w14:paraId="6699FA0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1131.302</w:t>
            </w:r>
          </w:p>
        </w:tc>
        <w:tc>
          <w:tcPr>
            <w:tcW w:w="1735" w:type="dxa"/>
            <w:noWrap/>
            <w:hideMark/>
          </w:tcPr>
          <w:p w14:paraId="3C1990A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936.8906</w:t>
            </w:r>
          </w:p>
        </w:tc>
        <w:tc>
          <w:tcPr>
            <w:tcW w:w="2078" w:type="dxa"/>
            <w:noWrap/>
            <w:hideMark/>
          </w:tcPr>
          <w:p w14:paraId="3BCFDDD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925.5975</w:t>
            </w:r>
          </w:p>
        </w:tc>
      </w:tr>
      <w:tr w:rsidR="004B17DA" w:rsidRPr="0059677A" w14:paraId="7588A935" w14:textId="77777777" w:rsidTr="0059677A">
        <w:trPr>
          <w:trHeight w:val="300"/>
        </w:trPr>
        <w:tc>
          <w:tcPr>
            <w:tcW w:w="1598" w:type="dxa"/>
            <w:noWrap/>
            <w:hideMark/>
          </w:tcPr>
          <w:p w14:paraId="57825A0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1244" w:type="dxa"/>
            <w:noWrap/>
            <w:hideMark/>
          </w:tcPr>
          <w:p w14:paraId="3EC5632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18-24</w:t>
            </w:r>
          </w:p>
        </w:tc>
        <w:tc>
          <w:tcPr>
            <w:tcW w:w="2043" w:type="dxa"/>
            <w:noWrap/>
            <w:hideMark/>
          </w:tcPr>
          <w:p w14:paraId="35791B5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1375.33</w:t>
            </w:r>
          </w:p>
        </w:tc>
        <w:tc>
          <w:tcPr>
            <w:tcW w:w="1735" w:type="dxa"/>
            <w:noWrap/>
            <w:hideMark/>
          </w:tcPr>
          <w:p w14:paraId="0219D7F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1119.663</w:t>
            </w:r>
          </w:p>
        </w:tc>
        <w:tc>
          <w:tcPr>
            <w:tcW w:w="2078" w:type="dxa"/>
            <w:noWrap/>
            <w:hideMark/>
          </w:tcPr>
          <w:p w14:paraId="347E8A3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1083.569</w:t>
            </w:r>
          </w:p>
        </w:tc>
      </w:tr>
      <w:tr w:rsidR="004B17DA" w:rsidRPr="0059677A" w14:paraId="7620B74B" w14:textId="77777777" w:rsidTr="0059677A">
        <w:trPr>
          <w:trHeight w:val="300"/>
        </w:trPr>
        <w:tc>
          <w:tcPr>
            <w:tcW w:w="1598" w:type="dxa"/>
            <w:noWrap/>
            <w:hideMark/>
          </w:tcPr>
          <w:p w14:paraId="16D04F9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1244" w:type="dxa"/>
            <w:noWrap/>
            <w:hideMark/>
          </w:tcPr>
          <w:p w14:paraId="5089242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25-45</w:t>
            </w:r>
          </w:p>
        </w:tc>
        <w:tc>
          <w:tcPr>
            <w:tcW w:w="2043" w:type="dxa"/>
            <w:noWrap/>
            <w:hideMark/>
          </w:tcPr>
          <w:p w14:paraId="383CA1A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1330.703</w:t>
            </w:r>
          </w:p>
        </w:tc>
        <w:tc>
          <w:tcPr>
            <w:tcW w:w="1735" w:type="dxa"/>
            <w:noWrap/>
            <w:hideMark/>
          </w:tcPr>
          <w:p w14:paraId="0912EB2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1249.725</w:t>
            </w:r>
          </w:p>
        </w:tc>
        <w:tc>
          <w:tcPr>
            <w:tcW w:w="2078" w:type="dxa"/>
            <w:noWrap/>
            <w:hideMark/>
          </w:tcPr>
          <w:p w14:paraId="35D2E17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1234.055</w:t>
            </w:r>
          </w:p>
        </w:tc>
      </w:tr>
      <w:tr w:rsidR="004B17DA" w:rsidRPr="0059677A" w14:paraId="3F87D114" w14:textId="77777777" w:rsidTr="0059677A">
        <w:trPr>
          <w:trHeight w:val="300"/>
        </w:trPr>
        <w:tc>
          <w:tcPr>
            <w:tcW w:w="1598" w:type="dxa"/>
            <w:noWrap/>
            <w:hideMark/>
          </w:tcPr>
          <w:p w14:paraId="6024BE5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1244" w:type="dxa"/>
            <w:noWrap/>
            <w:hideMark/>
          </w:tcPr>
          <w:p w14:paraId="7CA7FB3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46-69</w:t>
            </w:r>
          </w:p>
        </w:tc>
        <w:tc>
          <w:tcPr>
            <w:tcW w:w="2043" w:type="dxa"/>
            <w:noWrap/>
            <w:hideMark/>
          </w:tcPr>
          <w:p w14:paraId="535DF38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1281.198</w:t>
            </w:r>
          </w:p>
        </w:tc>
        <w:tc>
          <w:tcPr>
            <w:tcW w:w="1735" w:type="dxa"/>
            <w:noWrap/>
            <w:hideMark/>
          </w:tcPr>
          <w:p w14:paraId="56546DD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1244.596</w:t>
            </w:r>
          </w:p>
        </w:tc>
        <w:tc>
          <w:tcPr>
            <w:tcW w:w="2078" w:type="dxa"/>
            <w:noWrap/>
            <w:hideMark/>
          </w:tcPr>
          <w:p w14:paraId="00079FB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1231.499</w:t>
            </w:r>
          </w:p>
        </w:tc>
      </w:tr>
      <w:tr w:rsidR="004B17DA" w:rsidRPr="0059677A" w14:paraId="43A4AA10" w14:textId="77777777" w:rsidTr="0059677A">
        <w:trPr>
          <w:trHeight w:val="300"/>
        </w:trPr>
        <w:tc>
          <w:tcPr>
            <w:tcW w:w="1598" w:type="dxa"/>
            <w:noWrap/>
            <w:hideMark/>
          </w:tcPr>
          <w:p w14:paraId="586CC7A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1244" w:type="dxa"/>
            <w:noWrap/>
            <w:hideMark/>
          </w:tcPr>
          <w:p w14:paraId="6035366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70-84</w:t>
            </w:r>
          </w:p>
        </w:tc>
        <w:tc>
          <w:tcPr>
            <w:tcW w:w="2043" w:type="dxa"/>
            <w:noWrap/>
            <w:hideMark/>
          </w:tcPr>
          <w:p w14:paraId="7474DF3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1193.373</w:t>
            </w:r>
          </w:p>
        </w:tc>
        <w:tc>
          <w:tcPr>
            <w:tcW w:w="1735" w:type="dxa"/>
            <w:noWrap/>
            <w:hideMark/>
          </w:tcPr>
          <w:p w14:paraId="42A50E7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1181.468</w:t>
            </w:r>
          </w:p>
        </w:tc>
        <w:tc>
          <w:tcPr>
            <w:tcW w:w="2078" w:type="dxa"/>
            <w:noWrap/>
            <w:hideMark/>
          </w:tcPr>
          <w:p w14:paraId="5129977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1168.383</w:t>
            </w:r>
          </w:p>
        </w:tc>
      </w:tr>
      <w:tr w:rsidR="004B17DA" w:rsidRPr="0059677A" w14:paraId="5609A5F5" w14:textId="77777777" w:rsidTr="0059677A">
        <w:trPr>
          <w:trHeight w:val="300"/>
        </w:trPr>
        <w:tc>
          <w:tcPr>
            <w:tcW w:w="1598" w:type="dxa"/>
            <w:noWrap/>
            <w:hideMark/>
          </w:tcPr>
          <w:p w14:paraId="1F1D0EF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1244" w:type="dxa"/>
            <w:noWrap/>
            <w:hideMark/>
          </w:tcPr>
          <w:p w14:paraId="38D4DE5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85+</w:t>
            </w:r>
          </w:p>
        </w:tc>
        <w:tc>
          <w:tcPr>
            <w:tcW w:w="2043" w:type="dxa"/>
            <w:noWrap/>
            <w:hideMark/>
          </w:tcPr>
          <w:p w14:paraId="5961C48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1298.537</w:t>
            </w:r>
          </w:p>
        </w:tc>
        <w:tc>
          <w:tcPr>
            <w:tcW w:w="1735" w:type="dxa"/>
            <w:noWrap/>
            <w:hideMark/>
          </w:tcPr>
          <w:p w14:paraId="16BD7FF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1054.343</w:t>
            </w:r>
          </w:p>
        </w:tc>
        <w:tc>
          <w:tcPr>
            <w:tcW w:w="2078" w:type="dxa"/>
            <w:noWrap/>
            <w:hideMark/>
          </w:tcPr>
          <w:p w14:paraId="7EE298B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1036.552</w:t>
            </w:r>
          </w:p>
        </w:tc>
      </w:tr>
      <w:tr w:rsidR="004B17DA" w:rsidRPr="0059677A" w14:paraId="17DE0FF7" w14:textId="77777777" w:rsidTr="0059677A">
        <w:trPr>
          <w:trHeight w:val="300"/>
        </w:trPr>
        <w:tc>
          <w:tcPr>
            <w:tcW w:w="1598" w:type="dxa"/>
            <w:noWrap/>
            <w:hideMark/>
          </w:tcPr>
          <w:p w14:paraId="4B307D0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1244" w:type="dxa"/>
            <w:noWrap/>
            <w:hideMark/>
          </w:tcPr>
          <w:p w14:paraId="1E3A156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14-17</w:t>
            </w:r>
          </w:p>
        </w:tc>
        <w:tc>
          <w:tcPr>
            <w:tcW w:w="2043" w:type="dxa"/>
            <w:noWrap/>
            <w:hideMark/>
          </w:tcPr>
          <w:p w14:paraId="35547E7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1170.251</w:t>
            </w:r>
          </w:p>
        </w:tc>
        <w:tc>
          <w:tcPr>
            <w:tcW w:w="1735" w:type="dxa"/>
            <w:noWrap/>
            <w:hideMark/>
          </w:tcPr>
          <w:p w14:paraId="058477D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930.8574</w:t>
            </w:r>
          </w:p>
        </w:tc>
        <w:tc>
          <w:tcPr>
            <w:tcW w:w="2078" w:type="dxa"/>
            <w:noWrap/>
            <w:hideMark/>
          </w:tcPr>
          <w:p w14:paraId="45F6606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917.3008</w:t>
            </w:r>
          </w:p>
        </w:tc>
      </w:tr>
      <w:tr w:rsidR="004B17DA" w:rsidRPr="0059677A" w14:paraId="0FCECB44" w14:textId="77777777" w:rsidTr="0059677A">
        <w:trPr>
          <w:trHeight w:val="300"/>
        </w:trPr>
        <w:tc>
          <w:tcPr>
            <w:tcW w:w="1598" w:type="dxa"/>
            <w:noWrap/>
            <w:hideMark/>
          </w:tcPr>
          <w:p w14:paraId="3D172C7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1244" w:type="dxa"/>
            <w:noWrap/>
            <w:hideMark/>
          </w:tcPr>
          <w:p w14:paraId="3D11410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18-24</w:t>
            </w:r>
          </w:p>
        </w:tc>
        <w:tc>
          <w:tcPr>
            <w:tcW w:w="2043" w:type="dxa"/>
            <w:noWrap/>
            <w:hideMark/>
          </w:tcPr>
          <w:p w14:paraId="59F93A3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1360.837</w:t>
            </w:r>
          </w:p>
        </w:tc>
        <w:tc>
          <w:tcPr>
            <w:tcW w:w="1735" w:type="dxa"/>
            <w:noWrap/>
            <w:hideMark/>
          </w:tcPr>
          <w:p w14:paraId="493ADCB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1117.974</w:t>
            </w:r>
          </w:p>
        </w:tc>
        <w:tc>
          <w:tcPr>
            <w:tcW w:w="2078" w:type="dxa"/>
            <w:noWrap/>
            <w:hideMark/>
          </w:tcPr>
          <w:p w14:paraId="7232540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1078.937</w:t>
            </w:r>
          </w:p>
        </w:tc>
      </w:tr>
      <w:tr w:rsidR="004B17DA" w:rsidRPr="0059677A" w14:paraId="72239387" w14:textId="77777777" w:rsidTr="0059677A">
        <w:trPr>
          <w:trHeight w:val="300"/>
        </w:trPr>
        <w:tc>
          <w:tcPr>
            <w:tcW w:w="1598" w:type="dxa"/>
            <w:noWrap/>
            <w:hideMark/>
          </w:tcPr>
          <w:p w14:paraId="0B58BC0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1244" w:type="dxa"/>
            <w:noWrap/>
            <w:hideMark/>
          </w:tcPr>
          <w:p w14:paraId="6633427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25-45</w:t>
            </w:r>
          </w:p>
        </w:tc>
        <w:tc>
          <w:tcPr>
            <w:tcW w:w="2043" w:type="dxa"/>
            <w:noWrap/>
            <w:hideMark/>
          </w:tcPr>
          <w:p w14:paraId="5788F5B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1327.862</w:t>
            </w:r>
          </w:p>
        </w:tc>
        <w:tc>
          <w:tcPr>
            <w:tcW w:w="1735" w:type="dxa"/>
            <w:noWrap/>
            <w:hideMark/>
          </w:tcPr>
          <w:p w14:paraId="3C465ED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1237.177</w:t>
            </w:r>
          </w:p>
        </w:tc>
        <w:tc>
          <w:tcPr>
            <w:tcW w:w="2078" w:type="dxa"/>
            <w:noWrap/>
            <w:hideMark/>
          </w:tcPr>
          <w:p w14:paraId="72B057C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1221.477</w:t>
            </w:r>
          </w:p>
        </w:tc>
      </w:tr>
      <w:tr w:rsidR="004B17DA" w:rsidRPr="0059677A" w14:paraId="6D293FB3" w14:textId="77777777" w:rsidTr="0059677A">
        <w:trPr>
          <w:trHeight w:val="300"/>
        </w:trPr>
        <w:tc>
          <w:tcPr>
            <w:tcW w:w="1598" w:type="dxa"/>
            <w:noWrap/>
            <w:hideMark/>
          </w:tcPr>
          <w:p w14:paraId="59DF8B0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1244" w:type="dxa"/>
            <w:noWrap/>
            <w:hideMark/>
          </w:tcPr>
          <w:p w14:paraId="6FE504B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46-69</w:t>
            </w:r>
          </w:p>
        </w:tc>
        <w:tc>
          <w:tcPr>
            <w:tcW w:w="2043" w:type="dxa"/>
            <w:noWrap/>
            <w:hideMark/>
          </w:tcPr>
          <w:p w14:paraId="3FF3191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1262.241</w:t>
            </w:r>
          </w:p>
        </w:tc>
        <w:tc>
          <w:tcPr>
            <w:tcW w:w="1735" w:type="dxa"/>
            <w:noWrap/>
            <w:hideMark/>
          </w:tcPr>
          <w:p w14:paraId="6C16E9D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1218.761</w:t>
            </w:r>
          </w:p>
        </w:tc>
        <w:tc>
          <w:tcPr>
            <w:tcW w:w="2078" w:type="dxa"/>
            <w:noWrap/>
            <w:hideMark/>
          </w:tcPr>
          <w:p w14:paraId="4616A0F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1205.818</w:t>
            </w:r>
          </w:p>
        </w:tc>
      </w:tr>
      <w:tr w:rsidR="004B17DA" w:rsidRPr="0059677A" w14:paraId="386A43FB" w14:textId="77777777" w:rsidTr="0059677A">
        <w:trPr>
          <w:trHeight w:val="300"/>
        </w:trPr>
        <w:tc>
          <w:tcPr>
            <w:tcW w:w="1598" w:type="dxa"/>
            <w:noWrap/>
            <w:hideMark/>
          </w:tcPr>
          <w:p w14:paraId="627DA36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1244" w:type="dxa"/>
            <w:noWrap/>
            <w:hideMark/>
          </w:tcPr>
          <w:p w14:paraId="08F3479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70-84</w:t>
            </w:r>
          </w:p>
        </w:tc>
        <w:tc>
          <w:tcPr>
            <w:tcW w:w="2043" w:type="dxa"/>
            <w:noWrap/>
            <w:hideMark/>
          </w:tcPr>
          <w:p w14:paraId="780D5DA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1143.959</w:t>
            </w:r>
          </w:p>
        </w:tc>
        <w:tc>
          <w:tcPr>
            <w:tcW w:w="1735" w:type="dxa"/>
            <w:noWrap/>
            <w:hideMark/>
          </w:tcPr>
          <w:p w14:paraId="33CE3FD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1134.796</w:t>
            </w:r>
          </w:p>
        </w:tc>
        <w:tc>
          <w:tcPr>
            <w:tcW w:w="2078" w:type="dxa"/>
            <w:noWrap/>
            <w:hideMark/>
          </w:tcPr>
          <w:p w14:paraId="0A74A85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1123.924</w:t>
            </w:r>
          </w:p>
        </w:tc>
      </w:tr>
      <w:tr w:rsidR="004B17DA" w:rsidRPr="0059677A" w14:paraId="29A10D2B" w14:textId="77777777" w:rsidTr="0059677A">
        <w:trPr>
          <w:trHeight w:val="300"/>
        </w:trPr>
        <w:tc>
          <w:tcPr>
            <w:tcW w:w="1598" w:type="dxa"/>
            <w:noWrap/>
            <w:hideMark/>
          </w:tcPr>
          <w:p w14:paraId="5FBEC72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1244" w:type="dxa"/>
            <w:noWrap/>
            <w:hideMark/>
          </w:tcPr>
          <w:p w14:paraId="34EA19C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85+</w:t>
            </w:r>
          </w:p>
        </w:tc>
        <w:tc>
          <w:tcPr>
            <w:tcW w:w="2043" w:type="dxa"/>
            <w:noWrap/>
            <w:hideMark/>
          </w:tcPr>
          <w:p w14:paraId="13EAAFA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1241.139</w:t>
            </w:r>
          </w:p>
        </w:tc>
        <w:tc>
          <w:tcPr>
            <w:tcW w:w="1735" w:type="dxa"/>
            <w:noWrap/>
            <w:hideMark/>
          </w:tcPr>
          <w:p w14:paraId="2D611F1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1015.206</w:t>
            </w:r>
          </w:p>
        </w:tc>
        <w:tc>
          <w:tcPr>
            <w:tcW w:w="2078" w:type="dxa"/>
            <w:noWrap/>
            <w:hideMark/>
          </w:tcPr>
          <w:p w14:paraId="01F185A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1001.247</w:t>
            </w:r>
          </w:p>
        </w:tc>
      </w:tr>
      <w:tr w:rsidR="004B17DA" w:rsidRPr="0059677A" w14:paraId="49E6B950" w14:textId="77777777" w:rsidTr="0059677A">
        <w:trPr>
          <w:trHeight w:val="300"/>
        </w:trPr>
        <w:tc>
          <w:tcPr>
            <w:tcW w:w="1598" w:type="dxa"/>
            <w:noWrap/>
            <w:hideMark/>
          </w:tcPr>
          <w:p w14:paraId="2282F8A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1244" w:type="dxa"/>
            <w:noWrap/>
            <w:hideMark/>
          </w:tcPr>
          <w:p w14:paraId="1588DFFA"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14-17</w:t>
            </w:r>
          </w:p>
        </w:tc>
        <w:tc>
          <w:tcPr>
            <w:tcW w:w="2043" w:type="dxa"/>
            <w:noWrap/>
            <w:hideMark/>
          </w:tcPr>
          <w:p w14:paraId="3F05491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582.4998</w:t>
            </w:r>
          </w:p>
        </w:tc>
        <w:tc>
          <w:tcPr>
            <w:tcW w:w="1735" w:type="dxa"/>
            <w:noWrap/>
            <w:hideMark/>
          </w:tcPr>
          <w:p w14:paraId="48D1FE4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568.1808</w:t>
            </w:r>
          </w:p>
        </w:tc>
        <w:tc>
          <w:tcPr>
            <w:tcW w:w="2078" w:type="dxa"/>
            <w:noWrap/>
            <w:hideMark/>
          </w:tcPr>
          <w:p w14:paraId="3B15AEF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570.5024</w:t>
            </w:r>
          </w:p>
        </w:tc>
      </w:tr>
      <w:tr w:rsidR="004B17DA" w:rsidRPr="0059677A" w14:paraId="555AC708" w14:textId="77777777" w:rsidTr="0059677A">
        <w:trPr>
          <w:trHeight w:val="300"/>
        </w:trPr>
        <w:tc>
          <w:tcPr>
            <w:tcW w:w="1598" w:type="dxa"/>
            <w:noWrap/>
            <w:hideMark/>
          </w:tcPr>
          <w:p w14:paraId="335FFBA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1244" w:type="dxa"/>
            <w:noWrap/>
            <w:hideMark/>
          </w:tcPr>
          <w:p w14:paraId="0445AAA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18-24</w:t>
            </w:r>
          </w:p>
        </w:tc>
        <w:tc>
          <w:tcPr>
            <w:tcW w:w="2043" w:type="dxa"/>
            <w:noWrap/>
            <w:hideMark/>
          </w:tcPr>
          <w:p w14:paraId="7FB0ADF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678.9267</w:t>
            </w:r>
          </w:p>
        </w:tc>
        <w:tc>
          <w:tcPr>
            <w:tcW w:w="1735" w:type="dxa"/>
            <w:noWrap/>
            <w:hideMark/>
          </w:tcPr>
          <w:p w14:paraId="380EF31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624.9811</w:t>
            </w:r>
          </w:p>
        </w:tc>
        <w:tc>
          <w:tcPr>
            <w:tcW w:w="2078" w:type="dxa"/>
            <w:noWrap/>
            <w:hideMark/>
          </w:tcPr>
          <w:p w14:paraId="3091684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627.5591</w:t>
            </w:r>
          </w:p>
        </w:tc>
      </w:tr>
      <w:tr w:rsidR="004B17DA" w:rsidRPr="0059677A" w14:paraId="705DBFD0" w14:textId="77777777" w:rsidTr="0059677A">
        <w:trPr>
          <w:trHeight w:val="300"/>
        </w:trPr>
        <w:tc>
          <w:tcPr>
            <w:tcW w:w="1598" w:type="dxa"/>
            <w:noWrap/>
            <w:hideMark/>
          </w:tcPr>
          <w:p w14:paraId="16926A2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1244" w:type="dxa"/>
            <w:noWrap/>
            <w:hideMark/>
          </w:tcPr>
          <w:p w14:paraId="0A002C3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25-45</w:t>
            </w:r>
          </w:p>
        </w:tc>
        <w:tc>
          <w:tcPr>
            <w:tcW w:w="2043" w:type="dxa"/>
            <w:noWrap/>
            <w:hideMark/>
          </w:tcPr>
          <w:p w14:paraId="43AE35F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918.8692</w:t>
            </w:r>
          </w:p>
        </w:tc>
        <w:tc>
          <w:tcPr>
            <w:tcW w:w="1735" w:type="dxa"/>
            <w:noWrap/>
            <w:hideMark/>
          </w:tcPr>
          <w:p w14:paraId="0D583C3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802.7613</w:t>
            </w:r>
          </w:p>
        </w:tc>
        <w:tc>
          <w:tcPr>
            <w:tcW w:w="2078" w:type="dxa"/>
            <w:noWrap/>
            <w:hideMark/>
          </w:tcPr>
          <w:p w14:paraId="0D0ABF6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797.7937</w:t>
            </w:r>
          </w:p>
        </w:tc>
      </w:tr>
      <w:tr w:rsidR="004B17DA" w:rsidRPr="0059677A" w14:paraId="5A013A5F" w14:textId="77777777" w:rsidTr="0059677A">
        <w:trPr>
          <w:trHeight w:val="300"/>
        </w:trPr>
        <w:tc>
          <w:tcPr>
            <w:tcW w:w="1598" w:type="dxa"/>
            <w:noWrap/>
            <w:hideMark/>
          </w:tcPr>
          <w:p w14:paraId="57946FE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1244" w:type="dxa"/>
            <w:noWrap/>
            <w:hideMark/>
          </w:tcPr>
          <w:p w14:paraId="74957C3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46-69</w:t>
            </w:r>
          </w:p>
        </w:tc>
        <w:tc>
          <w:tcPr>
            <w:tcW w:w="2043" w:type="dxa"/>
            <w:noWrap/>
            <w:hideMark/>
          </w:tcPr>
          <w:p w14:paraId="25CBCDA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930.2015</w:t>
            </w:r>
          </w:p>
        </w:tc>
        <w:tc>
          <w:tcPr>
            <w:tcW w:w="1735" w:type="dxa"/>
            <w:noWrap/>
            <w:hideMark/>
          </w:tcPr>
          <w:p w14:paraId="169E7BC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922.5998</w:t>
            </w:r>
          </w:p>
        </w:tc>
        <w:tc>
          <w:tcPr>
            <w:tcW w:w="2078" w:type="dxa"/>
            <w:noWrap/>
            <w:hideMark/>
          </w:tcPr>
          <w:p w14:paraId="58FF6CE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920.3444</w:t>
            </w:r>
          </w:p>
        </w:tc>
      </w:tr>
      <w:tr w:rsidR="004B17DA" w:rsidRPr="0059677A" w14:paraId="77D18C2C" w14:textId="77777777" w:rsidTr="0059677A">
        <w:trPr>
          <w:trHeight w:val="300"/>
        </w:trPr>
        <w:tc>
          <w:tcPr>
            <w:tcW w:w="1598" w:type="dxa"/>
            <w:noWrap/>
            <w:hideMark/>
          </w:tcPr>
          <w:p w14:paraId="7C293CA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1244" w:type="dxa"/>
            <w:noWrap/>
            <w:hideMark/>
          </w:tcPr>
          <w:p w14:paraId="5508D35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70-84</w:t>
            </w:r>
          </w:p>
        </w:tc>
        <w:tc>
          <w:tcPr>
            <w:tcW w:w="2043" w:type="dxa"/>
            <w:noWrap/>
            <w:hideMark/>
          </w:tcPr>
          <w:p w14:paraId="4E9FC5F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929.6153</w:t>
            </w:r>
          </w:p>
        </w:tc>
        <w:tc>
          <w:tcPr>
            <w:tcW w:w="1735" w:type="dxa"/>
            <w:noWrap/>
            <w:hideMark/>
          </w:tcPr>
          <w:p w14:paraId="627B1C2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931.4508</w:t>
            </w:r>
          </w:p>
        </w:tc>
        <w:tc>
          <w:tcPr>
            <w:tcW w:w="2078" w:type="dxa"/>
            <w:noWrap/>
            <w:hideMark/>
          </w:tcPr>
          <w:p w14:paraId="27F4DD1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920.3366</w:t>
            </w:r>
          </w:p>
        </w:tc>
      </w:tr>
      <w:tr w:rsidR="004B17DA" w:rsidRPr="0059677A" w14:paraId="50870F21" w14:textId="77777777" w:rsidTr="0059677A">
        <w:trPr>
          <w:trHeight w:val="300"/>
        </w:trPr>
        <w:tc>
          <w:tcPr>
            <w:tcW w:w="1598" w:type="dxa"/>
            <w:noWrap/>
            <w:hideMark/>
          </w:tcPr>
          <w:p w14:paraId="3CFB5A4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1244" w:type="dxa"/>
            <w:noWrap/>
            <w:hideMark/>
          </w:tcPr>
          <w:p w14:paraId="11C293E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85+</w:t>
            </w:r>
          </w:p>
        </w:tc>
        <w:tc>
          <w:tcPr>
            <w:tcW w:w="2043" w:type="dxa"/>
            <w:noWrap/>
            <w:hideMark/>
          </w:tcPr>
          <w:p w14:paraId="70B1F84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861.6667</w:t>
            </w:r>
          </w:p>
        </w:tc>
        <w:tc>
          <w:tcPr>
            <w:tcW w:w="1735" w:type="dxa"/>
            <w:noWrap/>
            <w:hideMark/>
          </w:tcPr>
          <w:p w14:paraId="768E044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830.0555</w:t>
            </w:r>
          </w:p>
        </w:tc>
        <w:tc>
          <w:tcPr>
            <w:tcW w:w="2078" w:type="dxa"/>
            <w:noWrap/>
            <w:hideMark/>
          </w:tcPr>
          <w:p w14:paraId="4146B47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819.1208</w:t>
            </w:r>
          </w:p>
        </w:tc>
      </w:tr>
    </w:tbl>
    <w:p w14:paraId="3143CC2E" w14:textId="77777777" w:rsidR="00DD5C0F" w:rsidRPr="0059677A" w:rsidRDefault="00DD5C0F" w:rsidP="004B17DA">
      <w:pPr>
        <w:rPr>
          <w:rFonts w:cs="Arial"/>
        </w:rPr>
        <w:sectPr w:rsidR="00DD5C0F" w:rsidRPr="0059677A" w:rsidSect="00DD5C0F">
          <w:headerReference w:type="default" r:id="rId8"/>
          <w:footerReference w:type="default" r:id="rId9"/>
          <w:pgSz w:w="11906" w:h="16838"/>
          <w:pgMar w:top="1440" w:right="1440" w:bottom="1440" w:left="1440" w:header="708" w:footer="708" w:gutter="0"/>
          <w:lnNumType w:countBy="1" w:restart="continuous"/>
          <w:cols w:space="708"/>
          <w:docGrid w:linePitch="360"/>
        </w:sectPr>
      </w:pPr>
    </w:p>
    <w:p w14:paraId="0E559510" w14:textId="2EB41F55" w:rsidR="004B17DA" w:rsidRPr="0059677A" w:rsidRDefault="004B17DA" w:rsidP="004B17DA">
      <w:pPr>
        <w:pStyle w:val="Caption"/>
        <w:keepNext/>
        <w:rPr>
          <w:rFonts w:cs="Arial"/>
          <w:b w:val="0"/>
          <w:color w:val="auto"/>
        </w:rPr>
      </w:pPr>
      <w:r w:rsidRPr="0059677A">
        <w:rPr>
          <w:rFonts w:cs="Arial"/>
          <w:color w:val="auto"/>
        </w:rPr>
        <w:lastRenderedPageBreak/>
        <w:t xml:space="preserve">Table </w:t>
      </w:r>
      <w:r w:rsidR="00552563">
        <w:rPr>
          <w:rFonts w:cs="Arial"/>
          <w:color w:val="auto"/>
        </w:rPr>
        <w:t>S3</w:t>
      </w:r>
      <w:r w:rsidRPr="0059677A">
        <w:rPr>
          <w:rFonts w:cs="Arial"/>
          <w:color w:val="auto"/>
        </w:rPr>
        <w:t xml:space="preserve">. </w:t>
      </w:r>
      <w:proofErr w:type="gramStart"/>
      <w:r w:rsidRPr="0059677A">
        <w:rPr>
          <w:rFonts w:cs="Arial"/>
          <w:color w:val="auto"/>
        </w:rPr>
        <w:t>Coefficients and 95% confidence intervals (CI) of the models of UTI consultations in the UK by sex and age group</w:t>
      </w:r>
      <w:r w:rsidRPr="0059677A">
        <w:rPr>
          <w:rFonts w:cs="Arial"/>
          <w:b w:val="0"/>
          <w:color w:val="auto"/>
        </w:rPr>
        <w:t>.</w:t>
      </w:r>
      <w:proofErr w:type="gramEnd"/>
      <w:r w:rsidRPr="0059677A">
        <w:rPr>
          <w:rFonts w:cs="Arial"/>
          <w:b w:val="0"/>
          <w:color w:val="auto"/>
        </w:rPr>
        <w:t xml:space="preserve"> The trend term was given by </w:t>
      </w:r>
      <m:oMath>
        <m:r>
          <m:rPr>
            <m:sty m:val="b"/>
          </m:rPr>
          <w:rPr>
            <w:rFonts w:ascii="Cambria Math" w:hAnsi="Cambria Math" w:cs="Arial"/>
            <w:color w:val="auto"/>
          </w:rPr>
          <m:t>t+</m:t>
        </m:r>
        <m:sSup>
          <m:sSupPr>
            <m:ctrlPr>
              <w:rPr>
                <w:rFonts w:ascii="Cambria Math" w:hAnsi="Cambria Math" w:cs="Arial"/>
                <w:b w:val="0"/>
                <w:color w:val="auto"/>
              </w:rPr>
            </m:ctrlPr>
          </m:sSupPr>
          <m:e>
            <m:r>
              <m:rPr>
                <m:sty m:val="b"/>
              </m:rPr>
              <w:rPr>
                <w:rFonts w:ascii="Cambria Math" w:hAnsi="Cambria Math" w:cs="Arial"/>
                <w:color w:val="auto"/>
              </w:rPr>
              <m:t>t</m:t>
            </m:r>
          </m:e>
          <m:sup>
            <m:r>
              <m:rPr>
                <m:sty m:val="b"/>
              </m:rPr>
              <w:rPr>
                <w:rFonts w:ascii="Cambria Math" w:hAnsi="Cambria Math" w:cs="Arial"/>
                <w:color w:val="auto"/>
              </w:rPr>
              <m:t>2</m:t>
            </m:r>
          </m:sup>
        </m:sSup>
      </m:oMath>
      <w:r w:rsidRPr="0059677A">
        <w:rPr>
          <w:rFonts w:cs="Arial"/>
          <w:b w:val="0"/>
          <w:color w:val="auto"/>
        </w:rPr>
        <w:t xml:space="preserve"> and the</w:t>
      </w:r>
      <w:r w:rsidR="000E1246" w:rsidRPr="0059677A">
        <w:rPr>
          <w:rFonts w:cs="Arial"/>
          <w:b w:val="0"/>
          <w:color w:val="auto"/>
        </w:rPr>
        <w:t xml:space="preserve"> </w:t>
      </w:r>
      <w:r w:rsidRPr="0059677A">
        <w:rPr>
          <w:rFonts w:cs="Arial"/>
          <w:b w:val="0"/>
          <w:color w:val="auto"/>
        </w:rPr>
        <w:t xml:space="preserve">seasonality term </w:t>
      </w:r>
      <w:proofErr w:type="gramStart"/>
      <w:r w:rsidRPr="0059677A">
        <w:rPr>
          <w:rFonts w:cs="Arial"/>
          <w:b w:val="0"/>
          <w:color w:val="auto"/>
        </w:rPr>
        <w:t xml:space="preserve">by </w:t>
      </w:r>
      <w:proofErr w:type="gramEnd"/>
      <m:oMath>
        <m:func>
          <m:funcPr>
            <m:ctrlPr>
              <w:rPr>
                <w:rFonts w:ascii="Cambria Math" w:hAnsi="Cambria Math" w:cs="Arial"/>
                <w:b w:val="0"/>
                <w:color w:val="auto"/>
              </w:rPr>
            </m:ctrlPr>
          </m:funcPr>
          <m:fName>
            <m:r>
              <m:rPr>
                <m:sty m:val="b"/>
              </m:rPr>
              <w:rPr>
                <w:rFonts w:ascii="Cambria Math" w:hAnsi="Cambria Math" w:cs="Arial"/>
                <w:color w:val="auto"/>
              </w:rPr>
              <m:t>cos</m:t>
            </m:r>
          </m:fName>
          <m:e>
            <m:d>
              <m:dPr>
                <m:ctrlPr>
                  <w:rPr>
                    <w:rFonts w:ascii="Cambria Math" w:hAnsi="Cambria Math" w:cs="Arial"/>
                    <w:b w:val="0"/>
                    <w:color w:val="auto"/>
                  </w:rPr>
                </m:ctrlPr>
              </m:dPr>
              <m:e>
                <m:f>
                  <m:fPr>
                    <m:ctrlPr>
                      <w:rPr>
                        <w:rFonts w:ascii="Cambria Math" w:hAnsi="Cambria Math" w:cs="Arial"/>
                        <w:b w:val="0"/>
                        <w:color w:val="auto"/>
                      </w:rPr>
                    </m:ctrlPr>
                  </m:fPr>
                  <m:num>
                    <m:r>
                      <m:rPr>
                        <m:sty m:val="b"/>
                      </m:rPr>
                      <w:rPr>
                        <w:rFonts w:ascii="Cambria Math" w:hAnsi="Cambria Math" w:cs="Arial"/>
                        <w:color w:val="auto"/>
                      </w:rPr>
                      <m:t>2Π</m:t>
                    </m:r>
                    <m:r>
                      <m:rPr>
                        <m:sty m:val="bi"/>
                      </m:rPr>
                      <w:rPr>
                        <w:rFonts w:ascii="Cambria Math" w:hAnsi="Cambria Math" w:cs="Arial"/>
                        <w:color w:val="auto"/>
                      </w:rPr>
                      <m:t>t</m:t>
                    </m:r>
                  </m:num>
                  <m:den>
                    <m:r>
                      <m:rPr>
                        <m:sty m:val="b"/>
                      </m:rPr>
                      <w:rPr>
                        <w:rFonts w:ascii="Cambria Math" w:hAnsi="Cambria Math" w:cs="Arial"/>
                        <w:color w:val="auto"/>
                      </w:rPr>
                      <m:t>12</m:t>
                    </m:r>
                  </m:den>
                </m:f>
              </m:e>
            </m:d>
          </m:e>
        </m:func>
        <m:r>
          <m:rPr>
            <m:sty m:val="bi"/>
          </m:rPr>
          <w:rPr>
            <w:rFonts w:ascii="Cambria Math" w:hAnsi="Cambria Math" w:cs="Arial"/>
            <w:color w:val="auto"/>
          </w:rPr>
          <m:t>+</m:t>
        </m:r>
        <m:func>
          <m:funcPr>
            <m:ctrlPr>
              <w:rPr>
                <w:rFonts w:ascii="Cambria Math" w:hAnsi="Cambria Math" w:cs="Arial"/>
                <w:b w:val="0"/>
                <w:color w:val="auto"/>
              </w:rPr>
            </m:ctrlPr>
          </m:funcPr>
          <m:fName>
            <m:r>
              <m:rPr>
                <m:sty m:val="b"/>
              </m:rPr>
              <w:rPr>
                <w:rFonts w:ascii="Cambria Math" w:hAnsi="Cambria Math" w:cs="Arial"/>
                <w:color w:val="auto"/>
              </w:rPr>
              <m:t>sin</m:t>
            </m:r>
          </m:fName>
          <m:e>
            <m:d>
              <m:dPr>
                <m:ctrlPr>
                  <w:rPr>
                    <w:rFonts w:ascii="Cambria Math" w:hAnsi="Cambria Math" w:cs="Arial"/>
                    <w:b w:val="0"/>
                    <w:color w:val="auto"/>
                  </w:rPr>
                </m:ctrlPr>
              </m:dPr>
              <m:e>
                <m:f>
                  <m:fPr>
                    <m:ctrlPr>
                      <w:rPr>
                        <w:rFonts w:ascii="Cambria Math" w:hAnsi="Cambria Math" w:cs="Arial"/>
                        <w:b w:val="0"/>
                        <w:color w:val="auto"/>
                      </w:rPr>
                    </m:ctrlPr>
                  </m:fPr>
                  <m:num>
                    <m:r>
                      <m:rPr>
                        <m:sty m:val="b"/>
                      </m:rPr>
                      <w:rPr>
                        <w:rFonts w:ascii="Cambria Math" w:hAnsi="Cambria Math" w:cs="Arial"/>
                        <w:color w:val="auto"/>
                      </w:rPr>
                      <m:t>2Π</m:t>
                    </m:r>
                    <m:r>
                      <m:rPr>
                        <m:sty m:val="bi"/>
                      </m:rPr>
                      <w:rPr>
                        <w:rFonts w:ascii="Cambria Math" w:hAnsi="Cambria Math" w:cs="Arial"/>
                        <w:color w:val="auto"/>
                      </w:rPr>
                      <m:t>t</m:t>
                    </m:r>
                  </m:num>
                  <m:den>
                    <m:r>
                      <m:rPr>
                        <m:sty m:val="b"/>
                      </m:rPr>
                      <w:rPr>
                        <w:rFonts w:ascii="Cambria Math" w:hAnsi="Cambria Math" w:cs="Arial"/>
                        <w:color w:val="auto"/>
                      </w:rPr>
                      <m:t>12</m:t>
                    </m:r>
                  </m:den>
                </m:f>
              </m:e>
            </m:d>
          </m:e>
        </m:func>
      </m:oMath>
      <w:r w:rsidRPr="0059677A">
        <w:rPr>
          <w:rFonts w:eastAsiaTheme="minorEastAsia" w:cs="Arial"/>
          <w:b w:val="0"/>
          <w:color w:val="auto"/>
        </w:rPr>
        <w:t xml:space="preserve">, where </w:t>
      </w:r>
      <m:oMath>
        <m:r>
          <m:rPr>
            <m:sty m:val="b"/>
          </m:rPr>
          <w:rPr>
            <w:rFonts w:ascii="Cambria Math" w:hAnsi="Cambria Math" w:cs="Arial"/>
            <w:color w:val="auto"/>
          </w:rPr>
          <m:t>t</m:t>
        </m:r>
      </m:oMath>
      <w:r w:rsidRPr="0059677A">
        <w:rPr>
          <w:rFonts w:eastAsiaTheme="minorEastAsia" w:cs="Arial"/>
          <w:b w:val="0"/>
          <w:color w:val="auto"/>
        </w:rPr>
        <w:t xml:space="preserve"> was the month of the study (1 to 96). The confidence intervals were calculated using the confint function in R. </w:t>
      </w:r>
    </w:p>
    <w:tbl>
      <w:tblPr>
        <w:tblStyle w:val="TableGrid"/>
        <w:tblW w:w="11294" w:type="dxa"/>
        <w:tblInd w:w="6" w:type="dxa"/>
        <w:tblLayout w:type="fixed"/>
        <w:tblLook w:val="04A0" w:firstRow="1" w:lastRow="0" w:firstColumn="1" w:lastColumn="0" w:noHBand="0" w:noVBand="1"/>
      </w:tblPr>
      <w:tblGrid>
        <w:gridCol w:w="1417"/>
        <w:gridCol w:w="839"/>
        <w:gridCol w:w="1525"/>
        <w:gridCol w:w="1843"/>
        <w:gridCol w:w="1843"/>
        <w:gridCol w:w="1701"/>
        <w:gridCol w:w="2126"/>
      </w:tblGrid>
      <w:tr w:rsidR="004B17DA" w:rsidRPr="0059677A" w14:paraId="73225A51" w14:textId="77777777" w:rsidTr="0023370D">
        <w:trPr>
          <w:trHeight w:val="300"/>
        </w:trPr>
        <w:tc>
          <w:tcPr>
            <w:tcW w:w="1417" w:type="dxa"/>
            <w:noWrap/>
            <w:hideMark/>
          </w:tcPr>
          <w:p w14:paraId="044433B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Sex</w:t>
            </w:r>
          </w:p>
        </w:tc>
        <w:tc>
          <w:tcPr>
            <w:tcW w:w="839" w:type="dxa"/>
            <w:noWrap/>
            <w:hideMark/>
          </w:tcPr>
          <w:p w14:paraId="478005E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ages</w:t>
            </w:r>
          </w:p>
        </w:tc>
        <w:tc>
          <w:tcPr>
            <w:tcW w:w="1525" w:type="dxa"/>
            <w:noWrap/>
            <w:hideMark/>
          </w:tcPr>
          <w:p w14:paraId="15708C9A" w14:textId="77777777" w:rsidR="004B17DA" w:rsidRPr="0059677A" w:rsidRDefault="004B17DA" w:rsidP="0023370D">
            <w:pPr>
              <w:spacing w:line="240" w:lineRule="auto"/>
              <w:jc w:val="left"/>
              <w:rPr>
                <w:rFonts w:eastAsia="Times New Roman" w:cs="Arial"/>
                <w:color w:val="000000"/>
                <w:sz w:val="22"/>
                <w:lang w:eastAsia="en-GB"/>
              </w:rPr>
            </w:pPr>
            <m:oMath>
              <m:r>
                <w:rPr>
                  <w:rFonts w:ascii="Cambria Math" w:eastAsia="Times New Roman" w:hAnsi="Cambria Math" w:cs="Arial"/>
                  <w:color w:val="000000"/>
                  <w:sz w:val="22"/>
                  <w:lang w:eastAsia="en-GB"/>
                </w:rPr>
                <m:t>intercept</m:t>
              </m:r>
            </m:oMath>
            <w:r w:rsidRPr="0059677A">
              <w:rPr>
                <w:rFonts w:eastAsia="Times New Roman" w:cs="Arial"/>
                <w:color w:val="000000"/>
                <w:sz w:val="22"/>
                <w:lang w:eastAsia="en-GB"/>
              </w:rPr>
              <w:t xml:space="preserve"> (95% CI)</w:t>
            </w:r>
          </w:p>
        </w:tc>
        <w:tc>
          <w:tcPr>
            <w:tcW w:w="1843" w:type="dxa"/>
            <w:noWrap/>
            <w:hideMark/>
          </w:tcPr>
          <w:p w14:paraId="19CE9D34" w14:textId="77777777" w:rsidR="004B17DA" w:rsidRPr="0059677A" w:rsidRDefault="004B17DA" w:rsidP="0023370D">
            <w:pPr>
              <w:spacing w:line="240" w:lineRule="auto"/>
              <w:jc w:val="left"/>
              <w:rPr>
                <w:rFonts w:eastAsia="Times New Roman" w:cs="Arial"/>
                <w:color w:val="000000"/>
                <w:sz w:val="22"/>
                <w:lang w:eastAsia="en-GB"/>
              </w:rPr>
            </w:pPr>
            <m:oMath>
              <m:r>
                <w:rPr>
                  <w:rFonts w:ascii="Cambria Math" w:eastAsia="Times New Roman" w:hAnsi="Cambria Math" w:cs="Arial"/>
                  <w:color w:val="000000"/>
                  <w:sz w:val="22"/>
                  <w:lang w:eastAsia="en-GB"/>
                </w:rPr>
                <m:t>t</m:t>
              </m:r>
            </m:oMath>
            <w:r w:rsidRPr="0059677A">
              <w:rPr>
                <w:rFonts w:eastAsia="Times New Roman" w:cs="Arial"/>
                <w:color w:val="000000"/>
                <w:sz w:val="22"/>
                <w:lang w:eastAsia="en-GB"/>
              </w:rPr>
              <w:t xml:space="preserve"> (95% CI)</w:t>
            </w:r>
          </w:p>
        </w:tc>
        <w:tc>
          <w:tcPr>
            <w:tcW w:w="1843" w:type="dxa"/>
            <w:noWrap/>
            <w:hideMark/>
          </w:tcPr>
          <w:p w14:paraId="2671A2A4" w14:textId="77777777" w:rsidR="004B17DA" w:rsidRPr="0059677A" w:rsidRDefault="00C2306D" w:rsidP="0023370D">
            <w:pPr>
              <w:spacing w:line="240" w:lineRule="auto"/>
              <w:jc w:val="left"/>
              <w:rPr>
                <w:rFonts w:eastAsia="Times New Roman" w:cs="Arial"/>
                <w:color w:val="000000"/>
                <w:sz w:val="22"/>
                <w:lang w:eastAsia="en-GB"/>
              </w:rPr>
            </w:pPr>
            <m:oMath>
              <m:sSup>
                <m:sSupPr>
                  <m:ctrlPr>
                    <w:rPr>
                      <w:rFonts w:ascii="Cambria Math" w:hAnsi="Cambria Math" w:cs="Arial"/>
                    </w:rPr>
                  </m:ctrlPr>
                </m:sSupPr>
                <m:e>
                  <m:r>
                    <w:rPr>
                      <w:rFonts w:ascii="Cambria Math" w:hAnsi="Cambria Math" w:cs="Arial"/>
                    </w:rPr>
                    <m:t>t</m:t>
                  </m:r>
                </m:e>
                <m:sup>
                  <m:r>
                    <m:rPr>
                      <m:sty m:val="p"/>
                    </m:rPr>
                    <w:rPr>
                      <w:rFonts w:ascii="Cambria Math" w:hAnsi="Cambria Math" w:cs="Arial"/>
                    </w:rPr>
                    <m:t>2</m:t>
                  </m:r>
                </m:sup>
              </m:sSup>
              <m:r>
                <w:rPr>
                  <w:rFonts w:ascii="Cambria Math" w:hAnsi="Cambria Math" w:cs="Arial"/>
                </w:rPr>
                <m:t xml:space="preserve"> </m:t>
              </m:r>
            </m:oMath>
            <w:r w:rsidR="004B17DA" w:rsidRPr="0059677A">
              <w:rPr>
                <w:rFonts w:eastAsia="Times New Roman" w:cs="Arial"/>
                <w:color w:val="000000"/>
                <w:sz w:val="22"/>
                <w:lang w:eastAsia="en-GB"/>
              </w:rPr>
              <w:t>(95% CI)</w:t>
            </w:r>
          </w:p>
        </w:tc>
        <w:tc>
          <w:tcPr>
            <w:tcW w:w="1701" w:type="dxa"/>
            <w:noWrap/>
            <w:hideMark/>
          </w:tcPr>
          <w:p w14:paraId="707943BE" w14:textId="77777777" w:rsidR="004B17DA" w:rsidRPr="0059677A" w:rsidRDefault="00C2306D" w:rsidP="0023370D">
            <w:pPr>
              <w:spacing w:line="240" w:lineRule="auto"/>
              <w:jc w:val="left"/>
              <w:rPr>
                <w:rFonts w:eastAsia="Times New Roman" w:cs="Arial"/>
                <w:color w:val="000000"/>
                <w:sz w:val="22"/>
                <w:lang w:eastAsia="en-GB"/>
              </w:rPr>
            </w:pPr>
            <m:oMath>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2Π</m:t>
                          </m:r>
                          <m:r>
                            <w:rPr>
                              <w:rFonts w:ascii="Cambria Math" w:hAnsi="Cambria Math" w:cs="Arial"/>
                            </w:rPr>
                            <m:t>t</m:t>
                          </m:r>
                        </m:num>
                        <m:den>
                          <m:r>
                            <m:rPr>
                              <m:sty m:val="p"/>
                            </m:rPr>
                            <w:rPr>
                              <w:rFonts w:ascii="Cambria Math" w:hAnsi="Cambria Math" w:cs="Arial"/>
                            </w:rPr>
                            <m:t>12</m:t>
                          </m:r>
                        </m:den>
                      </m:f>
                    </m:e>
                  </m:d>
                </m:e>
              </m:func>
            </m:oMath>
            <w:r w:rsidR="004B17DA" w:rsidRPr="0059677A">
              <w:rPr>
                <w:rFonts w:eastAsia="Times New Roman" w:cs="Arial"/>
              </w:rPr>
              <w:t xml:space="preserve"> </w:t>
            </w:r>
            <w:r w:rsidR="004B17DA" w:rsidRPr="0059677A">
              <w:rPr>
                <w:rFonts w:eastAsia="Times New Roman" w:cs="Arial"/>
                <w:color w:val="000000"/>
                <w:sz w:val="22"/>
                <w:lang w:eastAsia="en-GB"/>
              </w:rPr>
              <w:t>(95% CI)</w:t>
            </w:r>
          </w:p>
        </w:tc>
        <w:tc>
          <w:tcPr>
            <w:tcW w:w="2126" w:type="dxa"/>
            <w:noWrap/>
            <w:hideMark/>
          </w:tcPr>
          <w:p w14:paraId="7728CBE0" w14:textId="77777777" w:rsidR="004B17DA" w:rsidRPr="0059677A" w:rsidRDefault="00C2306D" w:rsidP="0023370D">
            <w:pPr>
              <w:spacing w:line="240" w:lineRule="auto"/>
              <w:jc w:val="left"/>
              <w:rPr>
                <w:rFonts w:eastAsia="Times New Roman" w:cs="Arial"/>
                <w:color w:val="000000"/>
                <w:sz w:val="22"/>
                <w:lang w:eastAsia="en-GB"/>
              </w:rPr>
            </w:pPr>
            <m:oMath>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2Π</m:t>
                          </m:r>
                          <m:r>
                            <w:rPr>
                              <w:rFonts w:ascii="Cambria Math" w:hAnsi="Cambria Math" w:cs="Arial"/>
                            </w:rPr>
                            <m:t>t</m:t>
                          </m:r>
                        </m:num>
                        <m:den>
                          <m:r>
                            <m:rPr>
                              <m:sty m:val="p"/>
                            </m:rPr>
                            <w:rPr>
                              <w:rFonts w:ascii="Cambria Math" w:hAnsi="Cambria Math" w:cs="Arial"/>
                            </w:rPr>
                            <m:t>12</m:t>
                          </m:r>
                        </m:den>
                      </m:f>
                    </m:e>
                  </m:d>
                </m:e>
              </m:func>
            </m:oMath>
            <w:r w:rsidR="004B17DA" w:rsidRPr="0059677A">
              <w:rPr>
                <w:rFonts w:eastAsia="Times New Roman" w:cs="Arial"/>
              </w:rPr>
              <w:t xml:space="preserve"> </w:t>
            </w:r>
            <w:r w:rsidR="004B17DA" w:rsidRPr="0059677A">
              <w:rPr>
                <w:rFonts w:eastAsia="Times New Roman" w:cs="Arial"/>
                <w:color w:val="000000"/>
                <w:sz w:val="22"/>
                <w:lang w:eastAsia="en-GB"/>
              </w:rPr>
              <w:t>(95% CI)</w:t>
            </w:r>
          </w:p>
        </w:tc>
      </w:tr>
      <w:tr w:rsidR="004B17DA" w:rsidRPr="0059677A" w14:paraId="5F61704C" w14:textId="77777777" w:rsidTr="0023370D">
        <w:trPr>
          <w:trHeight w:val="300"/>
        </w:trPr>
        <w:tc>
          <w:tcPr>
            <w:tcW w:w="1417" w:type="dxa"/>
            <w:noWrap/>
            <w:hideMark/>
          </w:tcPr>
          <w:p w14:paraId="07EFBEB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839" w:type="dxa"/>
            <w:noWrap/>
            <w:hideMark/>
          </w:tcPr>
          <w:p w14:paraId="1373BAD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14-17</w:t>
            </w:r>
          </w:p>
        </w:tc>
        <w:tc>
          <w:tcPr>
            <w:tcW w:w="1525" w:type="dxa"/>
            <w:noWrap/>
            <w:hideMark/>
          </w:tcPr>
          <w:p w14:paraId="59D2729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-6.08 (-6.15, -0.00268)</w:t>
            </w:r>
          </w:p>
        </w:tc>
        <w:tc>
          <w:tcPr>
            <w:tcW w:w="1843" w:type="dxa"/>
            <w:noWrap/>
            <w:hideMark/>
          </w:tcPr>
          <w:p w14:paraId="7983BB9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0.000415 (-6.15, -0.00268)</w:t>
            </w:r>
          </w:p>
        </w:tc>
        <w:tc>
          <w:tcPr>
            <w:tcW w:w="1843" w:type="dxa"/>
            <w:noWrap/>
            <w:hideMark/>
          </w:tcPr>
          <w:p w14:paraId="4DC05F6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-6.2e-05 (-6.15, -0.00268)</w:t>
            </w:r>
          </w:p>
        </w:tc>
        <w:tc>
          <w:tcPr>
            <w:tcW w:w="1701" w:type="dxa"/>
            <w:noWrap/>
            <w:hideMark/>
          </w:tcPr>
          <w:p w14:paraId="6819D50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0.0994 (-6.15, -0.00268)</w:t>
            </w:r>
          </w:p>
        </w:tc>
        <w:tc>
          <w:tcPr>
            <w:tcW w:w="2126" w:type="dxa"/>
            <w:noWrap/>
            <w:hideMark/>
          </w:tcPr>
          <w:p w14:paraId="420F489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-0.154 (-6.15, -0.00268)</w:t>
            </w:r>
          </w:p>
        </w:tc>
      </w:tr>
      <w:tr w:rsidR="004B17DA" w:rsidRPr="0059677A" w14:paraId="3804BBD1" w14:textId="77777777" w:rsidTr="0023370D">
        <w:trPr>
          <w:trHeight w:val="300"/>
        </w:trPr>
        <w:tc>
          <w:tcPr>
            <w:tcW w:w="1417" w:type="dxa"/>
            <w:noWrap/>
            <w:hideMark/>
          </w:tcPr>
          <w:p w14:paraId="381DF57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839" w:type="dxa"/>
            <w:noWrap/>
            <w:hideMark/>
          </w:tcPr>
          <w:p w14:paraId="705EB89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18-24</w:t>
            </w:r>
          </w:p>
        </w:tc>
        <w:tc>
          <w:tcPr>
            <w:tcW w:w="1525" w:type="dxa"/>
            <w:noWrap/>
            <w:hideMark/>
          </w:tcPr>
          <w:p w14:paraId="7CDD257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-5.46 (-5.49, 0.00013)</w:t>
            </w:r>
          </w:p>
        </w:tc>
        <w:tc>
          <w:tcPr>
            <w:tcW w:w="1843" w:type="dxa"/>
            <w:noWrap/>
            <w:hideMark/>
          </w:tcPr>
          <w:p w14:paraId="4AF33C8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0.00193 (-5.49, 0.00013)</w:t>
            </w:r>
          </w:p>
        </w:tc>
        <w:tc>
          <w:tcPr>
            <w:tcW w:w="1843" w:type="dxa"/>
            <w:noWrap/>
            <w:hideMark/>
          </w:tcPr>
          <w:p w14:paraId="7066732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-5.85e-05 (-5.49, 0.00013)</w:t>
            </w:r>
          </w:p>
        </w:tc>
        <w:tc>
          <w:tcPr>
            <w:tcW w:w="1701" w:type="dxa"/>
            <w:noWrap/>
            <w:hideMark/>
          </w:tcPr>
          <w:p w14:paraId="255C135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0.0241 (-5.49, 0.00013)</w:t>
            </w:r>
          </w:p>
        </w:tc>
        <w:tc>
          <w:tcPr>
            <w:tcW w:w="2126" w:type="dxa"/>
            <w:noWrap/>
            <w:hideMark/>
          </w:tcPr>
          <w:p w14:paraId="585E62E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-0.1 (-5.49, 0.00013)</w:t>
            </w:r>
          </w:p>
        </w:tc>
      </w:tr>
      <w:tr w:rsidR="004B17DA" w:rsidRPr="0059677A" w14:paraId="60B56F36" w14:textId="77777777" w:rsidTr="0023370D">
        <w:trPr>
          <w:trHeight w:val="300"/>
        </w:trPr>
        <w:tc>
          <w:tcPr>
            <w:tcW w:w="1417" w:type="dxa"/>
            <w:noWrap/>
            <w:hideMark/>
          </w:tcPr>
          <w:p w14:paraId="28A6057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839" w:type="dxa"/>
            <w:noWrap/>
            <w:hideMark/>
          </w:tcPr>
          <w:p w14:paraId="042D479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25-45</w:t>
            </w:r>
          </w:p>
        </w:tc>
        <w:tc>
          <w:tcPr>
            <w:tcW w:w="1525" w:type="dxa"/>
            <w:noWrap/>
            <w:hideMark/>
          </w:tcPr>
          <w:p w14:paraId="5820CBD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-5.93 (-5.97, 4.64e-05)</w:t>
            </w:r>
          </w:p>
        </w:tc>
        <w:tc>
          <w:tcPr>
            <w:tcW w:w="1843" w:type="dxa"/>
            <w:noWrap/>
            <w:hideMark/>
          </w:tcPr>
          <w:p w14:paraId="7D37E7D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0.00173 (-5.97, 4.64e-05)</w:t>
            </w:r>
          </w:p>
        </w:tc>
        <w:tc>
          <w:tcPr>
            <w:tcW w:w="1843" w:type="dxa"/>
            <w:noWrap/>
            <w:hideMark/>
          </w:tcPr>
          <w:p w14:paraId="64C617E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-3.83e-05 (-5.97, 4.64e-05)</w:t>
            </w:r>
          </w:p>
        </w:tc>
        <w:tc>
          <w:tcPr>
            <w:tcW w:w="1701" w:type="dxa"/>
            <w:noWrap/>
            <w:hideMark/>
          </w:tcPr>
          <w:p w14:paraId="1E90731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0.0205 (-5.97, 4.64e-05)</w:t>
            </w:r>
          </w:p>
        </w:tc>
        <w:tc>
          <w:tcPr>
            <w:tcW w:w="2126" w:type="dxa"/>
            <w:noWrap/>
            <w:hideMark/>
          </w:tcPr>
          <w:p w14:paraId="269C996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-0.0818 (-5.97, 4.64e-05)</w:t>
            </w:r>
          </w:p>
        </w:tc>
      </w:tr>
      <w:tr w:rsidR="004B17DA" w:rsidRPr="0059677A" w14:paraId="5EADA5A4" w14:textId="77777777" w:rsidTr="0023370D">
        <w:trPr>
          <w:trHeight w:val="300"/>
        </w:trPr>
        <w:tc>
          <w:tcPr>
            <w:tcW w:w="1417" w:type="dxa"/>
            <w:noWrap/>
            <w:hideMark/>
          </w:tcPr>
          <w:p w14:paraId="2B785B5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839" w:type="dxa"/>
            <w:noWrap/>
            <w:hideMark/>
          </w:tcPr>
          <w:p w14:paraId="4353C6B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46-69</w:t>
            </w:r>
          </w:p>
        </w:tc>
        <w:tc>
          <w:tcPr>
            <w:tcW w:w="1525" w:type="dxa"/>
            <w:noWrap/>
            <w:hideMark/>
          </w:tcPr>
          <w:p w14:paraId="7FFBD66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-5.76 (-5.79, 0.000349)</w:t>
            </w:r>
          </w:p>
        </w:tc>
        <w:tc>
          <w:tcPr>
            <w:tcW w:w="1843" w:type="dxa"/>
            <w:noWrap/>
            <w:hideMark/>
          </w:tcPr>
          <w:p w14:paraId="7B5C87BA"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0.00172 (-5.79, 0.000349)</w:t>
            </w:r>
          </w:p>
        </w:tc>
        <w:tc>
          <w:tcPr>
            <w:tcW w:w="1843" w:type="dxa"/>
            <w:noWrap/>
            <w:hideMark/>
          </w:tcPr>
          <w:p w14:paraId="27CFDCD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-2.9e-05 (-5.79, 0.000349)</w:t>
            </w:r>
          </w:p>
        </w:tc>
        <w:tc>
          <w:tcPr>
            <w:tcW w:w="1701" w:type="dxa"/>
            <w:noWrap/>
            <w:hideMark/>
          </w:tcPr>
          <w:p w14:paraId="6C57D7B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0.0102 (-5.79, 0.000349)</w:t>
            </w:r>
          </w:p>
        </w:tc>
        <w:tc>
          <w:tcPr>
            <w:tcW w:w="2126" w:type="dxa"/>
            <w:noWrap/>
            <w:hideMark/>
          </w:tcPr>
          <w:p w14:paraId="00FC008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-0.0763 (-5.79, 0.000349)</w:t>
            </w:r>
          </w:p>
        </w:tc>
      </w:tr>
      <w:tr w:rsidR="004B17DA" w:rsidRPr="0059677A" w14:paraId="0F92AF99" w14:textId="77777777" w:rsidTr="0023370D">
        <w:trPr>
          <w:trHeight w:val="300"/>
        </w:trPr>
        <w:tc>
          <w:tcPr>
            <w:tcW w:w="1417" w:type="dxa"/>
            <w:noWrap/>
            <w:hideMark/>
          </w:tcPr>
          <w:p w14:paraId="46B879E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839" w:type="dxa"/>
            <w:noWrap/>
            <w:hideMark/>
          </w:tcPr>
          <w:p w14:paraId="2E29FC8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70-84</w:t>
            </w:r>
          </w:p>
        </w:tc>
        <w:tc>
          <w:tcPr>
            <w:tcW w:w="1525" w:type="dxa"/>
            <w:noWrap/>
            <w:hideMark/>
          </w:tcPr>
          <w:p w14:paraId="1BCA47F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-5.1 (-5.13, 0.000806)</w:t>
            </w:r>
          </w:p>
        </w:tc>
        <w:tc>
          <w:tcPr>
            <w:tcW w:w="1843" w:type="dxa"/>
            <w:noWrap/>
            <w:hideMark/>
          </w:tcPr>
          <w:p w14:paraId="3A37EF6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0.00222 (-5.13, 0.000806)</w:t>
            </w:r>
          </w:p>
        </w:tc>
        <w:tc>
          <w:tcPr>
            <w:tcW w:w="1843" w:type="dxa"/>
            <w:noWrap/>
            <w:hideMark/>
          </w:tcPr>
          <w:p w14:paraId="0EE7208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-2.98e-05 (-5.13, 0.000806)</w:t>
            </w:r>
          </w:p>
        </w:tc>
        <w:tc>
          <w:tcPr>
            <w:tcW w:w="1701" w:type="dxa"/>
            <w:noWrap/>
            <w:hideMark/>
          </w:tcPr>
          <w:p w14:paraId="53D6942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-0.00302 (-5.13, 0.000806)</w:t>
            </w:r>
          </w:p>
        </w:tc>
        <w:tc>
          <w:tcPr>
            <w:tcW w:w="2126" w:type="dxa"/>
            <w:noWrap/>
            <w:hideMark/>
          </w:tcPr>
          <w:p w14:paraId="69FFA61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-0.0524 (-5.13, 0.000806)</w:t>
            </w:r>
          </w:p>
        </w:tc>
      </w:tr>
      <w:tr w:rsidR="004B17DA" w:rsidRPr="0059677A" w14:paraId="752C64DD" w14:textId="77777777" w:rsidTr="0023370D">
        <w:trPr>
          <w:trHeight w:val="300"/>
        </w:trPr>
        <w:tc>
          <w:tcPr>
            <w:tcW w:w="1417" w:type="dxa"/>
            <w:noWrap/>
            <w:hideMark/>
          </w:tcPr>
          <w:p w14:paraId="096736C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All UTIs</w:t>
            </w:r>
          </w:p>
        </w:tc>
        <w:tc>
          <w:tcPr>
            <w:tcW w:w="839" w:type="dxa"/>
            <w:noWrap/>
            <w:hideMark/>
          </w:tcPr>
          <w:p w14:paraId="57AC707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85+</w:t>
            </w:r>
          </w:p>
        </w:tc>
        <w:tc>
          <w:tcPr>
            <w:tcW w:w="1525" w:type="dxa"/>
            <w:noWrap/>
            <w:hideMark/>
          </w:tcPr>
          <w:p w14:paraId="0D6363B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-5.1 (-5.13, 0.000806)</w:t>
            </w:r>
          </w:p>
        </w:tc>
        <w:tc>
          <w:tcPr>
            <w:tcW w:w="1843" w:type="dxa"/>
            <w:noWrap/>
            <w:hideMark/>
          </w:tcPr>
          <w:p w14:paraId="38F53F3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0.00222 (-5.13, 0.000806)</w:t>
            </w:r>
          </w:p>
        </w:tc>
        <w:tc>
          <w:tcPr>
            <w:tcW w:w="1843" w:type="dxa"/>
            <w:noWrap/>
            <w:hideMark/>
          </w:tcPr>
          <w:p w14:paraId="3386213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-2.98e-05 (-5.13, 0.000806)</w:t>
            </w:r>
          </w:p>
        </w:tc>
        <w:tc>
          <w:tcPr>
            <w:tcW w:w="1701" w:type="dxa"/>
            <w:noWrap/>
            <w:hideMark/>
          </w:tcPr>
          <w:p w14:paraId="3BB5938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-0.00302 (-5.13, 0.000806)</w:t>
            </w:r>
          </w:p>
        </w:tc>
        <w:tc>
          <w:tcPr>
            <w:tcW w:w="2126" w:type="dxa"/>
            <w:noWrap/>
            <w:hideMark/>
          </w:tcPr>
          <w:p w14:paraId="3FE9534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-0.0524 (-5.13, 0.000806)</w:t>
            </w:r>
          </w:p>
        </w:tc>
      </w:tr>
      <w:tr w:rsidR="004B17DA" w:rsidRPr="0059677A" w14:paraId="229DE626" w14:textId="77777777" w:rsidTr="0023370D">
        <w:trPr>
          <w:trHeight w:val="300"/>
        </w:trPr>
        <w:tc>
          <w:tcPr>
            <w:tcW w:w="1417" w:type="dxa"/>
            <w:noWrap/>
            <w:hideMark/>
          </w:tcPr>
          <w:p w14:paraId="43267A9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839" w:type="dxa"/>
            <w:noWrap/>
            <w:hideMark/>
          </w:tcPr>
          <w:p w14:paraId="3639693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14-17</w:t>
            </w:r>
          </w:p>
        </w:tc>
        <w:tc>
          <w:tcPr>
            <w:tcW w:w="1525" w:type="dxa"/>
            <w:noWrap/>
            <w:hideMark/>
          </w:tcPr>
          <w:p w14:paraId="5385461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-5.4 (-5.47, -0.0029)</w:t>
            </w:r>
          </w:p>
        </w:tc>
        <w:tc>
          <w:tcPr>
            <w:tcW w:w="1843" w:type="dxa"/>
            <w:noWrap/>
            <w:hideMark/>
          </w:tcPr>
          <w:p w14:paraId="3ADE5FD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0.000229 (-5.47, -0.0029)</w:t>
            </w:r>
          </w:p>
        </w:tc>
        <w:tc>
          <w:tcPr>
            <w:tcW w:w="1843" w:type="dxa"/>
            <w:noWrap/>
            <w:hideMark/>
          </w:tcPr>
          <w:p w14:paraId="000F3DC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-6.72e-05 (-5.47, -0.0029)</w:t>
            </w:r>
          </w:p>
        </w:tc>
        <w:tc>
          <w:tcPr>
            <w:tcW w:w="1701" w:type="dxa"/>
            <w:noWrap/>
            <w:hideMark/>
          </w:tcPr>
          <w:p w14:paraId="63C2CFF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0.101 (-5.47, -0.0029)</w:t>
            </w:r>
          </w:p>
        </w:tc>
        <w:tc>
          <w:tcPr>
            <w:tcW w:w="2126" w:type="dxa"/>
            <w:noWrap/>
            <w:hideMark/>
          </w:tcPr>
          <w:p w14:paraId="43B21A0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-0.167 (-5.47, -0.0029)</w:t>
            </w:r>
          </w:p>
        </w:tc>
      </w:tr>
      <w:tr w:rsidR="004B17DA" w:rsidRPr="0059677A" w14:paraId="1C39436C" w14:textId="77777777" w:rsidTr="0023370D">
        <w:trPr>
          <w:trHeight w:val="300"/>
        </w:trPr>
        <w:tc>
          <w:tcPr>
            <w:tcW w:w="1417" w:type="dxa"/>
            <w:noWrap/>
            <w:hideMark/>
          </w:tcPr>
          <w:p w14:paraId="1E93049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839" w:type="dxa"/>
            <w:noWrap/>
            <w:hideMark/>
          </w:tcPr>
          <w:p w14:paraId="0923E4F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18-24</w:t>
            </w:r>
          </w:p>
        </w:tc>
        <w:tc>
          <w:tcPr>
            <w:tcW w:w="1525" w:type="dxa"/>
            <w:noWrap/>
            <w:hideMark/>
          </w:tcPr>
          <w:p w14:paraId="4113452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-4.84 (-4.87, 0.000431)</w:t>
            </w:r>
          </w:p>
        </w:tc>
        <w:tc>
          <w:tcPr>
            <w:tcW w:w="1843" w:type="dxa"/>
            <w:noWrap/>
            <w:hideMark/>
          </w:tcPr>
          <w:p w14:paraId="1B509AD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0.00225 (-4.87, 0.000431)</w:t>
            </w:r>
          </w:p>
        </w:tc>
        <w:tc>
          <w:tcPr>
            <w:tcW w:w="1843" w:type="dxa"/>
            <w:noWrap/>
            <w:hideMark/>
          </w:tcPr>
          <w:p w14:paraId="7E513AB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-6.12e-05 (-4.87, 0.000431)</w:t>
            </w:r>
          </w:p>
        </w:tc>
        <w:tc>
          <w:tcPr>
            <w:tcW w:w="1701" w:type="dxa"/>
            <w:noWrap/>
            <w:hideMark/>
          </w:tcPr>
          <w:p w14:paraId="0D466E0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0.0236 (-4.87, 0.000431)</w:t>
            </w:r>
          </w:p>
        </w:tc>
        <w:tc>
          <w:tcPr>
            <w:tcW w:w="2126" w:type="dxa"/>
            <w:noWrap/>
            <w:hideMark/>
          </w:tcPr>
          <w:p w14:paraId="61F8AE0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-0.101 (-4.87, 0.000431)</w:t>
            </w:r>
          </w:p>
        </w:tc>
      </w:tr>
      <w:tr w:rsidR="004B17DA" w:rsidRPr="0059677A" w14:paraId="2F09FABA" w14:textId="77777777" w:rsidTr="0023370D">
        <w:trPr>
          <w:trHeight w:val="300"/>
        </w:trPr>
        <w:tc>
          <w:tcPr>
            <w:tcW w:w="1417" w:type="dxa"/>
            <w:noWrap/>
            <w:hideMark/>
          </w:tcPr>
          <w:p w14:paraId="5BDC49E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839" w:type="dxa"/>
            <w:noWrap/>
            <w:hideMark/>
          </w:tcPr>
          <w:p w14:paraId="2D0BB0D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25-45</w:t>
            </w:r>
          </w:p>
        </w:tc>
        <w:tc>
          <w:tcPr>
            <w:tcW w:w="1525" w:type="dxa"/>
            <w:noWrap/>
            <w:hideMark/>
          </w:tcPr>
          <w:p w14:paraId="348C932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-5.36 (-5.4, -6.22e-05)</w:t>
            </w:r>
          </w:p>
        </w:tc>
        <w:tc>
          <w:tcPr>
            <w:tcW w:w="1843" w:type="dxa"/>
            <w:noWrap/>
            <w:hideMark/>
          </w:tcPr>
          <w:p w14:paraId="0FF637F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0.00164 (-5.4, -6.22e-05)</w:t>
            </w:r>
          </w:p>
        </w:tc>
        <w:tc>
          <w:tcPr>
            <w:tcW w:w="1843" w:type="dxa"/>
            <w:noWrap/>
            <w:hideMark/>
          </w:tcPr>
          <w:p w14:paraId="73CD5DF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-3.87e-05 (-5.4, -6.22e-05)</w:t>
            </w:r>
          </w:p>
        </w:tc>
        <w:tc>
          <w:tcPr>
            <w:tcW w:w="1701" w:type="dxa"/>
            <w:noWrap/>
            <w:hideMark/>
          </w:tcPr>
          <w:p w14:paraId="289B7E4A"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0.0201 (-5.4, -6.22e-05)</w:t>
            </w:r>
          </w:p>
        </w:tc>
        <w:tc>
          <w:tcPr>
            <w:tcW w:w="2126" w:type="dxa"/>
            <w:noWrap/>
            <w:hideMark/>
          </w:tcPr>
          <w:p w14:paraId="7048AC6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-0.0852 (-5.4, -6.22e-05)</w:t>
            </w:r>
          </w:p>
        </w:tc>
      </w:tr>
      <w:tr w:rsidR="004B17DA" w:rsidRPr="0059677A" w14:paraId="6F542B66" w14:textId="77777777" w:rsidTr="0023370D">
        <w:trPr>
          <w:trHeight w:val="300"/>
        </w:trPr>
        <w:tc>
          <w:tcPr>
            <w:tcW w:w="1417" w:type="dxa"/>
            <w:noWrap/>
            <w:hideMark/>
          </w:tcPr>
          <w:p w14:paraId="2CE4843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839" w:type="dxa"/>
            <w:noWrap/>
            <w:hideMark/>
          </w:tcPr>
          <w:p w14:paraId="55B1193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46-69</w:t>
            </w:r>
          </w:p>
        </w:tc>
        <w:tc>
          <w:tcPr>
            <w:tcW w:w="1525" w:type="dxa"/>
            <w:noWrap/>
            <w:hideMark/>
          </w:tcPr>
          <w:p w14:paraId="0621D1D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-5.27 (-5.3, 0.000253)</w:t>
            </w:r>
          </w:p>
        </w:tc>
        <w:tc>
          <w:tcPr>
            <w:tcW w:w="1843" w:type="dxa"/>
            <w:noWrap/>
            <w:hideMark/>
          </w:tcPr>
          <w:p w14:paraId="5A7AE92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0.00168 (-5.3, 0.000253)</w:t>
            </w:r>
          </w:p>
        </w:tc>
        <w:tc>
          <w:tcPr>
            <w:tcW w:w="1843" w:type="dxa"/>
            <w:noWrap/>
            <w:hideMark/>
          </w:tcPr>
          <w:p w14:paraId="38509AF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-2.98e-05 (-5.3, 0.000253)</w:t>
            </w:r>
          </w:p>
        </w:tc>
        <w:tc>
          <w:tcPr>
            <w:tcW w:w="1701" w:type="dxa"/>
            <w:noWrap/>
            <w:hideMark/>
          </w:tcPr>
          <w:p w14:paraId="07570A3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0.0114 (-5.3, 0.000253)</w:t>
            </w:r>
          </w:p>
        </w:tc>
        <w:tc>
          <w:tcPr>
            <w:tcW w:w="2126" w:type="dxa"/>
            <w:noWrap/>
            <w:hideMark/>
          </w:tcPr>
          <w:p w14:paraId="312EE6A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-0.0812 (-5.3, 0.000253)</w:t>
            </w:r>
          </w:p>
        </w:tc>
      </w:tr>
      <w:tr w:rsidR="004B17DA" w:rsidRPr="0059677A" w14:paraId="65DAACA9" w14:textId="77777777" w:rsidTr="0023370D">
        <w:trPr>
          <w:trHeight w:val="300"/>
        </w:trPr>
        <w:tc>
          <w:tcPr>
            <w:tcW w:w="1417" w:type="dxa"/>
            <w:noWrap/>
            <w:hideMark/>
          </w:tcPr>
          <w:p w14:paraId="0B11DCD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839" w:type="dxa"/>
            <w:noWrap/>
            <w:hideMark/>
          </w:tcPr>
          <w:p w14:paraId="4753116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70-84</w:t>
            </w:r>
          </w:p>
        </w:tc>
        <w:tc>
          <w:tcPr>
            <w:tcW w:w="1525" w:type="dxa"/>
            <w:noWrap/>
            <w:hideMark/>
          </w:tcPr>
          <w:p w14:paraId="58CEA32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-4.81 (-4.84, 0.000701)</w:t>
            </w:r>
          </w:p>
        </w:tc>
        <w:tc>
          <w:tcPr>
            <w:tcW w:w="1843" w:type="dxa"/>
            <w:noWrap/>
            <w:hideMark/>
          </w:tcPr>
          <w:p w14:paraId="0A571FF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0.00216 (-4.84, 0.000701)</w:t>
            </w:r>
          </w:p>
        </w:tc>
        <w:tc>
          <w:tcPr>
            <w:tcW w:w="1843" w:type="dxa"/>
            <w:noWrap/>
            <w:hideMark/>
          </w:tcPr>
          <w:p w14:paraId="4B71EAB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-2.85e-05 (-4.84, 0.000701)</w:t>
            </w:r>
          </w:p>
        </w:tc>
        <w:tc>
          <w:tcPr>
            <w:tcW w:w="1701" w:type="dxa"/>
            <w:noWrap/>
            <w:hideMark/>
          </w:tcPr>
          <w:p w14:paraId="6C458FB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-0.00206 (-4.84, 0.000701)</w:t>
            </w:r>
          </w:p>
        </w:tc>
        <w:tc>
          <w:tcPr>
            <w:tcW w:w="2126" w:type="dxa"/>
            <w:noWrap/>
            <w:hideMark/>
          </w:tcPr>
          <w:p w14:paraId="43A6821F"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-0.0564 (-4.84, 0.000701)</w:t>
            </w:r>
          </w:p>
        </w:tc>
      </w:tr>
      <w:tr w:rsidR="004B17DA" w:rsidRPr="0059677A" w14:paraId="3C941B56" w14:textId="77777777" w:rsidTr="0023370D">
        <w:trPr>
          <w:trHeight w:val="300"/>
        </w:trPr>
        <w:tc>
          <w:tcPr>
            <w:tcW w:w="1417" w:type="dxa"/>
            <w:noWrap/>
            <w:hideMark/>
          </w:tcPr>
          <w:p w14:paraId="111EC19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Female UTIs</w:t>
            </w:r>
          </w:p>
        </w:tc>
        <w:tc>
          <w:tcPr>
            <w:tcW w:w="839" w:type="dxa"/>
            <w:noWrap/>
            <w:hideMark/>
          </w:tcPr>
          <w:p w14:paraId="63F56A7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85+</w:t>
            </w:r>
          </w:p>
        </w:tc>
        <w:tc>
          <w:tcPr>
            <w:tcW w:w="1525" w:type="dxa"/>
            <w:noWrap/>
            <w:hideMark/>
          </w:tcPr>
          <w:p w14:paraId="5901277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-4.81 (-4.84, 0.000701)</w:t>
            </w:r>
          </w:p>
        </w:tc>
        <w:tc>
          <w:tcPr>
            <w:tcW w:w="1843" w:type="dxa"/>
            <w:noWrap/>
            <w:hideMark/>
          </w:tcPr>
          <w:p w14:paraId="1C533BA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0.00216 (-4.84, 0.000701)</w:t>
            </w:r>
          </w:p>
        </w:tc>
        <w:tc>
          <w:tcPr>
            <w:tcW w:w="1843" w:type="dxa"/>
            <w:noWrap/>
            <w:hideMark/>
          </w:tcPr>
          <w:p w14:paraId="4025079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-2.85e-05 (-4.84, 0.000701)</w:t>
            </w:r>
          </w:p>
        </w:tc>
        <w:tc>
          <w:tcPr>
            <w:tcW w:w="1701" w:type="dxa"/>
            <w:noWrap/>
            <w:hideMark/>
          </w:tcPr>
          <w:p w14:paraId="67A1A22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-0.00206 (-4.84, 0.000701)</w:t>
            </w:r>
          </w:p>
        </w:tc>
        <w:tc>
          <w:tcPr>
            <w:tcW w:w="2126" w:type="dxa"/>
            <w:noWrap/>
            <w:hideMark/>
          </w:tcPr>
          <w:p w14:paraId="3ED6414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-0.0564 (-4.84, 0.000701)</w:t>
            </w:r>
          </w:p>
        </w:tc>
      </w:tr>
      <w:tr w:rsidR="004B17DA" w:rsidRPr="0059677A" w14:paraId="10948BAC" w14:textId="77777777" w:rsidTr="0023370D">
        <w:trPr>
          <w:trHeight w:val="300"/>
        </w:trPr>
        <w:tc>
          <w:tcPr>
            <w:tcW w:w="1417" w:type="dxa"/>
            <w:noWrap/>
            <w:hideMark/>
          </w:tcPr>
          <w:p w14:paraId="18E98F7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839" w:type="dxa"/>
            <w:noWrap/>
            <w:hideMark/>
          </w:tcPr>
          <w:p w14:paraId="53312D7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14-17</w:t>
            </w:r>
          </w:p>
        </w:tc>
        <w:tc>
          <w:tcPr>
            <w:tcW w:w="1525" w:type="dxa"/>
            <w:noWrap/>
            <w:hideMark/>
          </w:tcPr>
          <w:p w14:paraId="20AAA77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 xml:space="preserve">-8.43 (-8.61, </w:t>
            </w:r>
            <w:r w:rsidRPr="0059677A">
              <w:rPr>
                <w:rFonts w:eastAsia="Times New Roman" w:cs="Arial"/>
                <w:color w:val="000000"/>
                <w:sz w:val="22"/>
                <w:lang w:eastAsia="en-GB"/>
              </w:rPr>
              <w:lastRenderedPageBreak/>
              <w:t>-0.00787)</w:t>
            </w:r>
          </w:p>
        </w:tc>
        <w:tc>
          <w:tcPr>
            <w:tcW w:w="1843" w:type="dxa"/>
            <w:noWrap/>
            <w:hideMark/>
          </w:tcPr>
          <w:p w14:paraId="4DE6792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lastRenderedPageBreak/>
              <w:t>0.00113 (-8.61, -</w:t>
            </w:r>
            <w:r w:rsidRPr="0059677A">
              <w:rPr>
                <w:rFonts w:eastAsia="Times New Roman" w:cs="Arial"/>
                <w:color w:val="000000"/>
                <w:sz w:val="22"/>
                <w:lang w:eastAsia="en-GB"/>
              </w:rPr>
              <w:lastRenderedPageBreak/>
              <w:t>0.00787)</w:t>
            </w:r>
          </w:p>
        </w:tc>
        <w:tc>
          <w:tcPr>
            <w:tcW w:w="1843" w:type="dxa"/>
            <w:noWrap/>
            <w:hideMark/>
          </w:tcPr>
          <w:p w14:paraId="1DC1FA7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lastRenderedPageBreak/>
              <w:t>-6.03e-05 (-</w:t>
            </w:r>
            <w:r w:rsidRPr="0059677A">
              <w:rPr>
                <w:rFonts w:eastAsia="Times New Roman" w:cs="Arial"/>
                <w:color w:val="000000"/>
                <w:sz w:val="22"/>
                <w:lang w:eastAsia="en-GB"/>
              </w:rPr>
              <w:lastRenderedPageBreak/>
              <w:t>8.61, -0.00787)</w:t>
            </w:r>
          </w:p>
        </w:tc>
        <w:tc>
          <w:tcPr>
            <w:tcW w:w="1701" w:type="dxa"/>
            <w:noWrap/>
            <w:hideMark/>
          </w:tcPr>
          <w:p w14:paraId="35B1D33D"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lastRenderedPageBreak/>
              <w:t xml:space="preserve">0.0924 (-8.61, </w:t>
            </w:r>
            <w:r w:rsidRPr="0059677A">
              <w:rPr>
                <w:rFonts w:eastAsia="Times New Roman" w:cs="Arial"/>
                <w:color w:val="000000"/>
                <w:sz w:val="22"/>
                <w:lang w:eastAsia="en-GB"/>
              </w:rPr>
              <w:lastRenderedPageBreak/>
              <w:t>-0.00787)</w:t>
            </w:r>
          </w:p>
        </w:tc>
        <w:tc>
          <w:tcPr>
            <w:tcW w:w="2126" w:type="dxa"/>
            <w:noWrap/>
            <w:hideMark/>
          </w:tcPr>
          <w:p w14:paraId="02018D4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lastRenderedPageBreak/>
              <w:t>0.0412 (-8.61, -</w:t>
            </w:r>
            <w:r w:rsidRPr="0059677A">
              <w:rPr>
                <w:rFonts w:eastAsia="Times New Roman" w:cs="Arial"/>
                <w:color w:val="000000"/>
                <w:sz w:val="22"/>
                <w:lang w:eastAsia="en-GB"/>
              </w:rPr>
              <w:lastRenderedPageBreak/>
              <w:t>0.00787)</w:t>
            </w:r>
          </w:p>
        </w:tc>
      </w:tr>
      <w:tr w:rsidR="004B17DA" w:rsidRPr="0059677A" w14:paraId="2C9A2264" w14:textId="77777777" w:rsidTr="0023370D">
        <w:trPr>
          <w:trHeight w:val="300"/>
        </w:trPr>
        <w:tc>
          <w:tcPr>
            <w:tcW w:w="1417" w:type="dxa"/>
            <w:noWrap/>
            <w:hideMark/>
          </w:tcPr>
          <w:p w14:paraId="2DBEFA8A"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lastRenderedPageBreak/>
              <w:t>Male UTIs</w:t>
            </w:r>
          </w:p>
        </w:tc>
        <w:tc>
          <w:tcPr>
            <w:tcW w:w="839" w:type="dxa"/>
            <w:noWrap/>
            <w:hideMark/>
          </w:tcPr>
          <w:p w14:paraId="129E3B5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18-24</w:t>
            </w:r>
          </w:p>
        </w:tc>
        <w:tc>
          <w:tcPr>
            <w:tcW w:w="1525" w:type="dxa"/>
            <w:noWrap/>
            <w:hideMark/>
          </w:tcPr>
          <w:p w14:paraId="5B56CC0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-8.08 (-8.19, -0.00684)</w:t>
            </w:r>
          </w:p>
        </w:tc>
        <w:tc>
          <w:tcPr>
            <w:tcW w:w="1843" w:type="dxa"/>
            <w:noWrap/>
            <w:hideMark/>
          </w:tcPr>
          <w:p w14:paraId="2BDDD91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-0.00185 (-8.19, -0.00684)</w:t>
            </w:r>
          </w:p>
        </w:tc>
        <w:tc>
          <w:tcPr>
            <w:tcW w:w="1843" w:type="dxa"/>
            <w:noWrap/>
            <w:hideMark/>
          </w:tcPr>
          <w:p w14:paraId="78DE628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-3.08e-05 (-8.19, -0.00684)</w:t>
            </w:r>
          </w:p>
        </w:tc>
        <w:tc>
          <w:tcPr>
            <w:tcW w:w="1701" w:type="dxa"/>
            <w:noWrap/>
            <w:hideMark/>
          </w:tcPr>
          <w:p w14:paraId="0676DC1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0.0383 (-8.19, -0.00684)</w:t>
            </w:r>
          </w:p>
        </w:tc>
        <w:tc>
          <w:tcPr>
            <w:tcW w:w="2126" w:type="dxa"/>
            <w:noWrap/>
            <w:hideMark/>
          </w:tcPr>
          <w:p w14:paraId="18E537CB"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-0.0673 (-8.19, -0.00684)</w:t>
            </w:r>
          </w:p>
        </w:tc>
      </w:tr>
      <w:tr w:rsidR="004B17DA" w:rsidRPr="0059677A" w14:paraId="6574323C" w14:textId="77777777" w:rsidTr="0023370D">
        <w:trPr>
          <w:trHeight w:val="300"/>
        </w:trPr>
        <w:tc>
          <w:tcPr>
            <w:tcW w:w="1417" w:type="dxa"/>
            <w:noWrap/>
            <w:hideMark/>
          </w:tcPr>
          <w:p w14:paraId="3026204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839" w:type="dxa"/>
            <w:noWrap/>
            <w:hideMark/>
          </w:tcPr>
          <w:p w14:paraId="41B14EB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25-45</w:t>
            </w:r>
          </w:p>
        </w:tc>
        <w:tc>
          <w:tcPr>
            <w:tcW w:w="1525" w:type="dxa"/>
            <w:noWrap/>
            <w:hideMark/>
          </w:tcPr>
          <w:p w14:paraId="4A256CD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-7.8 (-7.85, -0.00216)</w:t>
            </w:r>
          </w:p>
        </w:tc>
        <w:tc>
          <w:tcPr>
            <w:tcW w:w="1843" w:type="dxa"/>
            <w:noWrap/>
            <w:hideMark/>
          </w:tcPr>
          <w:p w14:paraId="18CC597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0.000213 (-7.85, -0.00216)</w:t>
            </w:r>
          </w:p>
        </w:tc>
        <w:tc>
          <w:tcPr>
            <w:tcW w:w="1843" w:type="dxa"/>
            <w:noWrap/>
            <w:hideMark/>
          </w:tcPr>
          <w:p w14:paraId="7290949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-3.67e-05 (-7.85, -0.00216)</w:t>
            </w:r>
          </w:p>
        </w:tc>
        <w:tc>
          <w:tcPr>
            <w:tcW w:w="1701" w:type="dxa"/>
            <w:noWrap/>
            <w:hideMark/>
          </w:tcPr>
          <w:p w14:paraId="2FA0B8A6"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0.028 (-7.85, -0.00216)</w:t>
            </w:r>
          </w:p>
        </w:tc>
        <w:tc>
          <w:tcPr>
            <w:tcW w:w="2126" w:type="dxa"/>
            <w:noWrap/>
            <w:hideMark/>
          </w:tcPr>
          <w:p w14:paraId="43D88BB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-0.0499 (-7.85, -0.00216)</w:t>
            </w:r>
          </w:p>
        </w:tc>
      </w:tr>
      <w:tr w:rsidR="004B17DA" w:rsidRPr="0059677A" w14:paraId="00C4CF3B" w14:textId="77777777" w:rsidTr="0023370D">
        <w:trPr>
          <w:trHeight w:val="300"/>
        </w:trPr>
        <w:tc>
          <w:tcPr>
            <w:tcW w:w="1417" w:type="dxa"/>
            <w:noWrap/>
            <w:hideMark/>
          </w:tcPr>
          <w:p w14:paraId="35B80A5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839" w:type="dxa"/>
            <w:noWrap/>
            <w:hideMark/>
          </w:tcPr>
          <w:p w14:paraId="70710CE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46-69</w:t>
            </w:r>
          </w:p>
        </w:tc>
        <w:tc>
          <w:tcPr>
            <w:tcW w:w="1525" w:type="dxa"/>
            <w:noWrap/>
            <w:hideMark/>
          </w:tcPr>
          <w:p w14:paraId="3C08282C"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-6.97 (-7.01, -0.000274)</w:t>
            </w:r>
          </w:p>
        </w:tc>
        <w:tc>
          <w:tcPr>
            <w:tcW w:w="1843" w:type="dxa"/>
            <w:noWrap/>
            <w:hideMark/>
          </w:tcPr>
          <w:p w14:paraId="1FF9F36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0.0015 (-7.01, -0.000274)</w:t>
            </w:r>
          </w:p>
        </w:tc>
        <w:tc>
          <w:tcPr>
            <w:tcW w:w="1843" w:type="dxa"/>
            <w:noWrap/>
            <w:hideMark/>
          </w:tcPr>
          <w:p w14:paraId="52FAB072"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-2.24e-05 (-7.01, -0.000274)</w:t>
            </w:r>
          </w:p>
        </w:tc>
        <w:tc>
          <w:tcPr>
            <w:tcW w:w="1701" w:type="dxa"/>
            <w:noWrap/>
            <w:hideMark/>
          </w:tcPr>
          <w:p w14:paraId="764FE7F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0.00462 (-7.01, -0.000274)</w:t>
            </w:r>
          </w:p>
        </w:tc>
        <w:tc>
          <w:tcPr>
            <w:tcW w:w="2126" w:type="dxa"/>
            <w:noWrap/>
            <w:hideMark/>
          </w:tcPr>
          <w:p w14:paraId="7282034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-0.0508 (-7.01, -0.000274)</w:t>
            </w:r>
          </w:p>
        </w:tc>
      </w:tr>
      <w:tr w:rsidR="004B17DA" w:rsidRPr="0059677A" w14:paraId="2E3D4396" w14:textId="77777777" w:rsidTr="0023370D">
        <w:trPr>
          <w:trHeight w:val="300"/>
        </w:trPr>
        <w:tc>
          <w:tcPr>
            <w:tcW w:w="1417" w:type="dxa"/>
            <w:noWrap/>
            <w:hideMark/>
          </w:tcPr>
          <w:p w14:paraId="194EB778"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839" w:type="dxa"/>
            <w:noWrap/>
            <w:hideMark/>
          </w:tcPr>
          <w:p w14:paraId="7BE1307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70-84</w:t>
            </w:r>
          </w:p>
        </w:tc>
        <w:tc>
          <w:tcPr>
            <w:tcW w:w="1525" w:type="dxa"/>
            <w:noWrap/>
            <w:hideMark/>
          </w:tcPr>
          <w:p w14:paraId="090C26B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-5.84 (-5.88, 0.00151)</w:t>
            </w:r>
          </w:p>
        </w:tc>
        <w:tc>
          <w:tcPr>
            <w:tcW w:w="1843" w:type="dxa"/>
            <w:noWrap/>
            <w:hideMark/>
          </w:tcPr>
          <w:p w14:paraId="323643D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0.00323 (-5.88, 0.00151)</w:t>
            </w:r>
          </w:p>
        </w:tc>
        <w:tc>
          <w:tcPr>
            <w:tcW w:w="1843" w:type="dxa"/>
            <w:noWrap/>
            <w:hideMark/>
          </w:tcPr>
          <w:p w14:paraId="66D4CD7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-3.39e-05 (-5.88, 0.00151)</w:t>
            </w:r>
          </w:p>
        </w:tc>
        <w:tc>
          <w:tcPr>
            <w:tcW w:w="1701" w:type="dxa"/>
            <w:noWrap/>
            <w:hideMark/>
          </w:tcPr>
          <w:p w14:paraId="0CDB49F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-0.0071 (-5.88, 0.00151)</w:t>
            </w:r>
          </w:p>
        </w:tc>
        <w:tc>
          <w:tcPr>
            <w:tcW w:w="2126" w:type="dxa"/>
            <w:noWrap/>
            <w:hideMark/>
          </w:tcPr>
          <w:p w14:paraId="53B051C1"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-0.036 (-5.88, 0.00151)</w:t>
            </w:r>
          </w:p>
        </w:tc>
      </w:tr>
      <w:tr w:rsidR="004B17DA" w:rsidRPr="0059677A" w14:paraId="3F95A3CB" w14:textId="77777777" w:rsidTr="0023370D">
        <w:trPr>
          <w:trHeight w:val="300"/>
        </w:trPr>
        <w:tc>
          <w:tcPr>
            <w:tcW w:w="1417" w:type="dxa"/>
            <w:noWrap/>
            <w:hideMark/>
          </w:tcPr>
          <w:p w14:paraId="7F56AF99"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Male UTIs</w:t>
            </w:r>
          </w:p>
        </w:tc>
        <w:tc>
          <w:tcPr>
            <w:tcW w:w="839" w:type="dxa"/>
            <w:noWrap/>
            <w:hideMark/>
          </w:tcPr>
          <w:p w14:paraId="3B9B862E"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85+</w:t>
            </w:r>
          </w:p>
        </w:tc>
        <w:tc>
          <w:tcPr>
            <w:tcW w:w="1525" w:type="dxa"/>
            <w:noWrap/>
            <w:hideMark/>
          </w:tcPr>
          <w:p w14:paraId="58776774"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-5.84 (-5.88, 0.00151)</w:t>
            </w:r>
          </w:p>
        </w:tc>
        <w:tc>
          <w:tcPr>
            <w:tcW w:w="1843" w:type="dxa"/>
            <w:noWrap/>
            <w:hideMark/>
          </w:tcPr>
          <w:p w14:paraId="77C8B7B0"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0.00323 (-5.88, 0.00151)</w:t>
            </w:r>
          </w:p>
        </w:tc>
        <w:tc>
          <w:tcPr>
            <w:tcW w:w="1843" w:type="dxa"/>
            <w:noWrap/>
            <w:hideMark/>
          </w:tcPr>
          <w:p w14:paraId="6A3BC003"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-3.39e-05 (-5.88, 0.00151)</w:t>
            </w:r>
          </w:p>
        </w:tc>
        <w:tc>
          <w:tcPr>
            <w:tcW w:w="1701" w:type="dxa"/>
            <w:noWrap/>
            <w:hideMark/>
          </w:tcPr>
          <w:p w14:paraId="114234A5"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-0.0071 (-5.88, 0.00151)</w:t>
            </w:r>
          </w:p>
        </w:tc>
        <w:tc>
          <w:tcPr>
            <w:tcW w:w="2126" w:type="dxa"/>
            <w:noWrap/>
            <w:hideMark/>
          </w:tcPr>
          <w:p w14:paraId="33EA5397" w14:textId="77777777" w:rsidR="004B17DA" w:rsidRPr="0059677A" w:rsidRDefault="004B17DA" w:rsidP="0023370D">
            <w:pPr>
              <w:spacing w:line="240" w:lineRule="auto"/>
              <w:jc w:val="left"/>
              <w:rPr>
                <w:rFonts w:eastAsia="Times New Roman" w:cs="Arial"/>
                <w:color w:val="000000"/>
                <w:sz w:val="22"/>
                <w:lang w:eastAsia="en-GB"/>
              </w:rPr>
            </w:pPr>
            <w:r w:rsidRPr="0059677A">
              <w:rPr>
                <w:rFonts w:eastAsia="Times New Roman" w:cs="Arial"/>
                <w:color w:val="000000"/>
                <w:sz w:val="22"/>
                <w:lang w:eastAsia="en-GB"/>
              </w:rPr>
              <w:t>-0.036 (-5.88, 0.00151)</w:t>
            </w:r>
          </w:p>
        </w:tc>
      </w:tr>
    </w:tbl>
    <w:p w14:paraId="52572E89" w14:textId="77777777" w:rsidR="00DD5C0F" w:rsidRPr="0059677A" w:rsidRDefault="00DD5C0F">
      <w:pPr>
        <w:spacing w:line="276" w:lineRule="auto"/>
        <w:jc w:val="left"/>
        <w:rPr>
          <w:rFonts w:cs="Arial"/>
          <w:b/>
          <w:bCs/>
          <w:sz w:val="18"/>
          <w:szCs w:val="18"/>
        </w:rPr>
      </w:pPr>
      <w:r w:rsidRPr="0059677A">
        <w:rPr>
          <w:rFonts w:cs="Arial"/>
        </w:rPr>
        <w:br w:type="page"/>
      </w:r>
    </w:p>
    <w:p w14:paraId="3F8B6F1B" w14:textId="5A793CC9" w:rsidR="004B17DA" w:rsidRPr="0059677A" w:rsidRDefault="004B17DA" w:rsidP="004B17DA">
      <w:pPr>
        <w:pStyle w:val="Caption"/>
        <w:keepNext/>
        <w:spacing w:line="480" w:lineRule="auto"/>
        <w:rPr>
          <w:rFonts w:cs="Arial"/>
          <w:b w:val="0"/>
          <w:color w:val="auto"/>
        </w:rPr>
      </w:pPr>
      <w:r w:rsidRPr="0059677A">
        <w:rPr>
          <w:rFonts w:cs="Arial"/>
          <w:color w:val="auto"/>
        </w:rPr>
        <w:lastRenderedPageBreak/>
        <w:t xml:space="preserve">Table </w:t>
      </w:r>
      <w:r w:rsidR="00552563">
        <w:rPr>
          <w:rFonts w:cs="Arial"/>
          <w:color w:val="auto"/>
        </w:rPr>
        <w:t>S4</w:t>
      </w:r>
      <w:r w:rsidRPr="0059677A">
        <w:rPr>
          <w:rFonts w:cs="Arial"/>
          <w:color w:val="auto"/>
        </w:rPr>
        <w:t xml:space="preserve">. </w:t>
      </w:r>
      <w:proofErr w:type="gramStart"/>
      <w:r w:rsidRPr="0059677A">
        <w:rPr>
          <w:rFonts w:cs="Arial"/>
          <w:color w:val="auto"/>
        </w:rPr>
        <w:t>Month of the year with the highest number of UTI consultations or trimethoprim and nitrofurantoin prescriptions by age group.</w:t>
      </w:r>
      <w:proofErr w:type="gramEnd"/>
      <w:r w:rsidRPr="0059677A">
        <w:rPr>
          <w:rFonts w:cs="Arial"/>
          <w:color w:val="auto"/>
        </w:rPr>
        <w:t xml:space="preserve"> </w:t>
      </w:r>
      <w:r w:rsidRPr="0059677A">
        <w:rPr>
          <w:rFonts w:cs="Arial"/>
          <w:b w:val="0"/>
          <w:color w:val="auto"/>
        </w:rPr>
        <w:t>In brackets, the rate of UTI consultations or trimethoprim and nitrofurantoin prescriptions per 100,000 person years for that month.</w:t>
      </w:r>
    </w:p>
    <w:tbl>
      <w:tblPr>
        <w:tblStyle w:val="TableGrid"/>
        <w:tblW w:w="12157" w:type="dxa"/>
        <w:tblLayout w:type="fixed"/>
        <w:tblLook w:val="0000" w:firstRow="0" w:lastRow="0" w:firstColumn="0" w:lastColumn="0" w:noHBand="0" w:noVBand="0"/>
      </w:tblPr>
      <w:tblGrid>
        <w:gridCol w:w="1032"/>
        <w:gridCol w:w="1911"/>
        <w:gridCol w:w="2268"/>
        <w:gridCol w:w="1701"/>
        <w:gridCol w:w="1843"/>
        <w:gridCol w:w="1559"/>
        <w:gridCol w:w="1843"/>
      </w:tblGrid>
      <w:tr w:rsidR="004B17DA" w:rsidRPr="0059677A" w14:paraId="3870301B" w14:textId="77777777" w:rsidTr="0023370D">
        <w:trPr>
          <w:trHeight w:val="290"/>
        </w:trPr>
        <w:tc>
          <w:tcPr>
            <w:tcW w:w="1032" w:type="dxa"/>
          </w:tcPr>
          <w:p w14:paraId="63324250"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Date</w:t>
            </w:r>
          </w:p>
        </w:tc>
        <w:tc>
          <w:tcPr>
            <w:tcW w:w="1911" w:type="dxa"/>
          </w:tcPr>
          <w:p w14:paraId="1A26D94C"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Trimethoprim and nitrofurantoin prescriptions in the UK &lt;85</w:t>
            </w:r>
          </w:p>
        </w:tc>
        <w:tc>
          <w:tcPr>
            <w:tcW w:w="2268" w:type="dxa"/>
          </w:tcPr>
          <w:p w14:paraId="5F6AF11B"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Trimethoprim and nitrofurantoin prescriptions in the UK 85+</w:t>
            </w:r>
          </w:p>
        </w:tc>
        <w:tc>
          <w:tcPr>
            <w:tcW w:w="1701" w:type="dxa"/>
          </w:tcPr>
          <w:p w14:paraId="24B07100"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UTI consultations in the UK &lt;85</w:t>
            </w:r>
          </w:p>
        </w:tc>
        <w:tc>
          <w:tcPr>
            <w:tcW w:w="1843" w:type="dxa"/>
          </w:tcPr>
          <w:p w14:paraId="1FEBDED3"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UTI consultations in the UK 85+</w:t>
            </w:r>
          </w:p>
        </w:tc>
        <w:tc>
          <w:tcPr>
            <w:tcW w:w="1559" w:type="dxa"/>
          </w:tcPr>
          <w:p w14:paraId="36D0059E"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UTI consultations in England &lt;85</w:t>
            </w:r>
          </w:p>
        </w:tc>
        <w:tc>
          <w:tcPr>
            <w:tcW w:w="1843" w:type="dxa"/>
          </w:tcPr>
          <w:p w14:paraId="65744461"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UTI consultations in England 85+</w:t>
            </w:r>
          </w:p>
        </w:tc>
      </w:tr>
      <w:tr w:rsidR="004B17DA" w:rsidRPr="0059677A" w14:paraId="3B29F87A" w14:textId="77777777" w:rsidTr="0023370D">
        <w:trPr>
          <w:trHeight w:val="290"/>
        </w:trPr>
        <w:tc>
          <w:tcPr>
            <w:tcW w:w="1032" w:type="dxa"/>
          </w:tcPr>
          <w:p w14:paraId="42F240BE"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2008</w:t>
            </w:r>
          </w:p>
        </w:tc>
        <w:tc>
          <w:tcPr>
            <w:tcW w:w="1911" w:type="dxa"/>
          </w:tcPr>
          <w:p w14:paraId="62AA970F"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(515.08)</w:t>
            </w:r>
          </w:p>
        </w:tc>
        <w:tc>
          <w:tcPr>
            <w:tcW w:w="2268" w:type="dxa"/>
            <w:shd w:val="clear" w:color="auto" w:fill="D9D9D9" w:themeFill="background1" w:themeFillShade="D9"/>
          </w:tcPr>
          <w:p w14:paraId="4571F2B7"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(1886.24)</w:t>
            </w:r>
          </w:p>
        </w:tc>
        <w:tc>
          <w:tcPr>
            <w:tcW w:w="1701" w:type="dxa"/>
          </w:tcPr>
          <w:p w14:paraId="3F792F45"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(352.52)</w:t>
            </w:r>
          </w:p>
        </w:tc>
        <w:tc>
          <w:tcPr>
            <w:tcW w:w="1843" w:type="dxa"/>
            <w:shd w:val="clear" w:color="auto" w:fill="D9D9D9" w:themeFill="background1" w:themeFillShade="D9"/>
          </w:tcPr>
          <w:p w14:paraId="27174D46"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(922.37)</w:t>
            </w:r>
          </w:p>
        </w:tc>
        <w:tc>
          <w:tcPr>
            <w:tcW w:w="1559" w:type="dxa"/>
          </w:tcPr>
          <w:p w14:paraId="43FC3CCA"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(355.56)</w:t>
            </w:r>
          </w:p>
        </w:tc>
        <w:tc>
          <w:tcPr>
            <w:tcW w:w="1843" w:type="dxa"/>
            <w:shd w:val="clear" w:color="auto" w:fill="D9D9D9" w:themeFill="background1" w:themeFillShade="D9"/>
          </w:tcPr>
          <w:p w14:paraId="3EB4DA5D"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(826.19)</w:t>
            </w:r>
          </w:p>
        </w:tc>
      </w:tr>
      <w:tr w:rsidR="004B17DA" w:rsidRPr="0059677A" w14:paraId="6B23508A" w14:textId="77777777" w:rsidTr="0023370D">
        <w:trPr>
          <w:trHeight w:val="290"/>
        </w:trPr>
        <w:tc>
          <w:tcPr>
            <w:tcW w:w="1032" w:type="dxa"/>
          </w:tcPr>
          <w:p w14:paraId="542E403A"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2009</w:t>
            </w:r>
          </w:p>
        </w:tc>
        <w:tc>
          <w:tcPr>
            <w:tcW w:w="1911" w:type="dxa"/>
          </w:tcPr>
          <w:p w14:paraId="0D62DE18"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(535.13)</w:t>
            </w:r>
          </w:p>
        </w:tc>
        <w:tc>
          <w:tcPr>
            <w:tcW w:w="2268" w:type="dxa"/>
          </w:tcPr>
          <w:p w14:paraId="24EEFD36"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(1622.4)</w:t>
            </w:r>
          </w:p>
        </w:tc>
        <w:tc>
          <w:tcPr>
            <w:tcW w:w="1701" w:type="dxa"/>
          </w:tcPr>
          <w:p w14:paraId="7F74C6D2"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(350.65)</w:t>
            </w:r>
          </w:p>
        </w:tc>
        <w:tc>
          <w:tcPr>
            <w:tcW w:w="1843" w:type="dxa"/>
            <w:shd w:val="clear" w:color="auto" w:fill="D9D9D9" w:themeFill="background1" w:themeFillShade="D9"/>
          </w:tcPr>
          <w:p w14:paraId="3DFC6E0F"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(881.78)</w:t>
            </w:r>
          </w:p>
        </w:tc>
        <w:tc>
          <w:tcPr>
            <w:tcW w:w="1559" w:type="dxa"/>
          </w:tcPr>
          <w:p w14:paraId="18171463"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(352.6)</w:t>
            </w:r>
          </w:p>
        </w:tc>
        <w:tc>
          <w:tcPr>
            <w:tcW w:w="1843" w:type="dxa"/>
            <w:shd w:val="clear" w:color="auto" w:fill="D9D9D9" w:themeFill="background1" w:themeFillShade="D9"/>
          </w:tcPr>
          <w:p w14:paraId="4875D2C3"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(817.95)</w:t>
            </w:r>
          </w:p>
        </w:tc>
      </w:tr>
      <w:tr w:rsidR="004B17DA" w:rsidRPr="0059677A" w14:paraId="052F729C" w14:textId="77777777" w:rsidTr="0023370D">
        <w:trPr>
          <w:trHeight w:val="290"/>
        </w:trPr>
        <w:tc>
          <w:tcPr>
            <w:tcW w:w="1032" w:type="dxa"/>
          </w:tcPr>
          <w:p w14:paraId="44D5A5D5"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2010</w:t>
            </w:r>
          </w:p>
        </w:tc>
        <w:tc>
          <w:tcPr>
            <w:tcW w:w="1911" w:type="dxa"/>
          </w:tcPr>
          <w:p w14:paraId="5347C534"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(554.32)</w:t>
            </w:r>
          </w:p>
        </w:tc>
        <w:tc>
          <w:tcPr>
            <w:tcW w:w="2268" w:type="dxa"/>
            <w:shd w:val="clear" w:color="auto" w:fill="D9D9D9" w:themeFill="background1" w:themeFillShade="D9"/>
          </w:tcPr>
          <w:p w14:paraId="03653A28"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Mar (1612.09)</w:t>
            </w:r>
          </w:p>
        </w:tc>
        <w:tc>
          <w:tcPr>
            <w:tcW w:w="1701" w:type="dxa"/>
          </w:tcPr>
          <w:p w14:paraId="5D74B0F9"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(344.01)</w:t>
            </w:r>
          </w:p>
        </w:tc>
        <w:tc>
          <w:tcPr>
            <w:tcW w:w="1843" w:type="dxa"/>
            <w:shd w:val="clear" w:color="auto" w:fill="D9D9D9" w:themeFill="background1" w:themeFillShade="D9"/>
          </w:tcPr>
          <w:p w14:paraId="60B6333F"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Jul (838.79)</w:t>
            </w:r>
          </w:p>
        </w:tc>
        <w:tc>
          <w:tcPr>
            <w:tcW w:w="1559" w:type="dxa"/>
          </w:tcPr>
          <w:p w14:paraId="48D8DC37"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(339.61)</w:t>
            </w:r>
          </w:p>
        </w:tc>
        <w:tc>
          <w:tcPr>
            <w:tcW w:w="1843" w:type="dxa"/>
            <w:shd w:val="clear" w:color="auto" w:fill="D9D9D9" w:themeFill="background1" w:themeFillShade="D9"/>
          </w:tcPr>
          <w:p w14:paraId="42850C23"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Jul (764.2)</w:t>
            </w:r>
          </w:p>
        </w:tc>
      </w:tr>
      <w:tr w:rsidR="004B17DA" w:rsidRPr="0059677A" w14:paraId="792C6AEE" w14:textId="77777777" w:rsidTr="0023370D">
        <w:trPr>
          <w:trHeight w:val="290"/>
        </w:trPr>
        <w:tc>
          <w:tcPr>
            <w:tcW w:w="1032" w:type="dxa"/>
          </w:tcPr>
          <w:p w14:paraId="084C80A0"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2011</w:t>
            </w:r>
          </w:p>
        </w:tc>
        <w:tc>
          <w:tcPr>
            <w:tcW w:w="1911" w:type="dxa"/>
          </w:tcPr>
          <w:p w14:paraId="79EF2535"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Nov (587.15)</w:t>
            </w:r>
          </w:p>
        </w:tc>
        <w:tc>
          <w:tcPr>
            <w:tcW w:w="2268" w:type="dxa"/>
            <w:shd w:val="clear" w:color="auto" w:fill="D9D9D9" w:themeFill="background1" w:themeFillShade="D9"/>
          </w:tcPr>
          <w:p w14:paraId="66734D1A"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Mar (1653.98)</w:t>
            </w:r>
          </w:p>
        </w:tc>
        <w:tc>
          <w:tcPr>
            <w:tcW w:w="1701" w:type="dxa"/>
          </w:tcPr>
          <w:p w14:paraId="7061B908"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(342.48)</w:t>
            </w:r>
          </w:p>
        </w:tc>
        <w:tc>
          <w:tcPr>
            <w:tcW w:w="1843" w:type="dxa"/>
            <w:shd w:val="clear" w:color="auto" w:fill="D9D9D9" w:themeFill="background1" w:themeFillShade="D9"/>
          </w:tcPr>
          <w:p w14:paraId="700458E5"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Aug (814)</w:t>
            </w:r>
          </w:p>
        </w:tc>
        <w:tc>
          <w:tcPr>
            <w:tcW w:w="1559" w:type="dxa"/>
          </w:tcPr>
          <w:p w14:paraId="71D34618"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(345.05)</w:t>
            </w:r>
          </w:p>
        </w:tc>
        <w:tc>
          <w:tcPr>
            <w:tcW w:w="1843" w:type="dxa"/>
          </w:tcPr>
          <w:p w14:paraId="5134FF21"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Nov (742.15)</w:t>
            </w:r>
          </w:p>
        </w:tc>
      </w:tr>
      <w:tr w:rsidR="004B17DA" w:rsidRPr="0059677A" w14:paraId="6154AA43" w14:textId="77777777" w:rsidTr="0023370D">
        <w:trPr>
          <w:trHeight w:val="290"/>
        </w:trPr>
        <w:tc>
          <w:tcPr>
            <w:tcW w:w="1032" w:type="dxa"/>
          </w:tcPr>
          <w:p w14:paraId="380F136A"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2012</w:t>
            </w:r>
          </w:p>
        </w:tc>
        <w:tc>
          <w:tcPr>
            <w:tcW w:w="1911" w:type="dxa"/>
          </w:tcPr>
          <w:p w14:paraId="35689303"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(621.67)</w:t>
            </w:r>
          </w:p>
        </w:tc>
        <w:tc>
          <w:tcPr>
            <w:tcW w:w="2268" w:type="dxa"/>
            <w:shd w:val="clear" w:color="auto" w:fill="D9D9D9" w:themeFill="background1" w:themeFillShade="D9"/>
          </w:tcPr>
          <w:p w14:paraId="07DCBB33"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(1799.42)</w:t>
            </w:r>
          </w:p>
        </w:tc>
        <w:tc>
          <w:tcPr>
            <w:tcW w:w="1701" w:type="dxa"/>
          </w:tcPr>
          <w:p w14:paraId="3A065697"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(349.52)</w:t>
            </w:r>
          </w:p>
        </w:tc>
        <w:tc>
          <w:tcPr>
            <w:tcW w:w="1843" w:type="dxa"/>
            <w:shd w:val="clear" w:color="auto" w:fill="D9D9D9" w:themeFill="background1" w:themeFillShade="D9"/>
          </w:tcPr>
          <w:p w14:paraId="2034A823"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(817.35)</w:t>
            </w:r>
          </w:p>
        </w:tc>
        <w:tc>
          <w:tcPr>
            <w:tcW w:w="1559" w:type="dxa"/>
          </w:tcPr>
          <w:p w14:paraId="1F2312EB"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(345.29)</w:t>
            </w:r>
          </w:p>
        </w:tc>
        <w:tc>
          <w:tcPr>
            <w:tcW w:w="1843" w:type="dxa"/>
            <w:shd w:val="clear" w:color="auto" w:fill="D9D9D9" w:themeFill="background1" w:themeFillShade="D9"/>
          </w:tcPr>
          <w:p w14:paraId="1F9990CC"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(740.61)</w:t>
            </w:r>
          </w:p>
        </w:tc>
      </w:tr>
      <w:tr w:rsidR="004B17DA" w:rsidRPr="0059677A" w14:paraId="71C127F5" w14:textId="77777777" w:rsidTr="0023370D">
        <w:trPr>
          <w:trHeight w:val="290"/>
        </w:trPr>
        <w:tc>
          <w:tcPr>
            <w:tcW w:w="1032" w:type="dxa"/>
          </w:tcPr>
          <w:p w14:paraId="0814C979"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2013</w:t>
            </w:r>
          </w:p>
        </w:tc>
        <w:tc>
          <w:tcPr>
            <w:tcW w:w="1911" w:type="dxa"/>
          </w:tcPr>
          <w:p w14:paraId="2081E779"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(622.2)</w:t>
            </w:r>
          </w:p>
        </w:tc>
        <w:tc>
          <w:tcPr>
            <w:tcW w:w="2268" w:type="dxa"/>
            <w:shd w:val="clear" w:color="auto" w:fill="D9D9D9" w:themeFill="background1" w:themeFillShade="D9"/>
          </w:tcPr>
          <w:p w14:paraId="3299CF7F"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(1768.77)</w:t>
            </w:r>
          </w:p>
        </w:tc>
        <w:tc>
          <w:tcPr>
            <w:tcW w:w="1701" w:type="dxa"/>
          </w:tcPr>
          <w:p w14:paraId="51B9FA00"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(349.18)</w:t>
            </w:r>
          </w:p>
        </w:tc>
        <w:tc>
          <w:tcPr>
            <w:tcW w:w="1843" w:type="dxa"/>
            <w:shd w:val="clear" w:color="auto" w:fill="D9D9D9" w:themeFill="background1" w:themeFillShade="D9"/>
          </w:tcPr>
          <w:p w14:paraId="66B8BB0C"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(809.73)</w:t>
            </w:r>
          </w:p>
        </w:tc>
        <w:tc>
          <w:tcPr>
            <w:tcW w:w="1559" w:type="dxa"/>
          </w:tcPr>
          <w:p w14:paraId="57ECAE86"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(340.93)</w:t>
            </w:r>
          </w:p>
        </w:tc>
        <w:tc>
          <w:tcPr>
            <w:tcW w:w="1843" w:type="dxa"/>
          </w:tcPr>
          <w:p w14:paraId="2DF02B7D"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(741.06)</w:t>
            </w:r>
          </w:p>
        </w:tc>
      </w:tr>
      <w:tr w:rsidR="004B17DA" w:rsidRPr="0059677A" w14:paraId="4EABBA08" w14:textId="77777777" w:rsidTr="0023370D">
        <w:trPr>
          <w:trHeight w:val="290"/>
        </w:trPr>
        <w:tc>
          <w:tcPr>
            <w:tcW w:w="1032" w:type="dxa"/>
          </w:tcPr>
          <w:p w14:paraId="1A26E222"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2014</w:t>
            </w:r>
          </w:p>
        </w:tc>
        <w:tc>
          <w:tcPr>
            <w:tcW w:w="1911" w:type="dxa"/>
          </w:tcPr>
          <w:p w14:paraId="60BDFD0E"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(597.12)</w:t>
            </w:r>
          </w:p>
        </w:tc>
        <w:tc>
          <w:tcPr>
            <w:tcW w:w="2268" w:type="dxa"/>
            <w:shd w:val="clear" w:color="auto" w:fill="D9D9D9" w:themeFill="background1" w:themeFillShade="D9"/>
          </w:tcPr>
          <w:p w14:paraId="73A1DF98"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(1687.91)</w:t>
            </w:r>
          </w:p>
        </w:tc>
        <w:tc>
          <w:tcPr>
            <w:tcW w:w="1701" w:type="dxa"/>
            <w:shd w:val="clear" w:color="auto" w:fill="D9D9D9" w:themeFill="background1" w:themeFillShade="D9"/>
          </w:tcPr>
          <w:p w14:paraId="240BBE6F"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(325.01)</w:t>
            </w:r>
          </w:p>
        </w:tc>
        <w:tc>
          <w:tcPr>
            <w:tcW w:w="1843" w:type="dxa"/>
            <w:shd w:val="clear" w:color="auto" w:fill="D9D9D9" w:themeFill="background1" w:themeFillShade="D9"/>
          </w:tcPr>
          <w:p w14:paraId="719577AC"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(756.34)</w:t>
            </w:r>
          </w:p>
        </w:tc>
        <w:tc>
          <w:tcPr>
            <w:tcW w:w="1559" w:type="dxa"/>
          </w:tcPr>
          <w:p w14:paraId="0E1CE90A"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Oct (317.27)</w:t>
            </w:r>
          </w:p>
        </w:tc>
        <w:tc>
          <w:tcPr>
            <w:tcW w:w="1843" w:type="dxa"/>
            <w:shd w:val="clear" w:color="auto" w:fill="D9D9D9" w:themeFill="background1" w:themeFillShade="D9"/>
          </w:tcPr>
          <w:p w14:paraId="0624D929"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(645.86)</w:t>
            </w:r>
          </w:p>
        </w:tc>
      </w:tr>
      <w:tr w:rsidR="004B17DA" w:rsidRPr="0059677A" w14:paraId="1EA5A901" w14:textId="77777777" w:rsidTr="0023370D">
        <w:trPr>
          <w:trHeight w:val="290"/>
        </w:trPr>
        <w:tc>
          <w:tcPr>
            <w:tcW w:w="1032" w:type="dxa"/>
          </w:tcPr>
          <w:p w14:paraId="2D0CB154"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2015</w:t>
            </w:r>
          </w:p>
        </w:tc>
        <w:tc>
          <w:tcPr>
            <w:tcW w:w="1911" w:type="dxa"/>
          </w:tcPr>
          <w:p w14:paraId="5AFBB6FC"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(556.59)</w:t>
            </w:r>
          </w:p>
        </w:tc>
        <w:tc>
          <w:tcPr>
            <w:tcW w:w="2268" w:type="dxa"/>
            <w:shd w:val="clear" w:color="auto" w:fill="D9D9D9" w:themeFill="background1" w:themeFillShade="D9"/>
          </w:tcPr>
          <w:p w14:paraId="05A7C8BA"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(1517.94)</w:t>
            </w:r>
          </w:p>
        </w:tc>
        <w:tc>
          <w:tcPr>
            <w:tcW w:w="1701" w:type="dxa"/>
          </w:tcPr>
          <w:p w14:paraId="10CC3F9F"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(293.28)</w:t>
            </w:r>
          </w:p>
        </w:tc>
        <w:tc>
          <w:tcPr>
            <w:tcW w:w="1843" w:type="dxa"/>
            <w:shd w:val="clear" w:color="auto" w:fill="D9D9D9" w:themeFill="background1" w:themeFillShade="D9"/>
          </w:tcPr>
          <w:p w14:paraId="06B16525"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(692.45)</w:t>
            </w:r>
          </w:p>
        </w:tc>
        <w:tc>
          <w:tcPr>
            <w:tcW w:w="1559" w:type="dxa"/>
          </w:tcPr>
          <w:p w14:paraId="5E8200A0"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Sep (282.98)</w:t>
            </w:r>
          </w:p>
        </w:tc>
        <w:tc>
          <w:tcPr>
            <w:tcW w:w="1843" w:type="dxa"/>
            <w:shd w:val="clear" w:color="auto" w:fill="D9D9D9" w:themeFill="background1" w:themeFillShade="D9"/>
          </w:tcPr>
          <w:p w14:paraId="3C5EDF34" w14:textId="77777777" w:rsidR="004B17DA" w:rsidRPr="0059677A" w:rsidRDefault="004B17DA" w:rsidP="0023370D">
            <w:pPr>
              <w:autoSpaceDE w:val="0"/>
              <w:autoSpaceDN w:val="0"/>
              <w:adjustRightInd w:val="0"/>
              <w:spacing w:line="480" w:lineRule="auto"/>
              <w:jc w:val="left"/>
              <w:rPr>
                <w:rFonts w:cs="Arial"/>
                <w:sz w:val="22"/>
              </w:rPr>
            </w:pPr>
            <w:r w:rsidRPr="0059677A">
              <w:rPr>
                <w:rFonts w:cs="Arial"/>
                <w:sz w:val="22"/>
              </w:rPr>
              <w:t>Jan (611.35)</w:t>
            </w:r>
          </w:p>
        </w:tc>
      </w:tr>
    </w:tbl>
    <w:p w14:paraId="54516068" w14:textId="77777777" w:rsidR="004B17DA" w:rsidRPr="0059677A" w:rsidRDefault="004B17DA" w:rsidP="004B17DA">
      <w:pPr>
        <w:spacing w:line="276" w:lineRule="auto"/>
        <w:jc w:val="left"/>
        <w:rPr>
          <w:rFonts w:cs="Arial"/>
        </w:rPr>
        <w:sectPr w:rsidR="004B17DA" w:rsidRPr="0059677A" w:rsidSect="00DD5C0F">
          <w:pgSz w:w="16838" w:h="11906" w:orient="landscape"/>
          <w:pgMar w:top="1440" w:right="1440" w:bottom="1440" w:left="1440" w:header="708" w:footer="708" w:gutter="0"/>
          <w:lnNumType w:countBy="1" w:restart="continuous"/>
          <w:cols w:space="708"/>
          <w:docGrid w:linePitch="360"/>
        </w:sectPr>
      </w:pPr>
    </w:p>
    <w:p w14:paraId="53CDFEE2" w14:textId="0E7B5381" w:rsidR="004B17DA" w:rsidRPr="0059677A" w:rsidRDefault="004B17DA" w:rsidP="004B17DA">
      <w:pPr>
        <w:pStyle w:val="Caption"/>
        <w:keepNext/>
        <w:spacing w:line="480" w:lineRule="auto"/>
        <w:rPr>
          <w:rFonts w:cs="Arial"/>
          <w:color w:val="auto"/>
        </w:rPr>
      </w:pPr>
      <w:r w:rsidRPr="0059677A">
        <w:rPr>
          <w:rFonts w:cs="Arial"/>
          <w:color w:val="auto"/>
        </w:rPr>
        <w:lastRenderedPageBreak/>
        <w:t xml:space="preserve">Table </w:t>
      </w:r>
      <w:r w:rsidR="00552563">
        <w:rPr>
          <w:rFonts w:cs="Arial"/>
          <w:color w:val="auto"/>
        </w:rPr>
        <w:t>S5</w:t>
      </w:r>
      <w:r w:rsidRPr="0059677A">
        <w:rPr>
          <w:rFonts w:cs="Arial"/>
          <w:color w:val="auto"/>
        </w:rPr>
        <w:t xml:space="preserve">. </w:t>
      </w:r>
      <w:proofErr w:type="spellStart"/>
      <w:r w:rsidRPr="0059677A">
        <w:rPr>
          <w:rFonts w:cs="Arial"/>
          <w:color w:val="auto"/>
        </w:rPr>
        <w:t>Akaike</w:t>
      </w:r>
      <w:proofErr w:type="spellEnd"/>
      <w:r w:rsidRPr="0059677A">
        <w:rPr>
          <w:rFonts w:cs="Arial"/>
          <w:color w:val="auto"/>
        </w:rPr>
        <w:t xml:space="preserve"> information criteria (AIC) for models of the scaled UTI consultations in the UK which included a seasonal component and models that did not by age group. </w:t>
      </w:r>
      <w:r w:rsidRPr="0059677A">
        <w:rPr>
          <w:rFonts w:cs="Arial"/>
          <w:b w:val="0"/>
          <w:color w:val="auto"/>
        </w:rPr>
        <w:t>*In order to calculate the AIC for the non-seasonal model, the dispersion parameter (theta) was fixed at the estimate derived for the seasonal model.</w:t>
      </w:r>
    </w:p>
    <w:tbl>
      <w:tblPr>
        <w:tblStyle w:val="TableGrid"/>
        <w:tblW w:w="8046" w:type="dxa"/>
        <w:tblLook w:val="04A0" w:firstRow="1" w:lastRow="0" w:firstColumn="1" w:lastColumn="0" w:noHBand="0" w:noVBand="1"/>
      </w:tblPr>
      <w:tblGrid>
        <w:gridCol w:w="830"/>
        <w:gridCol w:w="1177"/>
        <w:gridCol w:w="1177"/>
        <w:gridCol w:w="2311"/>
        <w:gridCol w:w="2551"/>
      </w:tblGrid>
      <w:tr w:rsidR="004B17DA" w:rsidRPr="0059677A" w14:paraId="6C8FD788" w14:textId="77777777" w:rsidTr="0023370D">
        <w:trPr>
          <w:trHeight w:val="300"/>
        </w:trPr>
        <w:tc>
          <w:tcPr>
            <w:tcW w:w="830" w:type="dxa"/>
          </w:tcPr>
          <w:p w14:paraId="20B8019D"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Age group</w:t>
            </w:r>
          </w:p>
        </w:tc>
        <w:tc>
          <w:tcPr>
            <w:tcW w:w="1177" w:type="dxa"/>
            <w:noWrap/>
            <w:hideMark/>
          </w:tcPr>
          <w:p w14:paraId="4E22B1E3"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AIC seasonal model</w:t>
            </w:r>
          </w:p>
        </w:tc>
        <w:tc>
          <w:tcPr>
            <w:tcW w:w="1177" w:type="dxa"/>
            <w:noWrap/>
            <w:hideMark/>
          </w:tcPr>
          <w:p w14:paraId="240F20BE"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AIC non-seasonal model*</w:t>
            </w:r>
          </w:p>
        </w:tc>
        <w:tc>
          <w:tcPr>
            <w:tcW w:w="2311" w:type="dxa"/>
          </w:tcPr>
          <w:p w14:paraId="7367D33D" w14:textId="77777777" w:rsidR="004B17DA" w:rsidRPr="0059677A" w:rsidRDefault="004B17DA" w:rsidP="0023370D">
            <w:pPr>
              <w:spacing w:line="480" w:lineRule="auto"/>
              <w:jc w:val="left"/>
              <w:rPr>
                <w:rFonts w:eastAsia="Times New Roman" w:cs="Arial"/>
                <w:color w:val="000000"/>
                <w:lang w:eastAsia="en-GB"/>
              </w:rPr>
            </w:pPr>
            <w:r w:rsidRPr="0059677A">
              <w:rPr>
                <w:rFonts w:eastAsia="Times New Roman" w:cs="Arial"/>
                <w:color w:val="000000"/>
                <w:lang w:eastAsia="en-GB"/>
              </w:rPr>
              <w:t>% deviance explained by the seasonal model</w:t>
            </w:r>
          </w:p>
        </w:tc>
        <w:tc>
          <w:tcPr>
            <w:tcW w:w="2551" w:type="dxa"/>
          </w:tcPr>
          <w:p w14:paraId="711FD088" w14:textId="77777777" w:rsidR="004B17DA" w:rsidRPr="0059677A" w:rsidRDefault="004B17DA" w:rsidP="0023370D">
            <w:pPr>
              <w:spacing w:line="480" w:lineRule="auto"/>
              <w:jc w:val="left"/>
              <w:rPr>
                <w:rFonts w:eastAsia="Times New Roman" w:cs="Arial"/>
                <w:color w:val="000000"/>
                <w:lang w:eastAsia="en-GB"/>
              </w:rPr>
            </w:pPr>
            <w:r w:rsidRPr="0059677A">
              <w:rPr>
                <w:rFonts w:eastAsia="Times New Roman" w:cs="Arial"/>
                <w:color w:val="000000"/>
                <w:lang w:eastAsia="en-GB"/>
              </w:rPr>
              <w:t>% deviance explained by the non-seasonal model</w:t>
            </w:r>
          </w:p>
        </w:tc>
      </w:tr>
      <w:tr w:rsidR="004B17DA" w:rsidRPr="0059677A" w14:paraId="0F0E4502" w14:textId="77777777" w:rsidTr="0023370D">
        <w:trPr>
          <w:trHeight w:val="300"/>
        </w:trPr>
        <w:tc>
          <w:tcPr>
            <w:tcW w:w="830" w:type="dxa"/>
          </w:tcPr>
          <w:p w14:paraId="654C6C6C"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14-17</w:t>
            </w:r>
          </w:p>
        </w:tc>
        <w:tc>
          <w:tcPr>
            <w:tcW w:w="1177" w:type="dxa"/>
            <w:noWrap/>
            <w:hideMark/>
          </w:tcPr>
          <w:p w14:paraId="3FE85A5A" w14:textId="77777777" w:rsidR="004B17DA" w:rsidRPr="0059677A" w:rsidRDefault="004B17DA" w:rsidP="0023370D">
            <w:pPr>
              <w:spacing w:line="480" w:lineRule="auto"/>
              <w:jc w:val="left"/>
              <w:rPr>
                <w:rFonts w:cs="Arial"/>
                <w:sz w:val="22"/>
              </w:rPr>
            </w:pPr>
            <w:r w:rsidRPr="0059677A">
              <w:rPr>
                <w:rFonts w:cs="Arial"/>
                <w:sz w:val="22"/>
              </w:rPr>
              <w:t>960.78</w:t>
            </w:r>
          </w:p>
        </w:tc>
        <w:tc>
          <w:tcPr>
            <w:tcW w:w="1177" w:type="dxa"/>
            <w:noWrap/>
            <w:hideMark/>
          </w:tcPr>
          <w:p w14:paraId="4FDF16D8" w14:textId="77777777" w:rsidR="004B17DA" w:rsidRPr="0059677A" w:rsidRDefault="004B17DA" w:rsidP="0023370D">
            <w:pPr>
              <w:spacing w:line="480" w:lineRule="auto"/>
              <w:jc w:val="left"/>
              <w:rPr>
                <w:rFonts w:cs="Arial"/>
                <w:sz w:val="22"/>
              </w:rPr>
            </w:pPr>
            <w:r w:rsidRPr="0059677A">
              <w:rPr>
                <w:rFonts w:cs="Arial"/>
                <w:sz w:val="22"/>
              </w:rPr>
              <w:t>1041.58</w:t>
            </w:r>
          </w:p>
        </w:tc>
        <w:tc>
          <w:tcPr>
            <w:tcW w:w="2311" w:type="dxa"/>
          </w:tcPr>
          <w:p w14:paraId="3C7C48BE" w14:textId="77777777" w:rsidR="004B17DA" w:rsidRPr="0059677A" w:rsidRDefault="004B17DA" w:rsidP="0023370D">
            <w:pPr>
              <w:spacing w:line="480" w:lineRule="auto"/>
              <w:jc w:val="left"/>
              <w:rPr>
                <w:rFonts w:cs="Arial"/>
                <w:color w:val="000000"/>
                <w:sz w:val="22"/>
              </w:rPr>
            </w:pPr>
            <w:r w:rsidRPr="0059677A">
              <w:rPr>
                <w:rFonts w:cs="Arial"/>
                <w:color w:val="000000"/>
                <w:sz w:val="22"/>
              </w:rPr>
              <w:t>72.21</w:t>
            </w:r>
          </w:p>
        </w:tc>
        <w:tc>
          <w:tcPr>
            <w:tcW w:w="2551" w:type="dxa"/>
          </w:tcPr>
          <w:p w14:paraId="06FF6690" w14:textId="77777777" w:rsidR="004B17DA" w:rsidRPr="0059677A" w:rsidRDefault="004B17DA" w:rsidP="0023370D">
            <w:pPr>
              <w:spacing w:line="480" w:lineRule="auto"/>
              <w:jc w:val="left"/>
              <w:rPr>
                <w:rFonts w:cs="Arial"/>
                <w:color w:val="000000"/>
                <w:sz w:val="22"/>
              </w:rPr>
            </w:pPr>
            <w:r w:rsidRPr="0059677A">
              <w:rPr>
                <w:rFonts w:cs="Arial"/>
                <w:color w:val="000000"/>
                <w:sz w:val="22"/>
              </w:rPr>
              <w:t>46.84</w:t>
            </w:r>
          </w:p>
        </w:tc>
      </w:tr>
      <w:tr w:rsidR="004B17DA" w:rsidRPr="0059677A" w14:paraId="21B76660" w14:textId="77777777" w:rsidTr="0023370D">
        <w:trPr>
          <w:trHeight w:val="300"/>
        </w:trPr>
        <w:tc>
          <w:tcPr>
            <w:tcW w:w="830" w:type="dxa"/>
          </w:tcPr>
          <w:p w14:paraId="317A1506"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18-24</w:t>
            </w:r>
          </w:p>
        </w:tc>
        <w:tc>
          <w:tcPr>
            <w:tcW w:w="1177" w:type="dxa"/>
            <w:noWrap/>
            <w:hideMark/>
          </w:tcPr>
          <w:p w14:paraId="338562F8" w14:textId="77777777" w:rsidR="004B17DA" w:rsidRPr="0059677A" w:rsidRDefault="004B17DA" w:rsidP="0023370D">
            <w:pPr>
              <w:spacing w:line="480" w:lineRule="auto"/>
              <w:jc w:val="left"/>
              <w:rPr>
                <w:rFonts w:cs="Arial"/>
                <w:sz w:val="22"/>
              </w:rPr>
            </w:pPr>
            <w:r w:rsidRPr="0059677A">
              <w:rPr>
                <w:rFonts w:cs="Arial"/>
                <w:sz w:val="22"/>
              </w:rPr>
              <w:t>1096.01</w:t>
            </w:r>
          </w:p>
        </w:tc>
        <w:tc>
          <w:tcPr>
            <w:tcW w:w="1177" w:type="dxa"/>
            <w:noWrap/>
            <w:hideMark/>
          </w:tcPr>
          <w:p w14:paraId="1F328B21" w14:textId="77777777" w:rsidR="004B17DA" w:rsidRPr="0059677A" w:rsidRDefault="004B17DA" w:rsidP="0023370D">
            <w:pPr>
              <w:spacing w:line="480" w:lineRule="auto"/>
              <w:jc w:val="left"/>
              <w:rPr>
                <w:rFonts w:cs="Arial"/>
                <w:sz w:val="22"/>
              </w:rPr>
            </w:pPr>
            <w:r w:rsidRPr="0059677A">
              <w:rPr>
                <w:rFonts w:cs="Arial"/>
                <w:sz w:val="22"/>
              </w:rPr>
              <w:t>1196.45</w:t>
            </w:r>
          </w:p>
        </w:tc>
        <w:tc>
          <w:tcPr>
            <w:tcW w:w="2311" w:type="dxa"/>
          </w:tcPr>
          <w:p w14:paraId="71102BF4" w14:textId="77777777" w:rsidR="004B17DA" w:rsidRPr="0059677A" w:rsidRDefault="004B17DA" w:rsidP="0023370D">
            <w:pPr>
              <w:spacing w:line="480" w:lineRule="auto"/>
              <w:jc w:val="left"/>
              <w:rPr>
                <w:rFonts w:cs="Arial"/>
                <w:color w:val="000000"/>
                <w:sz w:val="22"/>
              </w:rPr>
            </w:pPr>
            <w:r w:rsidRPr="0059677A">
              <w:rPr>
                <w:rFonts w:cs="Arial"/>
                <w:color w:val="000000"/>
                <w:sz w:val="22"/>
              </w:rPr>
              <w:t>77.92</w:t>
            </w:r>
          </w:p>
        </w:tc>
        <w:tc>
          <w:tcPr>
            <w:tcW w:w="2551" w:type="dxa"/>
          </w:tcPr>
          <w:p w14:paraId="14732DF9" w14:textId="77777777" w:rsidR="004B17DA" w:rsidRPr="0059677A" w:rsidRDefault="004B17DA" w:rsidP="0023370D">
            <w:pPr>
              <w:spacing w:line="480" w:lineRule="auto"/>
              <w:jc w:val="left"/>
              <w:rPr>
                <w:rFonts w:cs="Arial"/>
                <w:color w:val="000000"/>
                <w:sz w:val="22"/>
              </w:rPr>
            </w:pPr>
            <w:r w:rsidRPr="0059677A">
              <w:rPr>
                <w:rFonts w:cs="Arial"/>
                <w:color w:val="000000"/>
                <w:sz w:val="22"/>
              </w:rPr>
              <w:t>53.5</w:t>
            </w:r>
          </w:p>
        </w:tc>
      </w:tr>
      <w:tr w:rsidR="004B17DA" w:rsidRPr="0059677A" w14:paraId="429EDF0C" w14:textId="77777777" w:rsidTr="0023370D">
        <w:trPr>
          <w:trHeight w:val="300"/>
        </w:trPr>
        <w:tc>
          <w:tcPr>
            <w:tcW w:w="830" w:type="dxa"/>
          </w:tcPr>
          <w:p w14:paraId="13DF3E34"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25-45</w:t>
            </w:r>
          </w:p>
        </w:tc>
        <w:tc>
          <w:tcPr>
            <w:tcW w:w="1177" w:type="dxa"/>
            <w:noWrap/>
            <w:hideMark/>
          </w:tcPr>
          <w:p w14:paraId="766215BF" w14:textId="77777777" w:rsidR="004B17DA" w:rsidRPr="0059677A" w:rsidRDefault="004B17DA" w:rsidP="0023370D">
            <w:pPr>
              <w:spacing w:line="480" w:lineRule="auto"/>
              <w:jc w:val="left"/>
              <w:rPr>
                <w:rFonts w:cs="Arial"/>
                <w:sz w:val="22"/>
              </w:rPr>
            </w:pPr>
            <w:r w:rsidRPr="0059677A">
              <w:rPr>
                <w:rFonts w:cs="Arial"/>
                <w:sz w:val="22"/>
              </w:rPr>
              <w:t>1242.65</w:t>
            </w:r>
          </w:p>
        </w:tc>
        <w:tc>
          <w:tcPr>
            <w:tcW w:w="1177" w:type="dxa"/>
            <w:noWrap/>
            <w:hideMark/>
          </w:tcPr>
          <w:p w14:paraId="2BE93DD1" w14:textId="77777777" w:rsidR="004B17DA" w:rsidRPr="0059677A" w:rsidRDefault="004B17DA" w:rsidP="0023370D">
            <w:pPr>
              <w:spacing w:line="480" w:lineRule="auto"/>
              <w:jc w:val="left"/>
              <w:rPr>
                <w:rFonts w:cs="Arial"/>
                <w:sz w:val="22"/>
              </w:rPr>
            </w:pPr>
            <w:r w:rsidRPr="0059677A">
              <w:rPr>
                <w:rFonts w:cs="Arial"/>
                <w:sz w:val="22"/>
              </w:rPr>
              <w:t>1293.55</w:t>
            </w:r>
          </w:p>
        </w:tc>
        <w:tc>
          <w:tcPr>
            <w:tcW w:w="2311" w:type="dxa"/>
          </w:tcPr>
          <w:p w14:paraId="2DF55750" w14:textId="77777777" w:rsidR="004B17DA" w:rsidRPr="0059677A" w:rsidRDefault="004B17DA" w:rsidP="0023370D">
            <w:pPr>
              <w:spacing w:line="480" w:lineRule="auto"/>
              <w:jc w:val="left"/>
              <w:rPr>
                <w:rFonts w:cs="Arial"/>
                <w:color w:val="000000"/>
                <w:sz w:val="22"/>
              </w:rPr>
            </w:pPr>
            <w:r w:rsidRPr="0059677A">
              <w:rPr>
                <w:rFonts w:cs="Arial"/>
                <w:color w:val="000000"/>
                <w:sz w:val="22"/>
              </w:rPr>
              <w:t>54.06</w:t>
            </w:r>
          </w:p>
        </w:tc>
        <w:tc>
          <w:tcPr>
            <w:tcW w:w="2551" w:type="dxa"/>
          </w:tcPr>
          <w:p w14:paraId="3823707B" w14:textId="77777777" w:rsidR="004B17DA" w:rsidRPr="0059677A" w:rsidRDefault="004B17DA" w:rsidP="0023370D">
            <w:pPr>
              <w:spacing w:line="480" w:lineRule="auto"/>
              <w:jc w:val="left"/>
              <w:rPr>
                <w:rFonts w:cs="Arial"/>
                <w:color w:val="000000"/>
                <w:sz w:val="22"/>
              </w:rPr>
            </w:pPr>
            <w:r w:rsidRPr="0059677A">
              <w:rPr>
                <w:rFonts w:cs="Arial"/>
                <w:color w:val="000000"/>
                <w:sz w:val="22"/>
              </w:rPr>
              <w:t>26.85</w:t>
            </w:r>
          </w:p>
        </w:tc>
      </w:tr>
      <w:tr w:rsidR="004B17DA" w:rsidRPr="0059677A" w14:paraId="4554F8D1" w14:textId="77777777" w:rsidTr="0023370D">
        <w:trPr>
          <w:trHeight w:val="300"/>
        </w:trPr>
        <w:tc>
          <w:tcPr>
            <w:tcW w:w="830" w:type="dxa"/>
          </w:tcPr>
          <w:p w14:paraId="63DFAA52"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46-69</w:t>
            </w:r>
          </w:p>
        </w:tc>
        <w:tc>
          <w:tcPr>
            <w:tcW w:w="1177" w:type="dxa"/>
            <w:noWrap/>
            <w:hideMark/>
          </w:tcPr>
          <w:p w14:paraId="1695F943" w14:textId="77777777" w:rsidR="004B17DA" w:rsidRPr="0059677A" w:rsidRDefault="004B17DA" w:rsidP="0023370D">
            <w:pPr>
              <w:spacing w:line="480" w:lineRule="auto"/>
              <w:jc w:val="left"/>
              <w:rPr>
                <w:rFonts w:cs="Arial"/>
                <w:sz w:val="22"/>
              </w:rPr>
            </w:pPr>
            <w:r w:rsidRPr="0059677A">
              <w:rPr>
                <w:rFonts w:cs="Arial"/>
                <w:sz w:val="22"/>
              </w:rPr>
              <w:t>1254.36</w:t>
            </w:r>
          </w:p>
        </w:tc>
        <w:tc>
          <w:tcPr>
            <w:tcW w:w="1177" w:type="dxa"/>
            <w:noWrap/>
            <w:hideMark/>
          </w:tcPr>
          <w:p w14:paraId="12884148" w14:textId="77777777" w:rsidR="004B17DA" w:rsidRPr="0059677A" w:rsidRDefault="004B17DA" w:rsidP="0023370D">
            <w:pPr>
              <w:spacing w:line="480" w:lineRule="auto"/>
              <w:jc w:val="left"/>
              <w:rPr>
                <w:rFonts w:cs="Arial"/>
                <w:sz w:val="22"/>
              </w:rPr>
            </w:pPr>
            <w:r w:rsidRPr="0059677A">
              <w:rPr>
                <w:rFonts w:cs="Arial"/>
                <w:sz w:val="22"/>
              </w:rPr>
              <w:t>1309.21</w:t>
            </w:r>
          </w:p>
        </w:tc>
        <w:tc>
          <w:tcPr>
            <w:tcW w:w="2311" w:type="dxa"/>
          </w:tcPr>
          <w:p w14:paraId="103D14A4" w14:textId="77777777" w:rsidR="004B17DA" w:rsidRPr="0059677A" w:rsidRDefault="004B17DA" w:rsidP="0023370D">
            <w:pPr>
              <w:spacing w:line="480" w:lineRule="auto"/>
              <w:jc w:val="left"/>
              <w:rPr>
                <w:rFonts w:cs="Arial"/>
                <w:color w:val="000000"/>
                <w:sz w:val="22"/>
              </w:rPr>
            </w:pPr>
            <w:r w:rsidRPr="0059677A">
              <w:rPr>
                <w:rFonts w:cs="Arial"/>
                <w:color w:val="000000"/>
                <w:sz w:val="22"/>
              </w:rPr>
              <w:t>48.88</w:t>
            </w:r>
          </w:p>
        </w:tc>
        <w:tc>
          <w:tcPr>
            <w:tcW w:w="2551" w:type="dxa"/>
          </w:tcPr>
          <w:p w14:paraId="124D94DF" w14:textId="77777777" w:rsidR="004B17DA" w:rsidRPr="0059677A" w:rsidRDefault="004B17DA" w:rsidP="0023370D">
            <w:pPr>
              <w:spacing w:line="480" w:lineRule="auto"/>
              <w:jc w:val="left"/>
              <w:rPr>
                <w:rFonts w:cs="Arial"/>
                <w:color w:val="000000"/>
                <w:sz w:val="22"/>
              </w:rPr>
            </w:pPr>
            <w:r w:rsidRPr="0059677A">
              <w:rPr>
                <w:rFonts w:cs="Arial"/>
                <w:color w:val="000000"/>
                <w:sz w:val="22"/>
              </w:rPr>
              <w:t>16.55</w:t>
            </w:r>
          </w:p>
        </w:tc>
      </w:tr>
      <w:tr w:rsidR="004B17DA" w:rsidRPr="0059677A" w14:paraId="763B647A" w14:textId="77777777" w:rsidTr="0023370D">
        <w:trPr>
          <w:trHeight w:val="300"/>
        </w:trPr>
        <w:tc>
          <w:tcPr>
            <w:tcW w:w="830" w:type="dxa"/>
          </w:tcPr>
          <w:p w14:paraId="67DA408A"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70-84</w:t>
            </w:r>
          </w:p>
        </w:tc>
        <w:tc>
          <w:tcPr>
            <w:tcW w:w="1177" w:type="dxa"/>
            <w:noWrap/>
            <w:hideMark/>
          </w:tcPr>
          <w:p w14:paraId="3AEAED70" w14:textId="77777777" w:rsidR="004B17DA" w:rsidRPr="0059677A" w:rsidRDefault="004B17DA" w:rsidP="0023370D">
            <w:pPr>
              <w:spacing w:line="480" w:lineRule="auto"/>
              <w:jc w:val="left"/>
              <w:rPr>
                <w:rFonts w:cs="Arial"/>
                <w:sz w:val="22"/>
              </w:rPr>
            </w:pPr>
            <w:r w:rsidRPr="0059677A">
              <w:rPr>
                <w:rFonts w:cs="Arial"/>
                <w:sz w:val="22"/>
              </w:rPr>
              <w:t>1196.56</w:t>
            </w:r>
          </w:p>
        </w:tc>
        <w:tc>
          <w:tcPr>
            <w:tcW w:w="1177" w:type="dxa"/>
            <w:noWrap/>
            <w:hideMark/>
          </w:tcPr>
          <w:p w14:paraId="61A3AC77" w14:textId="77777777" w:rsidR="004B17DA" w:rsidRPr="0059677A" w:rsidRDefault="004B17DA" w:rsidP="0023370D">
            <w:pPr>
              <w:spacing w:line="480" w:lineRule="auto"/>
              <w:jc w:val="left"/>
              <w:rPr>
                <w:rFonts w:cs="Arial"/>
                <w:sz w:val="22"/>
              </w:rPr>
            </w:pPr>
            <w:r w:rsidRPr="0059677A">
              <w:rPr>
                <w:rFonts w:cs="Arial"/>
                <w:sz w:val="22"/>
              </w:rPr>
              <w:t>1217.86</w:t>
            </w:r>
          </w:p>
        </w:tc>
        <w:tc>
          <w:tcPr>
            <w:tcW w:w="2311" w:type="dxa"/>
          </w:tcPr>
          <w:p w14:paraId="5F1C35B5" w14:textId="77777777" w:rsidR="004B17DA" w:rsidRPr="0059677A" w:rsidRDefault="004B17DA" w:rsidP="0023370D">
            <w:pPr>
              <w:spacing w:line="480" w:lineRule="auto"/>
              <w:jc w:val="left"/>
              <w:rPr>
                <w:rFonts w:cs="Arial"/>
                <w:color w:val="000000"/>
                <w:sz w:val="22"/>
              </w:rPr>
            </w:pPr>
            <w:r w:rsidRPr="0059677A">
              <w:rPr>
                <w:rFonts w:cs="Arial"/>
                <w:color w:val="000000"/>
                <w:sz w:val="22"/>
              </w:rPr>
              <w:t>28.74</w:t>
            </w:r>
          </w:p>
        </w:tc>
        <w:tc>
          <w:tcPr>
            <w:tcW w:w="2551" w:type="dxa"/>
          </w:tcPr>
          <w:p w14:paraId="584550D8" w14:textId="77777777" w:rsidR="004B17DA" w:rsidRPr="0059677A" w:rsidRDefault="004B17DA" w:rsidP="0023370D">
            <w:pPr>
              <w:spacing w:line="480" w:lineRule="auto"/>
              <w:jc w:val="left"/>
              <w:rPr>
                <w:rFonts w:cs="Arial"/>
                <w:color w:val="000000"/>
                <w:sz w:val="22"/>
              </w:rPr>
            </w:pPr>
            <w:r w:rsidRPr="0059677A">
              <w:rPr>
                <w:rFonts w:cs="Arial"/>
                <w:color w:val="000000"/>
                <w:sz w:val="22"/>
              </w:rPr>
              <w:t>8.51</w:t>
            </w:r>
          </w:p>
        </w:tc>
      </w:tr>
      <w:tr w:rsidR="004B17DA" w:rsidRPr="0059677A" w14:paraId="2DE2820A" w14:textId="77777777" w:rsidTr="0023370D">
        <w:trPr>
          <w:trHeight w:val="300"/>
        </w:trPr>
        <w:tc>
          <w:tcPr>
            <w:tcW w:w="830" w:type="dxa"/>
          </w:tcPr>
          <w:p w14:paraId="5F8A9FBE" w14:textId="77777777" w:rsidR="004B17DA" w:rsidRPr="0059677A" w:rsidRDefault="004B17DA" w:rsidP="0023370D">
            <w:pPr>
              <w:spacing w:line="480" w:lineRule="auto"/>
              <w:jc w:val="left"/>
              <w:rPr>
                <w:rFonts w:eastAsia="Times New Roman" w:cs="Arial"/>
                <w:lang w:eastAsia="en-GB"/>
              </w:rPr>
            </w:pPr>
            <w:r w:rsidRPr="0059677A">
              <w:rPr>
                <w:rFonts w:eastAsia="Times New Roman" w:cs="Arial"/>
                <w:lang w:eastAsia="en-GB"/>
              </w:rPr>
              <w:t>85+</w:t>
            </w:r>
          </w:p>
        </w:tc>
        <w:tc>
          <w:tcPr>
            <w:tcW w:w="1177" w:type="dxa"/>
            <w:noWrap/>
            <w:hideMark/>
          </w:tcPr>
          <w:p w14:paraId="641F2CCA" w14:textId="77777777" w:rsidR="004B17DA" w:rsidRPr="0059677A" w:rsidRDefault="004B17DA" w:rsidP="0023370D">
            <w:pPr>
              <w:spacing w:line="480" w:lineRule="auto"/>
              <w:jc w:val="left"/>
              <w:rPr>
                <w:rFonts w:cs="Arial"/>
                <w:sz w:val="22"/>
              </w:rPr>
            </w:pPr>
            <w:r w:rsidRPr="0059677A">
              <w:rPr>
                <w:rFonts w:cs="Arial"/>
                <w:sz w:val="22"/>
              </w:rPr>
              <w:t>1108.25</w:t>
            </w:r>
          </w:p>
        </w:tc>
        <w:tc>
          <w:tcPr>
            <w:tcW w:w="1177" w:type="dxa"/>
            <w:noWrap/>
            <w:hideMark/>
          </w:tcPr>
          <w:p w14:paraId="1B062963" w14:textId="77777777" w:rsidR="004B17DA" w:rsidRPr="0059677A" w:rsidRDefault="004B17DA" w:rsidP="0023370D">
            <w:pPr>
              <w:spacing w:line="480" w:lineRule="auto"/>
              <w:jc w:val="left"/>
              <w:rPr>
                <w:rFonts w:cs="Arial"/>
                <w:sz w:val="22"/>
              </w:rPr>
            </w:pPr>
            <w:r w:rsidRPr="0059677A">
              <w:rPr>
                <w:rFonts w:cs="Arial"/>
                <w:sz w:val="22"/>
              </w:rPr>
              <w:t>1103.92</w:t>
            </w:r>
          </w:p>
        </w:tc>
        <w:tc>
          <w:tcPr>
            <w:tcW w:w="2311" w:type="dxa"/>
          </w:tcPr>
          <w:p w14:paraId="566E72EF" w14:textId="77777777" w:rsidR="004B17DA" w:rsidRPr="0059677A" w:rsidRDefault="004B17DA" w:rsidP="0023370D">
            <w:pPr>
              <w:spacing w:line="480" w:lineRule="auto"/>
              <w:jc w:val="left"/>
              <w:rPr>
                <w:rFonts w:cs="Arial"/>
                <w:color w:val="000000"/>
                <w:sz w:val="22"/>
              </w:rPr>
            </w:pPr>
            <w:r w:rsidRPr="0059677A">
              <w:rPr>
                <w:rFonts w:cs="Arial"/>
                <w:color w:val="000000"/>
                <w:sz w:val="22"/>
              </w:rPr>
              <w:t>44.43</w:t>
            </w:r>
          </w:p>
        </w:tc>
        <w:tc>
          <w:tcPr>
            <w:tcW w:w="2551" w:type="dxa"/>
          </w:tcPr>
          <w:p w14:paraId="663C2EF6" w14:textId="77777777" w:rsidR="004B17DA" w:rsidRPr="0059677A" w:rsidRDefault="004B17DA" w:rsidP="0023370D">
            <w:pPr>
              <w:spacing w:line="480" w:lineRule="auto"/>
              <w:jc w:val="left"/>
              <w:rPr>
                <w:rFonts w:cs="Arial"/>
                <w:color w:val="000000"/>
                <w:sz w:val="22"/>
              </w:rPr>
            </w:pPr>
            <w:r w:rsidRPr="0059677A">
              <w:rPr>
                <w:rFonts w:cs="Arial"/>
                <w:color w:val="000000"/>
                <w:sz w:val="22"/>
              </w:rPr>
              <w:t>43.47</w:t>
            </w:r>
          </w:p>
        </w:tc>
      </w:tr>
    </w:tbl>
    <w:p w14:paraId="65A377F9" w14:textId="77777777" w:rsidR="004B17DA" w:rsidRPr="0059677A" w:rsidRDefault="004B17DA" w:rsidP="004B17DA">
      <w:pPr>
        <w:spacing w:line="276" w:lineRule="auto"/>
        <w:jc w:val="left"/>
        <w:rPr>
          <w:rFonts w:cs="Arial"/>
        </w:rPr>
      </w:pPr>
      <w:r w:rsidRPr="0059677A">
        <w:rPr>
          <w:rFonts w:cs="Arial"/>
        </w:rPr>
        <w:br w:type="page"/>
      </w:r>
    </w:p>
    <w:p w14:paraId="7965CCB1" w14:textId="54D91E17" w:rsidR="004B17DA" w:rsidRPr="0059677A" w:rsidRDefault="004B17DA" w:rsidP="004B17DA">
      <w:pPr>
        <w:pStyle w:val="Heading2"/>
        <w:rPr>
          <w:rFonts w:cs="Arial"/>
        </w:rPr>
      </w:pPr>
      <w:r w:rsidRPr="0059677A">
        <w:rPr>
          <w:rFonts w:cs="Arial"/>
        </w:rPr>
        <w:lastRenderedPageBreak/>
        <w:t>Figures</w:t>
      </w:r>
    </w:p>
    <w:p w14:paraId="21AB147C" w14:textId="77777777" w:rsidR="006B7FB9" w:rsidRPr="0059677A" w:rsidRDefault="006B7FB9" w:rsidP="00B0224B">
      <w:pPr>
        <w:keepNext/>
        <w:spacing w:line="480" w:lineRule="auto"/>
        <w:rPr>
          <w:rFonts w:cs="Arial"/>
        </w:rPr>
      </w:pPr>
      <w:r w:rsidRPr="0059677A">
        <w:rPr>
          <w:rFonts w:cs="Arial"/>
          <w:noProof/>
          <w:lang w:eastAsia="en-GB"/>
        </w:rPr>
        <w:drawing>
          <wp:inline distT="0" distB="0" distL="0" distR="0" wp14:anchorId="7BFBB836" wp14:editId="0580CF27">
            <wp:extent cx="5731510" cy="5731510"/>
            <wp:effectExtent l="0" t="0" r="889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FC0D3B8" w14:textId="64D72717" w:rsidR="00EC1168" w:rsidRPr="0059677A" w:rsidRDefault="006B7FB9" w:rsidP="00B0224B">
      <w:pPr>
        <w:pStyle w:val="Caption"/>
        <w:spacing w:line="480" w:lineRule="auto"/>
        <w:rPr>
          <w:rFonts w:cs="Arial"/>
          <w:color w:val="auto"/>
        </w:rPr>
      </w:pPr>
      <w:r w:rsidRPr="0059677A">
        <w:rPr>
          <w:rFonts w:cs="Arial"/>
          <w:color w:val="000000" w:themeColor="text1"/>
        </w:rPr>
        <w:t xml:space="preserve">Figure </w:t>
      </w:r>
      <w:r w:rsidR="00552563">
        <w:rPr>
          <w:rFonts w:cs="Arial"/>
          <w:color w:val="000000" w:themeColor="text1"/>
        </w:rPr>
        <w:t>S</w:t>
      </w:r>
      <w:r w:rsidRPr="0059677A">
        <w:rPr>
          <w:rFonts w:cs="Arial"/>
          <w:color w:val="000000" w:themeColor="text1"/>
        </w:rPr>
        <w:fldChar w:fldCharType="begin"/>
      </w:r>
      <w:r w:rsidRPr="0059677A">
        <w:rPr>
          <w:rFonts w:cs="Arial"/>
          <w:color w:val="000000" w:themeColor="text1"/>
        </w:rPr>
        <w:instrText xml:space="preserve"> SEQ Figure \* ARABIC </w:instrText>
      </w:r>
      <w:r w:rsidRPr="0059677A">
        <w:rPr>
          <w:rFonts w:cs="Arial"/>
          <w:color w:val="000000" w:themeColor="text1"/>
        </w:rPr>
        <w:fldChar w:fldCharType="separate"/>
      </w:r>
      <w:r w:rsidR="00AD4C52" w:rsidRPr="0059677A">
        <w:rPr>
          <w:rFonts w:cs="Arial"/>
          <w:noProof/>
          <w:color w:val="000000" w:themeColor="text1"/>
        </w:rPr>
        <w:t>1</w:t>
      </w:r>
      <w:r w:rsidRPr="0059677A">
        <w:rPr>
          <w:rFonts w:cs="Arial"/>
          <w:color w:val="000000" w:themeColor="text1"/>
        </w:rPr>
        <w:fldChar w:fldCharType="end"/>
      </w:r>
      <w:r w:rsidRPr="0059677A">
        <w:rPr>
          <w:rFonts w:cs="Arial"/>
          <w:color w:val="000000" w:themeColor="text1"/>
        </w:rPr>
        <w:t>. Percentage of monthly UTI consultation coded with any antibiotic prescription on the same day for which</w:t>
      </w:r>
      <w:r w:rsidRPr="0059677A">
        <w:rPr>
          <w:rFonts w:cs="Arial"/>
          <w:color w:val="auto"/>
        </w:rPr>
        <w:t xml:space="preserve"> that antibiotic was trimethoprim or nitrofurantoin, by age group. </w:t>
      </w:r>
    </w:p>
    <w:p w14:paraId="3AFC3891" w14:textId="77777777" w:rsidR="00EC1168" w:rsidRPr="0059677A" w:rsidRDefault="00EC1168">
      <w:pPr>
        <w:spacing w:line="276" w:lineRule="auto"/>
        <w:jc w:val="left"/>
        <w:rPr>
          <w:rFonts w:cs="Arial"/>
          <w:b/>
          <w:bCs/>
          <w:sz w:val="18"/>
          <w:szCs w:val="18"/>
        </w:rPr>
      </w:pPr>
      <w:r w:rsidRPr="0059677A">
        <w:rPr>
          <w:rFonts w:cs="Arial"/>
        </w:rPr>
        <w:br w:type="page"/>
      </w:r>
    </w:p>
    <w:p w14:paraId="02105B0C" w14:textId="77777777" w:rsidR="00EE22C7" w:rsidRPr="0059677A" w:rsidRDefault="00EE22C7" w:rsidP="00B0224B">
      <w:pPr>
        <w:pStyle w:val="Caption"/>
        <w:keepNext/>
        <w:spacing w:line="480" w:lineRule="auto"/>
        <w:rPr>
          <w:rFonts w:cs="Arial"/>
          <w:color w:val="auto"/>
        </w:rPr>
      </w:pPr>
      <w:r w:rsidRPr="0059677A">
        <w:rPr>
          <w:rFonts w:cs="Arial"/>
          <w:noProof/>
          <w:color w:val="auto"/>
          <w:lang w:eastAsia="en-GB"/>
        </w:rPr>
        <w:lastRenderedPageBreak/>
        <w:drawing>
          <wp:inline distT="0" distB="0" distL="0" distR="0" wp14:anchorId="2C5D2469" wp14:editId="0C4A9F33">
            <wp:extent cx="5731510" cy="5731510"/>
            <wp:effectExtent l="0" t="0" r="2540" b="2540"/>
            <wp:docPr id="6" name="Picture 6" descr="H:\PhD documents\Projects\Paris work\Plots\THIN\THIN Issue trend in UTI vs antibiotics repor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D documents\Projects\Paris work\Plots\THIN\THIN Issue trend in UTI vs antibiotics report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8818877" w14:textId="546F9A13" w:rsidR="00EE22C7" w:rsidRPr="0059677A" w:rsidRDefault="00EE22C7" w:rsidP="00B0224B">
      <w:pPr>
        <w:pStyle w:val="Caption"/>
        <w:spacing w:line="480" w:lineRule="auto"/>
        <w:rPr>
          <w:rFonts w:cs="Arial"/>
          <w:b w:val="0"/>
          <w:color w:val="auto"/>
        </w:rPr>
      </w:pPr>
      <w:r w:rsidRPr="0059677A">
        <w:rPr>
          <w:rFonts w:cs="Arial"/>
          <w:color w:val="auto"/>
        </w:rPr>
        <w:t xml:space="preserve">Figure </w:t>
      </w:r>
      <w:r w:rsidR="00552563">
        <w:rPr>
          <w:rFonts w:cs="Arial"/>
          <w:color w:val="auto"/>
        </w:rPr>
        <w:t>S</w:t>
      </w:r>
      <w:r w:rsidRPr="0059677A">
        <w:rPr>
          <w:rFonts w:cs="Arial"/>
          <w:color w:val="auto"/>
        </w:rPr>
        <w:fldChar w:fldCharType="begin"/>
      </w:r>
      <w:r w:rsidRPr="0059677A">
        <w:rPr>
          <w:rFonts w:cs="Arial"/>
          <w:color w:val="auto"/>
        </w:rPr>
        <w:instrText xml:space="preserve"> SEQ Figure \* ARABIC </w:instrText>
      </w:r>
      <w:r w:rsidRPr="0059677A">
        <w:rPr>
          <w:rFonts w:cs="Arial"/>
          <w:color w:val="auto"/>
        </w:rPr>
        <w:fldChar w:fldCharType="separate"/>
      </w:r>
      <w:r w:rsidR="00AD4C52" w:rsidRPr="0059677A">
        <w:rPr>
          <w:rFonts w:cs="Arial"/>
          <w:noProof/>
          <w:color w:val="auto"/>
        </w:rPr>
        <w:t>2</w:t>
      </w:r>
      <w:r w:rsidRPr="0059677A">
        <w:rPr>
          <w:rFonts w:cs="Arial"/>
          <w:color w:val="auto"/>
        </w:rPr>
        <w:fldChar w:fldCharType="end"/>
      </w:r>
      <w:r w:rsidRPr="0059677A">
        <w:rPr>
          <w:rFonts w:cs="Arial"/>
          <w:color w:val="auto"/>
        </w:rPr>
        <w:t xml:space="preserve">. Percentage of monthly trimethoprim and nitrofurantoin prescriptions that had a UTI consultation coded on the same day for those aged under 85 and 85 or over. </w:t>
      </w:r>
      <w:r w:rsidRPr="0059677A">
        <w:rPr>
          <w:rFonts w:cs="Arial"/>
          <w:b w:val="0"/>
          <w:color w:val="auto"/>
        </w:rPr>
        <w:t xml:space="preserve">Nitrofurantoin and trimethoprim are almost exclusively prescribed for </w:t>
      </w:r>
      <w:proofErr w:type="gramStart"/>
      <w:r w:rsidRPr="0059677A">
        <w:rPr>
          <w:rFonts w:cs="Arial"/>
          <w:b w:val="0"/>
          <w:color w:val="auto"/>
        </w:rPr>
        <w:t>UTI,</w:t>
      </w:r>
      <w:proofErr w:type="gramEnd"/>
      <w:r w:rsidRPr="0059677A">
        <w:rPr>
          <w:rFonts w:cs="Arial"/>
          <w:b w:val="0"/>
          <w:color w:val="auto"/>
        </w:rPr>
        <w:t xml:space="preserve"> therefore this can be interpreted as a proxy for coding of UTI consultation. </w:t>
      </w:r>
    </w:p>
    <w:p w14:paraId="5387212B" w14:textId="33E6787A" w:rsidR="00EC1168" w:rsidRPr="0059677A" w:rsidRDefault="00EC1168">
      <w:pPr>
        <w:spacing w:line="276" w:lineRule="auto"/>
        <w:jc w:val="left"/>
        <w:rPr>
          <w:rFonts w:cs="Arial"/>
        </w:rPr>
      </w:pPr>
      <w:r w:rsidRPr="0059677A">
        <w:rPr>
          <w:rFonts w:cs="Arial"/>
        </w:rPr>
        <w:br w:type="page"/>
      </w:r>
    </w:p>
    <w:p w14:paraId="353CDD4D" w14:textId="77777777" w:rsidR="00433BAB" w:rsidRPr="0059677A" w:rsidRDefault="00433BAB" w:rsidP="00B0224B">
      <w:pPr>
        <w:keepNext/>
        <w:spacing w:line="480" w:lineRule="auto"/>
        <w:rPr>
          <w:rFonts w:cs="Arial"/>
        </w:rPr>
      </w:pPr>
      <w:r w:rsidRPr="0059677A">
        <w:rPr>
          <w:rFonts w:cs="Arial"/>
          <w:noProof/>
          <w:lang w:eastAsia="en-GB"/>
        </w:rPr>
        <w:lastRenderedPageBreak/>
        <w:drawing>
          <wp:inline distT="0" distB="0" distL="0" distR="0" wp14:anchorId="2EB28FFF" wp14:editId="134AFF6F">
            <wp:extent cx="5731510" cy="7640216"/>
            <wp:effectExtent l="0" t="0" r="2540" b="0"/>
            <wp:docPr id="8" name="Picture 8" descr="H:\PhD documents\Projects\Paris work\Plots\THIN\02-06-2017 THIN TREND UTI consultations UK by age and sex different ax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D documents\Projects\Paris work\Plots\THIN\02-06-2017 THIN TREND UTI consultations UK by age and sex different ax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640216"/>
                    </a:xfrm>
                    <a:prstGeom prst="rect">
                      <a:avLst/>
                    </a:prstGeom>
                    <a:noFill/>
                    <a:ln>
                      <a:noFill/>
                    </a:ln>
                  </pic:spPr>
                </pic:pic>
              </a:graphicData>
            </a:graphic>
          </wp:inline>
        </w:drawing>
      </w:r>
    </w:p>
    <w:p w14:paraId="08520C5E" w14:textId="4F51D298" w:rsidR="000B1404" w:rsidRPr="0059677A" w:rsidRDefault="00433BAB" w:rsidP="000B1404">
      <w:pPr>
        <w:pStyle w:val="Caption"/>
        <w:spacing w:line="480" w:lineRule="auto"/>
        <w:rPr>
          <w:rFonts w:cs="Arial"/>
          <w:b w:val="0"/>
          <w:color w:val="auto"/>
        </w:rPr>
      </w:pPr>
      <w:r w:rsidRPr="0059677A">
        <w:rPr>
          <w:rFonts w:cs="Arial"/>
          <w:color w:val="auto"/>
        </w:rPr>
        <w:t xml:space="preserve">Figure </w:t>
      </w:r>
      <w:r w:rsidR="00552563">
        <w:rPr>
          <w:rFonts w:cs="Arial"/>
          <w:color w:val="auto"/>
        </w:rPr>
        <w:t>S3</w:t>
      </w:r>
      <w:r w:rsidRPr="0059677A">
        <w:rPr>
          <w:rFonts w:cs="Arial"/>
          <w:color w:val="auto"/>
        </w:rPr>
        <w:t xml:space="preserve">. </w:t>
      </w:r>
      <w:proofErr w:type="gramStart"/>
      <w:r w:rsidRPr="0059677A">
        <w:rPr>
          <w:rFonts w:cs="Arial"/>
          <w:color w:val="auto"/>
        </w:rPr>
        <w:t>Monthly UTI consultations coded by GPs per 100,000 person years in the UK by age group and sex.</w:t>
      </w:r>
      <w:proofErr w:type="gramEnd"/>
      <w:r w:rsidRPr="0059677A">
        <w:rPr>
          <w:rFonts w:cs="Arial"/>
          <w:color w:val="auto"/>
        </w:rPr>
        <w:t xml:space="preserve"> </w:t>
      </w:r>
      <w:r w:rsidRPr="0059677A">
        <w:rPr>
          <w:rFonts w:cs="Arial"/>
          <w:b w:val="0"/>
          <w:color w:val="auto"/>
        </w:rPr>
        <w:t xml:space="preserve">The central red lines represent the fitted trend predictions from the seasonal regression model. This was a negative binomial polynomial regression model of degree two with the number of patients registered at each of </w:t>
      </w:r>
      <w:r w:rsidRPr="0059677A">
        <w:rPr>
          <w:rFonts w:cs="Arial"/>
          <w:b w:val="0"/>
          <w:color w:val="auto"/>
        </w:rPr>
        <w:lastRenderedPageBreak/>
        <w:t>the GP practices on the 1</w:t>
      </w:r>
      <w:r w:rsidRPr="0059677A">
        <w:rPr>
          <w:rFonts w:cs="Arial"/>
          <w:b w:val="0"/>
          <w:color w:val="auto"/>
          <w:vertAlign w:val="superscript"/>
        </w:rPr>
        <w:t>st</w:t>
      </w:r>
      <w:r w:rsidRPr="0059677A">
        <w:rPr>
          <w:rFonts w:cs="Arial"/>
          <w:b w:val="0"/>
          <w:color w:val="auto"/>
        </w:rPr>
        <w:t xml:space="preserve"> of July (mid-year) each year of the study as offset. The UTI consultations were de-duplicated to one per 30-day period. </w:t>
      </w:r>
      <w:r w:rsidR="00D7564F" w:rsidRPr="0059677A">
        <w:rPr>
          <w:rFonts w:cs="Arial"/>
          <w:b w:val="0"/>
          <w:color w:val="auto"/>
        </w:rPr>
        <w:t xml:space="preserve"> The y axes differ between panels</w:t>
      </w:r>
      <w:r w:rsidR="000B1404" w:rsidRPr="0059677A">
        <w:rPr>
          <w:rFonts w:cs="Arial"/>
          <w:b w:val="0"/>
          <w:color w:val="auto"/>
        </w:rPr>
        <w:t>.</w:t>
      </w:r>
    </w:p>
    <w:p w14:paraId="7E12F2D9" w14:textId="77777777" w:rsidR="000B1404" w:rsidRPr="0059677A" w:rsidRDefault="000B1404">
      <w:pPr>
        <w:spacing w:line="276" w:lineRule="auto"/>
        <w:jc w:val="left"/>
        <w:rPr>
          <w:rFonts w:cs="Arial"/>
          <w:bCs/>
          <w:sz w:val="18"/>
          <w:szCs w:val="18"/>
        </w:rPr>
      </w:pPr>
      <w:r w:rsidRPr="0059677A">
        <w:rPr>
          <w:rFonts w:cs="Arial"/>
          <w:b/>
        </w:rPr>
        <w:br w:type="page"/>
      </w:r>
    </w:p>
    <w:p w14:paraId="759D9E15" w14:textId="79F5F9D6" w:rsidR="005E18EE" w:rsidRPr="0059677A" w:rsidRDefault="003B75ED" w:rsidP="00B0224B">
      <w:pPr>
        <w:keepNext/>
        <w:spacing w:line="480" w:lineRule="auto"/>
        <w:rPr>
          <w:rFonts w:cs="Arial"/>
        </w:rPr>
      </w:pPr>
      <w:r w:rsidRPr="0059677A">
        <w:rPr>
          <w:rFonts w:cs="Arial"/>
          <w:noProof/>
          <w:lang w:eastAsia="en-GB"/>
        </w:rPr>
        <w:lastRenderedPageBreak/>
        <w:drawing>
          <wp:inline distT="0" distB="0" distL="0" distR="0" wp14:anchorId="44089487" wp14:editId="081639DE">
            <wp:extent cx="5731510" cy="7165715"/>
            <wp:effectExtent l="0" t="0" r="2540" b="0"/>
            <wp:docPr id="9" name="Picture 9" descr="H:\PhD documents\Projects\Paris work\Plots\THIN\03-02-2017 THIN UTI England vs 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D documents\Projects\Paris work\Plots\THIN\03-02-2017 THIN UTI England vs U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165715"/>
                    </a:xfrm>
                    <a:prstGeom prst="rect">
                      <a:avLst/>
                    </a:prstGeom>
                    <a:noFill/>
                    <a:ln>
                      <a:noFill/>
                    </a:ln>
                  </pic:spPr>
                </pic:pic>
              </a:graphicData>
            </a:graphic>
          </wp:inline>
        </w:drawing>
      </w:r>
    </w:p>
    <w:p w14:paraId="6888A8C1" w14:textId="1F194265" w:rsidR="005E5E83" w:rsidRPr="0059677A" w:rsidRDefault="005E18EE" w:rsidP="00B0224B">
      <w:pPr>
        <w:pStyle w:val="Caption"/>
        <w:spacing w:line="480" w:lineRule="auto"/>
        <w:rPr>
          <w:rFonts w:cs="Arial"/>
          <w:b w:val="0"/>
          <w:color w:val="auto"/>
        </w:rPr>
      </w:pPr>
      <w:r w:rsidRPr="0059677A">
        <w:rPr>
          <w:rFonts w:cs="Arial"/>
          <w:color w:val="auto"/>
        </w:rPr>
        <w:t xml:space="preserve">Figure </w:t>
      </w:r>
      <w:r w:rsidR="00552563">
        <w:rPr>
          <w:rFonts w:cs="Arial"/>
          <w:color w:val="auto"/>
        </w:rPr>
        <w:t>S4</w:t>
      </w:r>
      <w:r w:rsidR="00BA057D" w:rsidRPr="0059677A">
        <w:rPr>
          <w:rFonts w:cs="Arial"/>
          <w:color w:val="auto"/>
        </w:rPr>
        <w:t xml:space="preserve">. </w:t>
      </w:r>
      <w:proofErr w:type="gramStart"/>
      <w:r w:rsidR="006626ED" w:rsidRPr="0059677A">
        <w:rPr>
          <w:rFonts w:cs="Arial"/>
          <w:color w:val="auto"/>
        </w:rPr>
        <w:t xml:space="preserve">Monthly </w:t>
      </w:r>
      <w:r w:rsidR="00BA057D" w:rsidRPr="0059677A">
        <w:rPr>
          <w:rFonts w:cs="Arial"/>
          <w:color w:val="auto"/>
        </w:rPr>
        <w:t xml:space="preserve">UTI consultations </w:t>
      </w:r>
      <w:r w:rsidRPr="0059677A">
        <w:rPr>
          <w:rFonts w:cs="Arial"/>
          <w:color w:val="auto"/>
        </w:rPr>
        <w:t xml:space="preserve">coded </w:t>
      </w:r>
      <w:r w:rsidR="006626ED" w:rsidRPr="0059677A">
        <w:rPr>
          <w:rFonts w:cs="Arial"/>
          <w:color w:val="auto"/>
        </w:rPr>
        <w:t xml:space="preserve">by GPs </w:t>
      </w:r>
      <w:r w:rsidRPr="0059677A">
        <w:rPr>
          <w:rFonts w:cs="Arial"/>
          <w:color w:val="auto"/>
        </w:rPr>
        <w:t>per 100,000 person years in England and in the UK by age group.</w:t>
      </w:r>
      <w:proofErr w:type="gramEnd"/>
      <w:r w:rsidRPr="0059677A">
        <w:rPr>
          <w:rFonts w:cs="Arial"/>
          <w:color w:val="auto"/>
        </w:rPr>
        <w:t xml:space="preserve"> </w:t>
      </w:r>
      <w:r w:rsidRPr="0059677A">
        <w:rPr>
          <w:rFonts w:cs="Arial"/>
          <w:b w:val="0"/>
          <w:color w:val="auto"/>
        </w:rPr>
        <w:t xml:space="preserve">The central red lines represent the fitted predictions </w:t>
      </w:r>
      <w:r w:rsidRPr="0059677A">
        <w:rPr>
          <w:rFonts w:cs="Arial"/>
          <w:b w:val="0"/>
          <w:color w:val="000000" w:themeColor="text1"/>
        </w:rPr>
        <w:t xml:space="preserve">of the negative binomial polynomial regression model of degree two with </w:t>
      </w:r>
      <w:r w:rsidR="005E5E83" w:rsidRPr="0059677A">
        <w:rPr>
          <w:rFonts w:cs="Arial"/>
          <w:b w:val="0"/>
          <w:color w:val="000000" w:themeColor="text1"/>
        </w:rPr>
        <w:t>the number of patients registered at each of the GP practices on the 1</w:t>
      </w:r>
      <w:r w:rsidR="005E5E83" w:rsidRPr="0059677A">
        <w:rPr>
          <w:rFonts w:cs="Arial"/>
          <w:b w:val="0"/>
          <w:color w:val="000000" w:themeColor="text1"/>
          <w:vertAlign w:val="superscript"/>
        </w:rPr>
        <w:t>st</w:t>
      </w:r>
      <w:r w:rsidR="005E5E83" w:rsidRPr="0059677A">
        <w:rPr>
          <w:rFonts w:cs="Arial"/>
          <w:b w:val="0"/>
          <w:color w:val="000000" w:themeColor="text1"/>
        </w:rPr>
        <w:t xml:space="preserve"> of July (mid-year) each year of the study as offset</w:t>
      </w:r>
      <w:r w:rsidRPr="0059677A">
        <w:rPr>
          <w:rFonts w:cs="Arial"/>
          <w:b w:val="0"/>
          <w:color w:val="000000" w:themeColor="text1"/>
        </w:rPr>
        <w:t xml:space="preserve">. The central blue lines represent the fitted predictions of the </w:t>
      </w:r>
      <w:r w:rsidR="005E5E83" w:rsidRPr="0059677A">
        <w:rPr>
          <w:rFonts w:cs="Arial"/>
          <w:b w:val="0"/>
          <w:color w:val="000000" w:themeColor="text1"/>
        </w:rPr>
        <w:t>same model but with a seasonal component included</w:t>
      </w:r>
      <w:r w:rsidRPr="0059677A">
        <w:rPr>
          <w:rFonts w:cs="Arial"/>
          <w:b w:val="0"/>
          <w:color w:val="000000" w:themeColor="text1"/>
        </w:rPr>
        <w:t xml:space="preserve">. The shaded areas represent the 95% confidence intervals for </w:t>
      </w:r>
      <w:r w:rsidRPr="0059677A">
        <w:rPr>
          <w:rFonts w:cs="Arial"/>
          <w:b w:val="0"/>
          <w:color w:val="000000" w:themeColor="text1"/>
        </w:rPr>
        <w:lastRenderedPageBreak/>
        <w:t xml:space="preserve">their respective models. </w:t>
      </w:r>
      <w:r w:rsidR="000A56B9" w:rsidRPr="0059677A">
        <w:rPr>
          <w:rFonts w:cs="Arial"/>
          <w:b w:val="0"/>
          <w:color w:val="000000" w:themeColor="text1"/>
        </w:rPr>
        <w:t xml:space="preserve">These were calculated using the standard errors from the predict function, which calculates the confidence intervals around the mean. </w:t>
      </w:r>
      <w:r w:rsidR="005E5E83" w:rsidRPr="0059677A">
        <w:rPr>
          <w:rFonts w:cs="Arial"/>
          <w:b w:val="0"/>
          <w:color w:val="000000" w:themeColor="text1"/>
        </w:rPr>
        <w:t>The UTI consultations were de-duplicated to one per 30-day period.</w:t>
      </w:r>
      <w:r w:rsidR="005E5E83" w:rsidRPr="0059677A">
        <w:rPr>
          <w:rFonts w:cs="Arial"/>
          <w:b w:val="0"/>
        </w:rPr>
        <w:t xml:space="preserve"> </w:t>
      </w:r>
      <w:r w:rsidR="00265874" w:rsidRPr="0059677A">
        <w:rPr>
          <w:rFonts w:cs="Arial"/>
          <w:b w:val="0"/>
          <w:color w:val="auto"/>
        </w:rPr>
        <w:t>The y axes differ between panels.</w:t>
      </w:r>
    </w:p>
    <w:p w14:paraId="63D0F480" w14:textId="77777777" w:rsidR="000D1DE2" w:rsidRPr="0059677A" w:rsidRDefault="000D1DE2" w:rsidP="00B0224B">
      <w:pPr>
        <w:pStyle w:val="Caption"/>
        <w:keepNext/>
        <w:spacing w:line="480" w:lineRule="auto"/>
        <w:rPr>
          <w:rFonts w:cs="Arial"/>
          <w:color w:val="auto"/>
        </w:rPr>
        <w:sectPr w:rsidR="000D1DE2" w:rsidRPr="0059677A" w:rsidSect="00B0224B">
          <w:pgSz w:w="11906" w:h="16838"/>
          <w:pgMar w:top="1440" w:right="1440" w:bottom="1440" w:left="1440" w:header="708" w:footer="708" w:gutter="0"/>
          <w:lnNumType w:countBy="1" w:restart="continuous"/>
          <w:cols w:space="708"/>
          <w:docGrid w:linePitch="360"/>
        </w:sectPr>
      </w:pPr>
    </w:p>
    <w:p w14:paraId="5A1C8CBA" w14:textId="135E954A" w:rsidR="00430DB6" w:rsidRPr="0059677A" w:rsidRDefault="00DC7FB8" w:rsidP="00B0224B">
      <w:pPr>
        <w:keepNext/>
        <w:spacing w:line="480" w:lineRule="auto"/>
        <w:rPr>
          <w:rFonts w:cs="Arial"/>
        </w:rPr>
      </w:pPr>
      <w:r w:rsidRPr="0059677A">
        <w:rPr>
          <w:rFonts w:cs="Arial"/>
          <w:noProof/>
          <w:lang w:eastAsia="en-GB"/>
        </w:rPr>
        <w:lastRenderedPageBreak/>
        <w:drawing>
          <wp:inline distT="0" distB="0" distL="0" distR="0" wp14:anchorId="4310CE0A" wp14:editId="2872DCFD">
            <wp:extent cx="5731510" cy="4584359"/>
            <wp:effectExtent l="0" t="0" r="2540" b="6985"/>
            <wp:docPr id="10" name="Picture 10" descr="H:\PhD documents\Projects\Paris work\Plots\THIN\17-03-2017 THIN UTI consultations UK by age SCA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hD documents\Projects\Paris work\Plots\THIN\17-03-2017 THIN UTI consultations UK by age SCA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584359"/>
                    </a:xfrm>
                    <a:prstGeom prst="rect">
                      <a:avLst/>
                    </a:prstGeom>
                    <a:noFill/>
                    <a:ln>
                      <a:noFill/>
                    </a:ln>
                  </pic:spPr>
                </pic:pic>
              </a:graphicData>
            </a:graphic>
          </wp:inline>
        </w:drawing>
      </w:r>
    </w:p>
    <w:p w14:paraId="144F9E1B" w14:textId="5BAD8F01" w:rsidR="00430DB6" w:rsidRPr="0059677A" w:rsidRDefault="00430DB6" w:rsidP="00B0224B">
      <w:pPr>
        <w:pStyle w:val="Caption"/>
        <w:spacing w:line="480" w:lineRule="auto"/>
        <w:rPr>
          <w:rFonts w:cs="Arial"/>
          <w:b w:val="0"/>
          <w:color w:val="auto"/>
        </w:rPr>
      </w:pPr>
      <w:r w:rsidRPr="0059677A">
        <w:rPr>
          <w:rFonts w:cs="Arial"/>
          <w:color w:val="auto"/>
        </w:rPr>
        <w:t xml:space="preserve">Figure </w:t>
      </w:r>
      <w:r w:rsidR="00552563">
        <w:rPr>
          <w:rFonts w:cs="Arial"/>
          <w:color w:val="auto"/>
        </w:rPr>
        <w:t>S5</w:t>
      </w:r>
      <w:r w:rsidRPr="0059677A">
        <w:rPr>
          <w:rFonts w:cs="Arial"/>
          <w:color w:val="auto"/>
        </w:rPr>
        <w:t>.</w:t>
      </w:r>
      <w:r w:rsidR="00CA39E7" w:rsidRPr="0059677A">
        <w:rPr>
          <w:rFonts w:cs="Arial"/>
          <w:color w:val="auto"/>
        </w:rPr>
        <w:t xml:space="preserve"> Scaled </w:t>
      </w:r>
      <w:r w:rsidR="006626ED" w:rsidRPr="0059677A">
        <w:rPr>
          <w:rFonts w:cs="Arial"/>
          <w:color w:val="auto"/>
        </w:rPr>
        <w:t xml:space="preserve">monthly </w:t>
      </w:r>
      <w:r w:rsidR="00CA39E7" w:rsidRPr="0059677A">
        <w:rPr>
          <w:rFonts w:cs="Arial"/>
          <w:color w:val="auto"/>
        </w:rPr>
        <w:t xml:space="preserve">UTI consultations coded per 100,000 person years in the UK by age group. </w:t>
      </w:r>
      <w:r w:rsidR="00BB31F1" w:rsidRPr="0059677A">
        <w:rPr>
          <w:rFonts w:cs="Arial"/>
          <w:b w:val="0"/>
          <w:color w:val="auto"/>
        </w:rPr>
        <w:t>The UTI consultations w</w:t>
      </w:r>
      <w:r w:rsidR="005E5E83" w:rsidRPr="0059677A">
        <w:rPr>
          <w:rFonts w:cs="Arial"/>
          <w:b w:val="0"/>
          <w:color w:val="auto"/>
        </w:rPr>
        <w:t>ere de-duplicated to one per 30-</w:t>
      </w:r>
      <w:r w:rsidR="00BB31F1" w:rsidRPr="0059677A">
        <w:rPr>
          <w:rFonts w:cs="Arial"/>
          <w:b w:val="0"/>
          <w:color w:val="auto"/>
        </w:rPr>
        <w:t xml:space="preserve">day period. </w:t>
      </w:r>
      <w:r w:rsidR="00CA39E7" w:rsidRPr="0059677A">
        <w:rPr>
          <w:rFonts w:cs="Arial"/>
          <w:b w:val="0"/>
          <w:color w:val="auto"/>
        </w:rPr>
        <w:t xml:space="preserve">The red lines represent the fitted predictions of the negative binomial polynomial regression model of degree two with </w:t>
      </w:r>
      <w:r w:rsidR="006B701E" w:rsidRPr="0059677A">
        <w:rPr>
          <w:rFonts w:cs="Arial"/>
          <w:b w:val="0"/>
          <w:color w:val="000000" w:themeColor="text1"/>
        </w:rPr>
        <w:t>the number of patients registered at each of the GP practices on the 1</w:t>
      </w:r>
      <w:r w:rsidR="006B701E" w:rsidRPr="0059677A">
        <w:rPr>
          <w:rFonts w:cs="Arial"/>
          <w:b w:val="0"/>
          <w:color w:val="000000" w:themeColor="text1"/>
          <w:vertAlign w:val="superscript"/>
        </w:rPr>
        <w:t>st</w:t>
      </w:r>
      <w:r w:rsidR="006B701E" w:rsidRPr="0059677A">
        <w:rPr>
          <w:rFonts w:cs="Arial"/>
          <w:b w:val="0"/>
          <w:color w:val="000000" w:themeColor="text1"/>
        </w:rPr>
        <w:t xml:space="preserve"> of July (mid-year) each year of the study as offset</w:t>
      </w:r>
      <w:r w:rsidR="00CA39E7" w:rsidRPr="0059677A">
        <w:rPr>
          <w:rFonts w:cs="Arial"/>
          <w:b w:val="0"/>
          <w:color w:val="auto"/>
        </w:rPr>
        <w:t>. The blue lines repr</w:t>
      </w:r>
      <w:r w:rsidR="006B701E" w:rsidRPr="0059677A">
        <w:rPr>
          <w:rFonts w:cs="Arial"/>
          <w:b w:val="0"/>
          <w:color w:val="auto"/>
        </w:rPr>
        <w:t xml:space="preserve">esent the fitted predictions </w:t>
      </w:r>
      <w:r w:rsidR="006B701E" w:rsidRPr="0059677A">
        <w:rPr>
          <w:rFonts w:cs="Arial"/>
          <w:b w:val="0"/>
          <w:color w:val="000000" w:themeColor="text1"/>
        </w:rPr>
        <w:t>of the same model but with a seasonal component included</w:t>
      </w:r>
      <w:r w:rsidR="00CA39E7" w:rsidRPr="0059677A">
        <w:rPr>
          <w:rFonts w:cs="Arial"/>
          <w:b w:val="0"/>
          <w:color w:val="auto"/>
        </w:rPr>
        <w:t>. No confidence inter</w:t>
      </w:r>
      <w:r w:rsidR="00531BC6" w:rsidRPr="0059677A">
        <w:rPr>
          <w:rFonts w:cs="Arial"/>
          <w:b w:val="0"/>
          <w:color w:val="auto"/>
        </w:rPr>
        <w:t xml:space="preserve">vals are presented as these were </w:t>
      </w:r>
      <w:r w:rsidR="00CA39E7" w:rsidRPr="0059677A">
        <w:rPr>
          <w:rFonts w:cs="Arial"/>
          <w:b w:val="0"/>
          <w:color w:val="auto"/>
        </w:rPr>
        <w:t>scaled predictions.</w:t>
      </w:r>
      <w:r w:rsidR="006626ED" w:rsidRPr="0059677A">
        <w:rPr>
          <w:rFonts w:cs="Arial"/>
          <w:b w:val="0"/>
          <w:color w:val="auto"/>
        </w:rPr>
        <w:t xml:space="preserve"> The </w:t>
      </w:r>
      <w:r w:rsidR="002660F1" w:rsidRPr="0059677A">
        <w:rPr>
          <w:rFonts w:cs="Arial"/>
          <w:b w:val="0"/>
          <w:color w:val="auto"/>
        </w:rPr>
        <w:t xml:space="preserve">monthly </w:t>
      </w:r>
      <w:r w:rsidR="006626ED" w:rsidRPr="0059677A">
        <w:rPr>
          <w:rFonts w:cs="Arial"/>
          <w:b w:val="0"/>
          <w:color w:val="auto"/>
        </w:rPr>
        <w:t xml:space="preserve">UTI consultations were scaled </w:t>
      </w:r>
      <w:r w:rsidR="0007354C" w:rsidRPr="0059677A">
        <w:rPr>
          <w:rFonts w:cs="Arial"/>
          <w:b w:val="0"/>
          <w:color w:val="auto"/>
        </w:rPr>
        <w:t xml:space="preserve">for each age group </w:t>
      </w:r>
      <w:r w:rsidR="006626ED" w:rsidRPr="0059677A">
        <w:rPr>
          <w:rFonts w:cs="Arial"/>
          <w:b w:val="0"/>
          <w:color w:val="auto"/>
        </w:rPr>
        <w:t xml:space="preserve">by dividing </w:t>
      </w:r>
      <w:r w:rsidR="0007354C" w:rsidRPr="0059677A">
        <w:rPr>
          <w:rFonts w:cs="Arial"/>
          <w:b w:val="0"/>
          <w:color w:val="auto"/>
        </w:rPr>
        <w:t xml:space="preserve">by a scaling factor. This scaling factor </w:t>
      </w:r>
      <w:r w:rsidR="002660F1" w:rsidRPr="0059677A">
        <w:rPr>
          <w:rFonts w:cs="Arial"/>
          <w:b w:val="0"/>
          <w:color w:val="auto"/>
        </w:rPr>
        <w:t>was the percentage of UTIs coded in each month (the percentage of monthly trimethoprim and nitrofurantoin prescriptions that had a UTI consultation coded on the same day) divided by the maximum percentag</w:t>
      </w:r>
      <w:r w:rsidR="001A415F" w:rsidRPr="0059677A">
        <w:rPr>
          <w:rFonts w:cs="Arial"/>
          <w:b w:val="0"/>
          <w:color w:val="auto"/>
        </w:rPr>
        <w:t xml:space="preserve">e coded </w:t>
      </w:r>
      <w:r w:rsidR="002660F1" w:rsidRPr="0059677A">
        <w:rPr>
          <w:rFonts w:cs="Arial"/>
          <w:b w:val="0"/>
          <w:color w:val="auto"/>
        </w:rPr>
        <w:t>over the study period for that age group.</w:t>
      </w:r>
      <w:r w:rsidR="00F72507" w:rsidRPr="0059677A">
        <w:rPr>
          <w:rFonts w:cs="Arial"/>
          <w:b w:val="0"/>
          <w:color w:val="auto"/>
        </w:rPr>
        <w:t xml:space="preserve"> The right panels show the </w:t>
      </w:r>
      <w:proofErr w:type="spellStart"/>
      <w:r w:rsidR="00F72507" w:rsidRPr="0059677A">
        <w:rPr>
          <w:rFonts w:cs="Arial"/>
          <w:b w:val="0"/>
          <w:color w:val="auto"/>
        </w:rPr>
        <w:t>correlograms</w:t>
      </w:r>
      <w:proofErr w:type="spellEnd"/>
      <w:r w:rsidR="00F72507" w:rsidRPr="0059677A">
        <w:rPr>
          <w:rFonts w:cs="Arial"/>
          <w:b w:val="0"/>
          <w:color w:val="auto"/>
        </w:rPr>
        <w:t xml:space="preserve"> for the residuals of the regression models without seasonality at lags of 0-12 months for each age group.</w:t>
      </w:r>
      <w:r w:rsidR="00265874" w:rsidRPr="0059677A">
        <w:rPr>
          <w:rFonts w:cs="Arial"/>
          <w:b w:val="0"/>
          <w:color w:val="auto"/>
        </w:rPr>
        <w:t xml:space="preserve"> The y axes differ between panels.</w:t>
      </w:r>
    </w:p>
    <w:p w14:paraId="5270D2CB" w14:textId="4B6BEB99" w:rsidR="001D1575" w:rsidRPr="0059677A" w:rsidRDefault="00EC1168" w:rsidP="002A58FA">
      <w:pPr>
        <w:spacing w:line="276" w:lineRule="auto"/>
        <w:jc w:val="left"/>
        <w:rPr>
          <w:rFonts w:cs="Arial"/>
        </w:rPr>
      </w:pPr>
      <w:r w:rsidRPr="0059677A">
        <w:rPr>
          <w:rFonts w:cs="Arial"/>
        </w:rPr>
        <w:br w:type="page"/>
      </w:r>
    </w:p>
    <w:p w14:paraId="43D14D3D" w14:textId="04A7158D" w:rsidR="00F72507" w:rsidRPr="0059677A" w:rsidRDefault="00C44A01" w:rsidP="00B0224B">
      <w:pPr>
        <w:keepNext/>
        <w:spacing w:line="480" w:lineRule="auto"/>
        <w:rPr>
          <w:rFonts w:cs="Arial"/>
        </w:rPr>
      </w:pPr>
      <w:r w:rsidRPr="0059677A">
        <w:rPr>
          <w:rFonts w:cs="Arial"/>
          <w:noProof/>
          <w:lang w:eastAsia="en-GB"/>
        </w:rPr>
        <w:lastRenderedPageBreak/>
        <w:drawing>
          <wp:inline distT="0" distB="0" distL="0" distR="0" wp14:anchorId="34468618" wp14:editId="28127865">
            <wp:extent cx="5731510" cy="5094151"/>
            <wp:effectExtent l="0" t="0" r="2540" b="0"/>
            <wp:docPr id="11" name="Picture 11" descr="H:\PhD documents\Projects\Paris work\Plots\THIN\12-04-2017 THIN trim.nitro_30d UK by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hD documents\Projects\Paris work\Plots\THIN\12-04-2017 THIN trim.nitro_30d UK by ag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094151"/>
                    </a:xfrm>
                    <a:prstGeom prst="rect">
                      <a:avLst/>
                    </a:prstGeom>
                    <a:noFill/>
                    <a:ln>
                      <a:noFill/>
                    </a:ln>
                  </pic:spPr>
                </pic:pic>
              </a:graphicData>
            </a:graphic>
          </wp:inline>
        </w:drawing>
      </w:r>
    </w:p>
    <w:p w14:paraId="4F8CEA7C" w14:textId="6A1E5F50" w:rsidR="00BA057D" w:rsidRPr="0059677A" w:rsidRDefault="00F72507" w:rsidP="00B0224B">
      <w:pPr>
        <w:pStyle w:val="Caption"/>
        <w:spacing w:line="480" w:lineRule="auto"/>
        <w:rPr>
          <w:rFonts w:cs="Arial"/>
          <w:b w:val="0"/>
          <w:color w:val="auto"/>
        </w:rPr>
      </w:pPr>
      <w:r w:rsidRPr="0059677A">
        <w:rPr>
          <w:rFonts w:cs="Arial"/>
          <w:color w:val="auto"/>
        </w:rPr>
        <w:t xml:space="preserve">Figure </w:t>
      </w:r>
      <w:r w:rsidR="00552563">
        <w:rPr>
          <w:rFonts w:cs="Arial"/>
          <w:color w:val="auto"/>
        </w:rPr>
        <w:t>S6</w:t>
      </w:r>
      <w:r w:rsidRPr="0059677A">
        <w:rPr>
          <w:rFonts w:cs="Arial"/>
          <w:color w:val="auto"/>
        </w:rPr>
        <w:t xml:space="preserve">. Monthly nitrofurantoin and trimethoprim prescriptions administered by GPs per 100,000 person years in the UK by age group. </w:t>
      </w:r>
      <w:r w:rsidR="000065E0" w:rsidRPr="0059677A">
        <w:rPr>
          <w:rFonts w:cs="Arial"/>
          <w:b w:val="0"/>
          <w:color w:val="auto"/>
        </w:rPr>
        <w:t>The nitrofurantoin and trimethoprim prescriptions w</w:t>
      </w:r>
      <w:r w:rsidR="005E5E83" w:rsidRPr="0059677A">
        <w:rPr>
          <w:rFonts w:cs="Arial"/>
          <w:b w:val="0"/>
          <w:color w:val="auto"/>
        </w:rPr>
        <w:t>ere de-duplicated to one per 30-</w:t>
      </w:r>
      <w:r w:rsidR="000065E0" w:rsidRPr="0059677A">
        <w:rPr>
          <w:rFonts w:cs="Arial"/>
          <w:b w:val="0"/>
          <w:color w:val="auto"/>
        </w:rPr>
        <w:t xml:space="preserve">day period. </w:t>
      </w:r>
      <w:r w:rsidRPr="0059677A">
        <w:rPr>
          <w:rFonts w:cs="Arial"/>
          <w:b w:val="0"/>
          <w:color w:val="auto"/>
        </w:rPr>
        <w:t xml:space="preserve">The central red lines represent the fitted predictions of the negative binomial polynomial regression model of degree two </w:t>
      </w:r>
      <w:r w:rsidR="008B15B2" w:rsidRPr="0059677A">
        <w:rPr>
          <w:rFonts w:cs="Arial"/>
          <w:b w:val="0"/>
          <w:color w:val="auto"/>
        </w:rPr>
        <w:t xml:space="preserve">with </w:t>
      </w:r>
      <w:r w:rsidR="008B15B2" w:rsidRPr="0059677A">
        <w:rPr>
          <w:rFonts w:cs="Arial"/>
          <w:b w:val="0"/>
          <w:color w:val="000000" w:themeColor="text1"/>
        </w:rPr>
        <w:t>the number of patients registered at each of the GP practices on the 1</w:t>
      </w:r>
      <w:r w:rsidR="008B15B2" w:rsidRPr="0059677A">
        <w:rPr>
          <w:rFonts w:cs="Arial"/>
          <w:b w:val="0"/>
          <w:color w:val="000000" w:themeColor="text1"/>
          <w:vertAlign w:val="superscript"/>
        </w:rPr>
        <w:t>st</w:t>
      </w:r>
      <w:r w:rsidR="008B15B2" w:rsidRPr="0059677A">
        <w:rPr>
          <w:rFonts w:cs="Arial"/>
          <w:b w:val="0"/>
          <w:color w:val="000000" w:themeColor="text1"/>
        </w:rPr>
        <w:t xml:space="preserve"> of July (mid-year) each year of the study as offset</w:t>
      </w:r>
      <w:r w:rsidRPr="0059677A">
        <w:rPr>
          <w:rFonts w:cs="Arial"/>
          <w:b w:val="0"/>
          <w:color w:val="auto"/>
        </w:rPr>
        <w:t xml:space="preserve">. The central blue lines represent the fitted predictions </w:t>
      </w:r>
      <w:r w:rsidR="008B15B2" w:rsidRPr="0059677A">
        <w:rPr>
          <w:rFonts w:cs="Arial"/>
          <w:b w:val="0"/>
          <w:color w:val="000000" w:themeColor="text1"/>
        </w:rPr>
        <w:t>of the same model but with a seasonal component included</w:t>
      </w:r>
      <w:r w:rsidRPr="0059677A">
        <w:rPr>
          <w:rFonts w:cs="Arial"/>
          <w:b w:val="0"/>
          <w:color w:val="000000" w:themeColor="text1"/>
        </w:rPr>
        <w:t xml:space="preserve">. The shaded areas represent the 95% confidence intervals for their respective models. </w:t>
      </w:r>
      <w:r w:rsidR="000A56B9" w:rsidRPr="0059677A">
        <w:rPr>
          <w:rFonts w:cs="Arial"/>
          <w:b w:val="0"/>
          <w:color w:val="000000" w:themeColor="text1"/>
        </w:rPr>
        <w:t xml:space="preserve">These were calculated using the standard errors from the predict function, which calculates the confidence intervals around the mean. </w:t>
      </w:r>
      <w:r w:rsidRPr="0059677A">
        <w:rPr>
          <w:rFonts w:cs="Arial"/>
          <w:b w:val="0"/>
          <w:color w:val="000000" w:themeColor="text1"/>
        </w:rPr>
        <w:t xml:space="preserve">The right panels show the </w:t>
      </w:r>
      <w:proofErr w:type="spellStart"/>
      <w:r w:rsidRPr="0059677A">
        <w:rPr>
          <w:rFonts w:cs="Arial"/>
          <w:b w:val="0"/>
          <w:color w:val="000000" w:themeColor="text1"/>
        </w:rPr>
        <w:t>correlograms</w:t>
      </w:r>
      <w:proofErr w:type="spellEnd"/>
      <w:r w:rsidRPr="0059677A">
        <w:rPr>
          <w:rFonts w:cs="Arial"/>
          <w:b w:val="0"/>
          <w:color w:val="000000" w:themeColor="text1"/>
        </w:rPr>
        <w:t xml:space="preserve"> for the residuals of the regression models without seasonality</w:t>
      </w:r>
      <w:r w:rsidRPr="0059677A">
        <w:rPr>
          <w:rFonts w:cs="Arial"/>
          <w:b w:val="0"/>
          <w:color w:val="auto"/>
        </w:rPr>
        <w:t xml:space="preserve"> at lags of 0-12 months for each age group.</w:t>
      </w:r>
      <w:r w:rsidR="00265874" w:rsidRPr="0059677A">
        <w:rPr>
          <w:rFonts w:cs="Arial"/>
          <w:b w:val="0"/>
          <w:color w:val="auto"/>
        </w:rPr>
        <w:t xml:space="preserve"> The y axes differ between panels.</w:t>
      </w:r>
    </w:p>
    <w:p w14:paraId="02DDA455" w14:textId="0A70A143" w:rsidR="002A58FA" w:rsidRPr="0059677A" w:rsidRDefault="002A58FA">
      <w:pPr>
        <w:spacing w:line="276" w:lineRule="auto"/>
        <w:jc w:val="left"/>
        <w:rPr>
          <w:rFonts w:cs="Arial"/>
        </w:rPr>
      </w:pPr>
      <w:r w:rsidRPr="0059677A">
        <w:rPr>
          <w:rFonts w:cs="Arial"/>
        </w:rPr>
        <w:br w:type="page"/>
      </w:r>
    </w:p>
    <w:p w14:paraId="6C0C8244" w14:textId="65873744" w:rsidR="00BB31F1" w:rsidRPr="0059677A" w:rsidRDefault="000C1852" w:rsidP="00B0224B">
      <w:pPr>
        <w:keepNext/>
        <w:spacing w:line="480" w:lineRule="auto"/>
        <w:rPr>
          <w:rFonts w:cs="Arial"/>
        </w:rPr>
      </w:pPr>
      <w:r w:rsidRPr="0059677A">
        <w:rPr>
          <w:rFonts w:cs="Arial"/>
          <w:noProof/>
          <w:lang w:eastAsia="en-GB"/>
        </w:rPr>
        <w:lastRenderedPageBreak/>
        <w:drawing>
          <wp:inline distT="0" distB="0" distL="0" distR="0" wp14:anchorId="37F7FCEF" wp14:editId="3B30D596">
            <wp:extent cx="5731510" cy="5095674"/>
            <wp:effectExtent l="0" t="0" r="2540" b="0"/>
            <wp:docPr id="12" name="Picture 12" descr="H:\PhD documents\Projects\Paris work\Plots\THIN\10-02-2017 THIN UTI consultations England by 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hD documents\Projects\Paris work\Plots\THIN\10-02-2017 THIN UTI consultations England by 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095674"/>
                    </a:xfrm>
                    <a:prstGeom prst="rect">
                      <a:avLst/>
                    </a:prstGeom>
                    <a:noFill/>
                    <a:ln>
                      <a:noFill/>
                    </a:ln>
                  </pic:spPr>
                </pic:pic>
              </a:graphicData>
            </a:graphic>
          </wp:inline>
        </w:drawing>
      </w:r>
    </w:p>
    <w:p w14:paraId="36EE6822" w14:textId="50B81D28" w:rsidR="00BB31F1" w:rsidRPr="0059677A" w:rsidRDefault="00BB31F1" w:rsidP="00B0224B">
      <w:pPr>
        <w:pStyle w:val="Caption"/>
        <w:spacing w:line="480" w:lineRule="auto"/>
        <w:rPr>
          <w:rFonts w:cs="Arial"/>
          <w:b w:val="0"/>
          <w:color w:val="auto"/>
        </w:rPr>
      </w:pPr>
      <w:r w:rsidRPr="0059677A">
        <w:rPr>
          <w:rFonts w:cs="Arial"/>
          <w:color w:val="auto"/>
        </w:rPr>
        <w:t xml:space="preserve">Figure </w:t>
      </w:r>
      <w:r w:rsidR="00552563">
        <w:rPr>
          <w:rFonts w:cs="Arial"/>
          <w:color w:val="auto"/>
        </w:rPr>
        <w:t>S7</w:t>
      </w:r>
      <w:r w:rsidRPr="0059677A">
        <w:rPr>
          <w:rFonts w:cs="Arial"/>
          <w:color w:val="auto"/>
        </w:rPr>
        <w:t xml:space="preserve">. Monthly </w:t>
      </w:r>
      <w:r w:rsidR="009A682A" w:rsidRPr="0059677A">
        <w:rPr>
          <w:rFonts w:cs="Arial"/>
          <w:color w:val="auto"/>
        </w:rPr>
        <w:t>UTI consultations coded per 100,000 person years in England by age group</w:t>
      </w:r>
      <w:r w:rsidRPr="0059677A">
        <w:rPr>
          <w:rFonts w:cs="Arial"/>
          <w:color w:val="auto"/>
        </w:rPr>
        <w:t xml:space="preserve">. </w:t>
      </w:r>
      <w:r w:rsidR="000065E0" w:rsidRPr="0059677A">
        <w:rPr>
          <w:rFonts w:cs="Arial"/>
          <w:b w:val="0"/>
          <w:color w:val="auto"/>
        </w:rPr>
        <w:t>The UTI consultations w</w:t>
      </w:r>
      <w:r w:rsidR="005E5E83" w:rsidRPr="0059677A">
        <w:rPr>
          <w:rFonts w:cs="Arial"/>
          <w:b w:val="0"/>
          <w:color w:val="auto"/>
        </w:rPr>
        <w:t>ere de-duplicated to one per 30-</w:t>
      </w:r>
      <w:r w:rsidR="000065E0" w:rsidRPr="0059677A">
        <w:rPr>
          <w:rFonts w:cs="Arial"/>
          <w:b w:val="0"/>
          <w:color w:val="auto"/>
        </w:rPr>
        <w:t xml:space="preserve">day period. </w:t>
      </w:r>
      <w:r w:rsidRPr="0059677A">
        <w:rPr>
          <w:rFonts w:cs="Arial"/>
          <w:b w:val="0"/>
          <w:color w:val="auto"/>
        </w:rPr>
        <w:t xml:space="preserve">The central red lines represent the fitted predictions of the negative binomial polynomial regression model of degree two </w:t>
      </w:r>
      <w:r w:rsidR="00D05AB6" w:rsidRPr="0059677A">
        <w:rPr>
          <w:rFonts w:cs="Arial"/>
          <w:b w:val="0"/>
          <w:color w:val="auto"/>
        </w:rPr>
        <w:t xml:space="preserve">with </w:t>
      </w:r>
      <w:r w:rsidR="00D05AB6" w:rsidRPr="0059677A">
        <w:rPr>
          <w:rFonts w:cs="Arial"/>
          <w:b w:val="0"/>
          <w:color w:val="000000" w:themeColor="text1"/>
        </w:rPr>
        <w:t>the number of patients registered at each of the GP practices on the 1</w:t>
      </w:r>
      <w:r w:rsidR="00D05AB6" w:rsidRPr="0059677A">
        <w:rPr>
          <w:rFonts w:cs="Arial"/>
          <w:b w:val="0"/>
          <w:color w:val="000000" w:themeColor="text1"/>
          <w:vertAlign w:val="superscript"/>
        </w:rPr>
        <w:t>st</w:t>
      </w:r>
      <w:r w:rsidR="00D05AB6" w:rsidRPr="0059677A">
        <w:rPr>
          <w:rFonts w:cs="Arial"/>
          <w:b w:val="0"/>
          <w:color w:val="000000" w:themeColor="text1"/>
        </w:rPr>
        <w:t xml:space="preserve"> of July (mid-year) each year of the study as offset</w:t>
      </w:r>
      <w:r w:rsidRPr="0059677A">
        <w:rPr>
          <w:rFonts w:cs="Arial"/>
          <w:b w:val="0"/>
          <w:color w:val="auto"/>
        </w:rPr>
        <w:t xml:space="preserve">. The central blue lines represent the fitted predictions </w:t>
      </w:r>
      <w:r w:rsidR="00D05AB6" w:rsidRPr="0059677A">
        <w:rPr>
          <w:rFonts w:cs="Arial"/>
          <w:b w:val="0"/>
          <w:color w:val="000000" w:themeColor="text1"/>
        </w:rPr>
        <w:t>of the same model but with a seasonal component included</w:t>
      </w:r>
      <w:r w:rsidRPr="0059677A">
        <w:rPr>
          <w:rFonts w:cs="Arial"/>
          <w:b w:val="0"/>
          <w:color w:val="000000" w:themeColor="text1"/>
        </w:rPr>
        <w:t xml:space="preserve">. The shaded areas represent the 95% confidence intervals for their respective models. </w:t>
      </w:r>
      <w:r w:rsidR="000A56B9" w:rsidRPr="0059677A">
        <w:rPr>
          <w:rFonts w:cs="Arial"/>
          <w:b w:val="0"/>
          <w:color w:val="000000" w:themeColor="text1"/>
        </w:rPr>
        <w:t xml:space="preserve">These were calculated using the standard errors from the predict function, which calculates the confidence intervals around the mean. </w:t>
      </w:r>
      <w:r w:rsidRPr="0059677A">
        <w:rPr>
          <w:rFonts w:cs="Arial"/>
          <w:b w:val="0"/>
          <w:color w:val="000000" w:themeColor="text1"/>
        </w:rPr>
        <w:t xml:space="preserve">The right panels show the </w:t>
      </w:r>
      <w:proofErr w:type="spellStart"/>
      <w:r w:rsidRPr="0059677A">
        <w:rPr>
          <w:rFonts w:cs="Arial"/>
          <w:b w:val="0"/>
          <w:color w:val="000000" w:themeColor="text1"/>
        </w:rPr>
        <w:t>correlograms</w:t>
      </w:r>
      <w:proofErr w:type="spellEnd"/>
      <w:r w:rsidRPr="0059677A">
        <w:rPr>
          <w:rFonts w:cs="Arial"/>
          <w:b w:val="0"/>
          <w:color w:val="000000" w:themeColor="text1"/>
        </w:rPr>
        <w:t xml:space="preserve"> for the residuals of the regression models without seasonality</w:t>
      </w:r>
      <w:r w:rsidRPr="0059677A">
        <w:rPr>
          <w:rFonts w:cs="Arial"/>
          <w:b w:val="0"/>
          <w:color w:val="auto"/>
        </w:rPr>
        <w:t xml:space="preserve"> at lags of 0-12 months for each age group.</w:t>
      </w:r>
      <w:r w:rsidR="00265874" w:rsidRPr="0059677A">
        <w:rPr>
          <w:rFonts w:cs="Arial"/>
          <w:b w:val="0"/>
          <w:color w:val="auto"/>
        </w:rPr>
        <w:t xml:space="preserve"> The y axes differ between panels.</w:t>
      </w:r>
    </w:p>
    <w:p w14:paraId="731DBCE3" w14:textId="42A62BAE" w:rsidR="002A58FA" w:rsidRPr="0059677A" w:rsidRDefault="002A58FA">
      <w:pPr>
        <w:spacing w:line="276" w:lineRule="auto"/>
        <w:jc w:val="left"/>
        <w:rPr>
          <w:rFonts w:cs="Arial"/>
        </w:rPr>
      </w:pPr>
      <w:r w:rsidRPr="0059677A">
        <w:rPr>
          <w:rFonts w:cs="Arial"/>
        </w:rPr>
        <w:br w:type="page"/>
      </w:r>
    </w:p>
    <w:p w14:paraId="77E55967" w14:textId="2F7A93BB" w:rsidR="00750124" w:rsidRPr="0059677A" w:rsidRDefault="00111483" w:rsidP="00B0224B">
      <w:pPr>
        <w:keepNext/>
        <w:spacing w:line="480" w:lineRule="auto"/>
        <w:rPr>
          <w:rFonts w:cs="Arial"/>
        </w:rPr>
      </w:pPr>
      <w:r w:rsidRPr="0059677A">
        <w:rPr>
          <w:rFonts w:cs="Arial"/>
          <w:noProof/>
          <w:lang w:eastAsia="en-GB"/>
        </w:rPr>
        <w:lastRenderedPageBreak/>
        <w:drawing>
          <wp:inline distT="0" distB="0" distL="0" distR="0" wp14:anchorId="3B742BA9" wp14:editId="493F4BC6">
            <wp:extent cx="5731510" cy="3294828"/>
            <wp:effectExtent l="0" t="0" r="2540" b="1270"/>
            <wp:docPr id="13" name="Picture 13" descr="H:\PhD documents\Projects\Paris work\Plots\THIN\12-04-2017 THIN trim.nitro_30d UK by age M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D documents\Projects\Paris work\Plots\THIN\12-04-2017 THIN trim.nitro_30d UK by age MAL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94828"/>
                    </a:xfrm>
                    <a:prstGeom prst="rect">
                      <a:avLst/>
                    </a:prstGeom>
                    <a:noFill/>
                    <a:ln>
                      <a:noFill/>
                    </a:ln>
                  </pic:spPr>
                </pic:pic>
              </a:graphicData>
            </a:graphic>
          </wp:inline>
        </w:drawing>
      </w:r>
    </w:p>
    <w:p w14:paraId="34A3BB55" w14:textId="6C5699F5" w:rsidR="00E16BED" w:rsidRPr="0059677A" w:rsidRDefault="00750124" w:rsidP="00B0224B">
      <w:pPr>
        <w:pStyle w:val="Caption"/>
        <w:spacing w:line="480" w:lineRule="auto"/>
        <w:rPr>
          <w:rFonts w:cs="Arial"/>
        </w:rPr>
      </w:pPr>
      <w:r w:rsidRPr="0059677A">
        <w:rPr>
          <w:rFonts w:cs="Arial"/>
          <w:color w:val="auto"/>
        </w:rPr>
        <w:t xml:space="preserve">Figure </w:t>
      </w:r>
      <w:r w:rsidR="00552563">
        <w:rPr>
          <w:rFonts w:cs="Arial"/>
          <w:color w:val="auto"/>
        </w:rPr>
        <w:t>S8</w:t>
      </w:r>
      <w:r w:rsidRPr="0059677A">
        <w:rPr>
          <w:rFonts w:cs="Arial"/>
          <w:color w:val="auto"/>
        </w:rPr>
        <w:t>.</w:t>
      </w:r>
      <w:r w:rsidR="00E16BED" w:rsidRPr="0059677A">
        <w:rPr>
          <w:rFonts w:cs="Arial"/>
          <w:color w:val="auto"/>
        </w:rPr>
        <w:t xml:space="preserve"> Monthly nitrofurantoin and trimethoprim prescriptions administered by GPs to males per 100,000 person years in the UK by age group. </w:t>
      </w:r>
      <w:r w:rsidR="00E16BED" w:rsidRPr="0059677A">
        <w:rPr>
          <w:rFonts w:cs="Arial"/>
          <w:b w:val="0"/>
          <w:color w:val="auto"/>
        </w:rPr>
        <w:t>The nitrofurantoin and trimethoprim prescriptions w</w:t>
      </w:r>
      <w:r w:rsidR="005E5E83" w:rsidRPr="0059677A">
        <w:rPr>
          <w:rFonts w:cs="Arial"/>
          <w:b w:val="0"/>
          <w:color w:val="auto"/>
        </w:rPr>
        <w:t>ere de-duplicated to one per 30-</w:t>
      </w:r>
      <w:r w:rsidR="00E16BED" w:rsidRPr="0059677A">
        <w:rPr>
          <w:rFonts w:cs="Arial"/>
          <w:b w:val="0"/>
          <w:color w:val="auto"/>
        </w:rPr>
        <w:t xml:space="preserve">day period. </w:t>
      </w:r>
      <w:r w:rsidR="00D05AB6" w:rsidRPr="0059677A">
        <w:rPr>
          <w:rFonts w:cs="Arial"/>
          <w:b w:val="0"/>
          <w:color w:val="auto"/>
        </w:rPr>
        <w:t xml:space="preserve">The central red lines represent the fitted predictions of the negative binomial polynomial regression model of degree two with </w:t>
      </w:r>
      <w:r w:rsidR="00D05AB6" w:rsidRPr="0059677A">
        <w:rPr>
          <w:rFonts w:cs="Arial"/>
          <w:b w:val="0"/>
          <w:color w:val="000000" w:themeColor="text1"/>
        </w:rPr>
        <w:t>the number of patients registered at each of the GP practices on the 1</w:t>
      </w:r>
      <w:r w:rsidR="00D05AB6" w:rsidRPr="0059677A">
        <w:rPr>
          <w:rFonts w:cs="Arial"/>
          <w:b w:val="0"/>
          <w:color w:val="000000" w:themeColor="text1"/>
          <w:vertAlign w:val="superscript"/>
        </w:rPr>
        <w:t>st</w:t>
      </w:r>
      <w:r w:rsidR="00D05AB6" w:rsidRPr="0059677A">
        <w:rPr>
          <w:rFonts w:cs="Arial"/>
          <w:b w:val="0"/>
          <w:color w:val="000000" w:themeColor="text1"/>
        </w:rPr>
        <w:t xml:space="preserve"> of July (mid-year) each year of the study as offset</w:t>
      </w:r>
      <w:r w:rsidR="00D05AB6" w:rsidRPr="0059677A">
        <w:rPr>
          <w:rFonts w:cs="Arial"/>
          <w:b w:val="0"/>
          <w:color w:val="auto"/>
        </w:rPr>
        <w:t xml:space="preserve">. </w:t>
      </w:r>
      <w:r w:rsidR="00D05AB6" w:rsidRPr="0059677A">
        <w:rPr>
          <w:rFonts w:cs="Arial"/>
          <w:b w:val="0"/>
          <w:color w:val="000000" w:themeColor="text1"/>
        </w:rPr>
        <w:t xml:space="preserve">The central blue lines represent the fitted predictions of the same model but with a seasonal component included. The shaded areas represent the 95% confidence intervals for their respective models. </w:t>
      </w:r>
      <w:r w:rsidR="000A56B9" w:rsidRPr="0059677A">
        <w:rPr>
          <w:rFonts w:cs="Arial"/>
          <w:b w:val="0"/>
          <w:color w:val="000000" w:themeColor="text1"/>
        </w:rPr>
        <w:t xml:space="preserve">These were calculated using the standard errors from the predict function, which calculates the confidence intervals around the mean. </w:t>
      </w:r>
      <w:r w:rsidR="00D05AB6" w:rsidRPr="0059677A">
        <w:rPr>
          <w:rFonts w:cs="Arial"/>
          <w:b w:val="0"/>
          <w:color w:val="000000" w:themeColor="text1"/>
        </w:rPr>
        <w:t xml:space="preserve">The right panels show the </w:t>
      </w:r>
      <w:proofErr w:type="spellStart"/>
      <w:r w:rsidR="00D05AB6" w:rsidRPr="0059677A">
        <w:rPr>
          <w:rFonts w:cs="Arial"/>
          <w:b w:val="0"/>
          <w:color w:val="000000" w:themeColor="text1"/>
        </w:rPr>
        <w:t>correlograms</w:t>
      </w:r>
      <w:proofErr w:type="spellEnd"/>
      <w:r w:rsidR="00D05AB6" w:rsidRPr="0059677A">
        <w:rPr>
          <w:rFonts w:cs="Arial"/>
          <w:b w:val="0"/>
          <w:color w:val="000000" w:themeColor="text1"/>
        </w:rPr>
        <w:t xml:space="preserve"> for the residuals of the regression models without seasonality at lags of 0-12 months for each age group.</w:t>
      </w:r>
      <w:r w:rsidR="00D05AB6" w:rsidRPr="0059677A">
        <w:rPr>
          <w:rFonts w:cs="Arial"/>
          <w:color w:val="000000" w:themeColor="text1"/>
        </w:rPr>
        <w:t xml:space="preserve"> </w:t>
      </w:r>
      <w:r w:rsidR="000D5C45" w:rsidRPr="0059677A">
        <w:rPr>
          <w:rFonts w:cs="Arial"/>
          <w:b w:val="0"/>
          <w:color w:val="000000" w:themeColor="text1"/>
        </w:rPr>
        <w:t>The AIC of the model in those aged under 85 decreases (from 1262.5 to</w:t>
      </w:r>
      <w:r w:rsidR="000D5C45" w:rsidRPr="0059677A">
        <w:rPr>
          <w:rFonts w:cs="Arial"/>
          <w:b w:val="0"/>
          <w:color w:val="auto"/>
        </w:rPr>
        <w:t xml:space="preserve"> 1237.4) by including seasonality in the elderly, but remains similar in those aged 85+ (928.0 in the model without seasonality and 932.9 in the model with seasonality)</w:t>
      </w:r>
      <w:r w:rsidR="00265874" w:rsidRPr="0059677A">
        <w:rPr>
          <w:rFonts w:cs="Arial"/>
          <w:b w:val="0"/>
          <w:color w:val="auto"/>
        </w:rPr>
        <w:t>. The y axes differ between panels.</w:t>
      </w:r>
    </w:p>
    <w:p w14:paraId="761BE624" w14:textId="6101893B" w:rsidR="002A58FA" w:rsidRPr="0059677A" w:rsidRDefault="002A58FA">
      <w:pPr>
        <w:spacing w:line="276" w:lineRule="auto"/>
        <w:jc w:val="left"/>
        <w:rPr>
          <w:rFonts w:cs="Arial"/>
          <w:b/>
          <w:bCs/>
          <w:sz w:val="18"/>
          <w:szCs w:val="18"/>
        </w:rPr>
      </w:pPr>
      <w:r w:rsidRPr="0059677A">
        <w:rPr>
          <w:rFonts w:cs="Arial"/>
        </w:rPr>
        <w:br w:type="page"/>
      </w:r>
    </w:p>
    <w:p w14:paraId="7821FF98" w14:textId="6983F7D6" w:rsidR="00D41A71" w:rsidRPr="0059677A" w:rsidRDefault="00D41A71" w:rsidP="00B0224B">
      <w:pPr>
        <w:pStyle w:val="Heading1"/>
        <w:spacing w:line="480" w:lineRule="auto"/>
        <w:rPr>
          <w:rFonts w:ascii="Arial" w:hAnsi="Arial" w:cs="Arial"/>
          <w:color w:val="auto"/>
        </w:rPr>
      </w:pPr>
      <w:r w:rsidRPr="0059677A">
        <w:rPr>
          <w:rFonts w:ascii="Arial" w:hAnsi="Arial" w:cs="Arial"/>
          <w:color w:val="auto"/>
        </w:rPr>
        <w:lastRenderedPageBreak/>
        <w:t>Appendix 2</w:t>
      </w:r>
    </w:p>
    <w:p w14:paraId="21A20255" w14:textId="77777777" w:rsidR="0071032A" w:rsidRPr="00C2306D" w:rsidRDefault="0071032A" w:rsidP="00B0224B">
      <w:pPr>
        <w:spacing w:line="480" w:lineRule="auto"/>
        <w:rPr>
          <w:i/>
        </w:rPr>
      </w:pPr>
      <w:r w:rsidRPr="00C2306D">
        <w:rPr>
          <w:i/>
        </w:rPr>
        <w:t>Dataset</w:t>
      </w:r>
    </w:p>
    <w:p w14:paraId="60B01BA8" w14:textId="5A659EFE" w:rsidR="000E1A5C" w:rsidRPr="0059677A" w:rsidRDefault="000E1A5C" w:rsidP="00B0224B">
      <w:pPr>
        <w:spacing w:line="480" w:lineRule="auto"/>
        <w:rPr>
          <w:rFonts w:cs="Arial"/>
        </w:rPr>
      </w:pPr>
      <w:r w:rsidRPr="00552563">
        <w:rPr>
          <w:rFonts w:cs="Arial"/>
        </w:rPr>
        <w:t>THIN is a validated database of primary care consultation data covering over 3.7 million active patients which are demographically representative of the UK.</w:t>
      </w:r>
      <w:r w:rsidR="007B797A" w:rsidRPr="00552563">
        <w:rPr>
          <w:rFonts w:cs="Arial"/>
        </w:rPr>
        <w:fldChar w:fldCharType="begin" w:fldLock="1"/>
      </w:r>
      <w:r w:rsidR="00D47ACD" w:rsidRPr="00552563">
        <w:rPr>
          <w:rFonts w:cs="Arial"/>
        </w:rPr>
        <w:instrText>ADDIN CSL_CITATION { "citationItems" : [ { "id" : "ITEM-1", "itemData" : { "ISSN" : "1476-0320", "PMID" : "22828580", "abstract" : "INTRODUCTION The degree of generalisability of patient databases to the general population is important for interpreting database research. This report describes the representativeness of The Health Improvement Network (THIN), a UK primary care database, of the UK population. METHODS Demographics, deprivation (Townsend), Quality and Outcomes Framework (QOF) condition prevalence and deaths from THIN were compared with national statistical and QOF 2006/2007 data. RESULTS Demographics were similar although THIN contained fewer people aged under 25 years. Condition prevalence was comparable, e.g. 3.5% diabetes prevalence in THIN, 3.7% nationally. More THIN patients lived in the most affluent areas (23.5% in THIN, 20% nationally). Between 1990 and 2009, standardised mortality ratio ranged from 0.81 (95% CI: 0.39-1.49; 1990) to 0.93 (95% CI: 0.48-1.64; 1995). Adjusting for demographics/deprivation, the 2006 THIN death rate was 9.08/1000 population close to the national death rate of 9.4/1000 population. CONCLUSION THIN is generalisable to the UK for demographics, major condition prevalence and death rates adjusted for demographics and deprivation.", "author" : [ { "dropping-particle" : "", "family" : "Blak", "given" : "Betina T", "non-dropping-particle" : "", "parse-names" : false, "suffix" : "" }, { "dropping-particle" : "", "family" : "Thompson", "given" : "Mary", "non-dropping-particle" : "", "parse-names" : false, "suffix" : "" }, { "dropping-particle" : "", "family" : "Dattani", "given" : "Hassy", "non-dropping-particle" : "", "parse-names" : false, "suffix" : "" }, { "dropping-particle" : "", "family" : "Bourke", "given" : "Alison", "non-dropping-particle" : "", "parse-names" : false, "suffix" : "" } ], "container-title" : "Informatics in primary care", "id" : "ITEM-1", "issue" : "4", "issued" : { "date-parts" : [ [ "2011" ] ] }, "page" : "251-5", "title" : "Generalisability of The Health Improvement Network (THIN) database: demographics, chronic disease prevalence and mortality rates.", "type" : "article-journal", "volume" : "19" }, "uris" : [ "http://www.mendeley.com/documents/?uuid=383f4763-a07f-380f-91e1-1ab71528ee59" ] }, { "id" : "ITEM-2", "itemData" : { "URL" : "http://www.epic-uk.org/our-data/our-data.shtml", "accessed" : { "date-parts" : [ [ "2017", "4", "21" ] ] }, "id" : "ITEM-2", "issued" : { "date-parts" : [ [ "0" ] ] }, "title" : "IMS Health", "type" : "webpage" }, "uris" : [ "http://www.mendeley.com/documents/?uuid=ce8497fc-546b-39aa-b7aa-df58f5264a3f" ] }, { "id" : "ITEM-3", "itemData" : { "ISSN" : "1476-0320", "PMID" : "15606990", "abstract" : "OBJECTIVES To build and test a model for the collection of computerised retrospective primary care data from the UK, and to assess its quality for use in medical and pharmaceutical research. DESIGN Collection and evaluation of sampled retrospective general practice data recording. SETTING General practices, using the Vision practice management software in the UK. MAIN OUTCOME MEASURES Quality indicators of completeness of data recording. RESULTS Initial audit of 236 practices indicated good recording of prescribing in all practices and a high level of completeness of recording of clinical information in many of the practices. CONCLUSIONS In the group of practices studied, levels of recording were generally assessed to be of sufficient quality to enable a database of quality-evaluated, anonymised primary care records to be created.", "author" : [ { "dropping-particle" : "", "family" : "Bourke", "given" : "Alison", "non-dropping-particle" : "", "parse-names" : false, "suffix" : "" }, { "dropping-particle" : "", "family" : "Dattani", "given" : "Hassy", "non-dropping-particle" : "", "parse-names" : false, "suffix" : "" }, { "dropping-particle" : "", "family" : "Robinson", "given" : "Michael", "non-dropping-particle" : "", "parse-names" : false, "suffix" : "" } ], "container-title" : "Informatics in primary care", "id" : "ITEM-3", "issue" : "3", "issued" : { "date-parts" : [ [ "2004" ] ] }, "page" : "171-7", "title" : "Feasibility study and methodology to create a quality-evaluated database of primary care data.", "type" : "article-journal", "volume" : "12" }, "uris" : [ "http://www.mendeley.com/documents/?uuid=7b2afe76-264b-3432-ba0c-b5ca6130ae43" ] } ], "mendeley" : { "formattedCitation" : "[13\u201315]", "plainTextFormattedCitation" : "[13\u201315]", "previouslyFormattedCitation" : "&lt;sup&gt;13\u201315&lt;/sup&gt;" }, "properties" : { "noteIndex" : 0 }, "schema" : "https://github.com/citation-style-language/schema/raw/master/csl-citation.json" }</w:instrText>
      </w:r>
      <w:r w:rsidR="007B797A" w:rsidRPr="00552563">
        <w:rPr>
          <w:rFonts w:cs="Arial"/>
        </w:rPr>
        <w:fldChar w:fldCharType="separate"/>
      </w:r>
      <w:r w:rsidR="00D47ACD" w:rsidRPr="00552563">
        <w:rPr>
          <w:rFonts w:cs="Arial"/>
          <w:noProof/>
        </w:rPr>
        <w:t>[13–15]</w:t>
      </w:r>
      <w:r w:rsidR="007B797A" w:rsidRPr="00552563">
        <w:rPr>
          <w:rFonts w:cs="Arial"/>
        </w:rPr>
        <w:fldChar w:fldCharType="end"/>
      </w:r>
      <w:r w:rsidRPr="00552563">
        <w:rPr>
          <w:rFonts w:cs="Arial"/>
        </w:rPr>
        <w:t xml:space="preserve"> The dataset contains individual </w:t>
      </w:r>
      <w:proofErr w:type="spellStart"/>
      <w:r w:rsidRPr="00552563">
        <w:rPr>
          <w:rFonts w:cs="Arial"/>
        </w:rPr>
        <w:t>pseudonomysed</w:t>
      </w:r>
      <w:proofErr w:type="spellEnd"/>
      <w:r w:rsidRPr="00552563">
        <w:rPr>
          <w:rFonts w:cs="Arial"/>
        </w:rPr>
        <w:t xml:space="preserve"> patient ID, prescription details, consultation date and time, reason for consultation (recorded through diagnostic code), patient registration details and patient clinical and demographic information.</w:t>
      </w:r>
    </w:p>
    <w:p w14:paraId="19528E9E" w14:textId="5F21D9EA" w:rsidR="00433BAB" w:rsidRPr="0059677A" w:rsidRDefault="00433BAB" w:rsidP="00B0224B">
      <w:pPr>
        <w:spacing w:line="480" w:lineRule="auto"/>
        <w:rPr>
          <w:rFonts w:cs="Arial"/>
          <w:u w:val="single"/>
        </w:rPr>
      </w:pPr>
      <w:r w:rsidRPr="0059677A">
        <w:rPr>
          <w:rFonts w:cs="Arial"/>
        </w:rPr>
        <w:t xml:space="preserve">In order </w:t>
      </w:r>
      <w:r w:rsidRPr="0059677A">
        <w:rPr>
          <w:rFonts w:cs="Arial"/>
        </w:rPr>
        <w:t>to obtain the monthly rate of de-duplicated UTI consultations, nitrofurantoin prescriptions and trimethoprim prescriptions by age and sex, for 2008-2015, we extracted</w:t>
      </w:r>
      <w:r w:rsidR="0013122A" w:rsidRPr="0059677A">
        <w:rPr>
          <w:rFonts w:cs="Arial"/>
        </w:rPr>
        <w:t xml:space="preserve"> </w:t>
      </w:r>
      <w:r w:rsidRPr="0059677A">
        <w:rPr>
          <w:rFonts w:cs="Arial"/>
        </w:rPr>
        <w:t xml:space="preserve">UTI diagnostic codes (listed in Appendix 3), Patient ID, trimethoprim and nitrofurantoin prescriptions (derived from the prescribing information in THIN), country, date of UTI consultation/prescription, date of registration </w:t>
      </w:r>
      <w:r w:rsidR="0013122A" w:rsidRPr="0059677A">
        <w:rPr>
          <w:rFonts w:cs="Arial"/>
        </w:rPr>
        <w:t>at GP,</w:t>
      </w:r>
      <w:r w:rsidRPr="0059677A">
        <w:rPr>
          <w:rFonts w:cs="Arial"/>
        </w:rPr>
        <w:t xml:space="preserve"> date of de-registration at GP, patient age, patient sex, and patients registered on the 1st of July (mid-year) each year for 2008-2015 at each of the GP practices present in THIN during the whole duration of the study (for this, practice ID was required). UTI consultations and nitrofurantoin and trimethoprim prescriptions from UK practices meeting acceptable standard for research </w:t>
      </w:r>
      <w:r w:rsidR="0013122A" w:rsidRPr="0059677A">
        <w:rPr>
          <w:rFonts w:cs="Arial"/>
        </w:rPr>
        <w:t xml:space="preserve">(as suggested by the THIN Data Guide for Researchers) </w:t>
      </w:r>
      <w:r w:rsidRPr="0059677A">
        <w:rPr>
          <w:rFonts w:cs="Arial"/>
        </w:rPr>
        <w:t>were de-duplicated to one per patient per 30-day period in order to approximate episodes of infection (one nitrofurantoin or trimethoprim prescription during the 30-day period) and subsequently aggregated by age group, sex and moth of the study. The denominator population was the number of patients (of the corresponding age group and sex) registered at each of the GP practices on the 1</w:t>
      </w:r>
      <w:r w:rsidRPr="0059677A">
        <w:rPr>
          <w:rFonts w:cs="Arial"/>
          <w:vertAlign w:val="superscript"/>
        </w:rPr>
        <w:t>st</w:t>
      </w:r>
      <w:r w:rsidRPr="0059677A">
        <w:rPr>
          <w:rFonts w:cs="Arial"/>
        </w:rPr>
        <w:t xml:space="preserve"> of July (mid-year) each year of the study. </w:t>
      </w:r>
    </w:p>
    <w:p w14:paraId="0F361573" w14:textId="77777777" w:rsidR="00433BAB" w:rsidRPr="00C2306D" w:rsidRDefault="00433BAB" w:rsidP="00B0224B">
      <w:pPr>
        <w:spacing w:line="480" w:lineRule="auto"/>
        <w:rPr>
          <w:i/>
        </w:rPr>
      </w:pPr>
      <w:r w:rsidRPr="00C2306D">
        <w:rPr>
          <w:i/>
        </w:rPr>
        <w:t>Reasoning for analysing both GP consultations and antibiotic prescriptions</w:t>
      </w:r>
    </w:p>
    <w:p w14:paraId="28E18C49" w14:textId="205130E1" w:rsidR="00433BAB" w:rsidRPr="0059677A" w:rsidRDefault="00AB7102" w:rsidP="00B0224B">
      <w:pPr>
        <w:spacing w:line="480" w:lineRule="auto"/>
        <w:rPr>
          <w:rFonts w:cs="Arial"/>
        </w:rPr>
      </w:pPr>
      <w:r w:rsidRPr="00552563">
        <w:rPr>
          <w:rFonts w:cs="Arial"/>
          <w:lang w:val="de-DE"/>
        </w:rPr>
        <w:lastRenderedPageBreak/>
        <w:t xml:space="preserve">Consultation codes </w:t>
      </w:r>
      <w:r w:rsidR="0057484D" w:rsidRPr="00552563">
        <w:rPr>
          <w:rFonts w:cs="Arial"/>
          <w:lang w:val="de-DE"/>
        </w:rPr>
        <w:t xml:space="preserve">in THIN </w:t>
      </w:r>
      <w:r w:rsidRPr="00552563">
        <w:rPr>
          <w:rFonts w:cs="Arial"/>
          <w:lang w:val="de-DE"/>
        </w:rPr>
        <w:t>are known to be poorly recorded</w:t>
      </w:r>
      <w:r w:rsidR="0057484D" w:rsidRPr="00552563">
        <w:rPr>
          <w:rFonts w:cs="Arial"/>
          <w:lang w:val="de-DE"/>
        </w:rPr>
        <w:fldChar w:fldCharType="begin" w:fldLock="1"/>
      </w:r>
      <w:r w:rsidR="00D47ACD" w:rsidRPr="00C2306D">
        <w:rPr>
          <w:rFonts w:cs="Arial"/>
          <w:lang w:val="de-DE"/>
        </w:rPr>
        <w:instrText>ADDIN CSL_CITATION { "citationItems" : [ { "id" : "ITEM-1", "itemData" : { "DOI" : "10.4104/pcrj.2013.00061", "ISSN" : "1471-4418", "author" : [ { "dropping-particle" : "", "family" : "James", "given" : "Gareth Dean Russell", "non-dropping-particle" : "", "parse-names" : false, "suffix" : "" }, { "dropping-particle" : "", "family" : "Petersen", "given" : "Irene", "non-dropping-particle" : "", "parse-names" : false, "suffix" : "" }, { "dropping-particle" : "", "family" : "Nazareth", "given" : "Irwin", "non-dropping-particle" : "", "parse-names" : false, "suffix" : "" }, { "dropping-particle" : "", "family" : "Wedzicha", "given" : "Jadwiga A", "non-dropping-particle" : "", "parse-names" : false, "suffix" : "" }, { "dropping-particle" : "", "family" : "Donaldson", "given" : "Gavin C", "non-dropping-particle" : "", "parse-names" : false, "suffix" : "" }, { "dropping-particle" : "", "family" : "Wedzicha", "given" : "JA", "non-dropping-particle" : "", "parse-names" : false, "suffix" : "" } ], "container-title" : "Primary Care Respiratory Journal", "id" : "ITEM-1", "issue" : "3", "issued" : { "date-parts" : [ [ "2013", "7", "9" ] ] }, "page" : "271-277", "publisher" : "Nature Publishing Group", "title" : "Use of long-term antibiotic treatment in COPD patients in the UK: a retrospective cohort study", "type" : "article-journal", "volume" : "22" }, "uris" : [ "http://www.mendeley.com/documents/?uuid=4884edbd-0a30-3d3b-ab64-89cec2b50d9c" ] }, { "id" : "ITEM-2", "itemData" : { "DOI" : "10.1093/jac/dkq307", "ISSN" : "0305-7453", "author" : [ { "dropping-particle" : "", "family" : "Petersen", "given" : "I.", "non-dropping-particle" : "", "parse-names" : false, "suffix" : "" }, { "dropping-particle" : "", "family" : "Gilbert", "given" : "R.", "non-dropping-particle" : "", "parse-names" : false, "suffix" : "" }, { "dropping-particle" : "", "family" : "Evans", "given" : "S.", "non-dropping-particle" : "", "parse-names" : false, "suffix" : "" }, { "dropping-particle" : "", "family" : "Ridolfi", "given" : "A.", "non-dropping-particle" : "", "parse-names" : false, "suffix" : "" }, { "dropping-particle" : "", "family" : "Nazareth", "given" : "I.", "non-dropping-particle" : "", "parse-names" : false, "suffix" : "" } ], "container-title" : "Journal of Antimicrobial Chemotherapy", "id" : "ITEM-2", "issue" : "10", "issued" : { "date-parts" : [ [ "2010", "10", "1" ] ] }, "page" : "2238-2246", "publisher" : "Oxford University Press", "title" : "Oral antibiotic prescribing during pregnancy in primary care: UK population-based study", "type" : "article-journal", "volume" : "65" }, "uris" : [ "http://www.mendeley.com/documents/?uuid=e238c16b-6b0e-37f9-aa0d-197dbdeb4d3b" ] } ], "mendeley" : { "formattedCitation" : "[16,17]", "plainTextFormattedCitation" : "[16,17]", "previouslyFormattedCitation" : "&lt;sup&gt;16,17&lt;/sup&gt;" }, "properties" : { "noteIndex" : 0 }, "schema" : "https://github.com/citation-style-language/schema/raw/master/csl-citation.json" }</w:instrText>
      </w:r>
      <w:r w:rsidR="0057484D" w:rsidRPr="00552563">
        <w:rPr>
          <w:rFonts w:cs="Arial"/>
          <w:lang w:val="de-DE"/>
        </w:rPr>
        <w:fldChar w:fldCharType="separate"/>
      </w:r>
      <w:r w:rsidR="00D47ACD" w:rsidRPr="00552563">
        <w:rPr>
          <w:rFonts w:cs="Arial"/>
          <w:noProof/>
          <w:lang w:val="de-DE"/>
        </w:rPr>
        <w:t>[16,17]</w:t>
      </w:r>
      <w:r w:rsidR="0057484D" w:rsidRPr="00552563">
        <w:rPr>
          <w:rFonts w:cs="Arial"/>
          <w:lang w:val="de-DE"/>
        </w:rPr>
        <w:fldChar w:fldCharType="end"/>
      </w:r>
      <w:r w:rsidR="00433BAB" w:rsidRPr="00552563">
        <w:rPr>
          <w:rFonts w:cs="Arial"/>
          <w:lang w:val="de-DE"/>
        </w:rPr>
        <w:t>.  However, a</w:t>
      </w:r>
      <w:proofErr w:type="spellStart"/>
      <w:r w:rsidR="00433BAB" w:rsidRPr="00552563">
        <w:rPr>
          <w:rFonts w:cs="Arial"/>
        </w:rPr>
        <w:t>ll</w:t>
      </w:r>
      <w:proofErr w:type="spellEnd"/>
      <w:r w:rsidR="00433BAB" w:rsidRPr="00552563">
        <w:rPr>
          <w:rFonts w:cs="Arial"/>
        </w:rPr>
        <w:t xml:space="preserve"> prescriptions made by GP practices reporting to THIN are automatically included in the database and do not suffer from this reporting bias.</w:t>
      </w:r>
      <w:r w:rsidR="00433BAB" w:rsidRPr="00552563">
        <w:rPr>
          <w:rFonts w:cs="Arial"/>
          <w:lang w:val="de-DE"/>
        </w:rPr>
        <w:t xml:space="preserve"> Hence, the analysis of UTI consultations was repeated for trimethoprim and nitrofurantoin prescriptions</w:t>
      </w:r>
      <w:r w:rsidR="00433BAB" w:rsidRPr="00552563">
        <w:rPr>
          <w:rFonts w:cs="Arial"/>
        </w:rPr>
        <w:t xml:space="preserve">. Both trimethoprim and nitrofurantoin are almost exclusively prescribed for UTIs and account for the majority of antibiotics used for UTIs in primary care. </w:t>
      </w:r>
    </w:p>
    <w:p w14:paraId="6FCF8623" w14:textId="5A6C1EB6" w:rsidR="00433BAB" w:rsidRPr="0059677A" w:rsidRDefault="00433BAB" w:rsidP="00B0224B">
      <w:pPr>
        <w:spacing w:line="480" w:lineRule="auto"/>
        <w:rPr>
          <w:rFonts w:cs="Arial"/>
        </w:rPr>
      </w:pPr>
      <w:r w:rsidRPr="0059677A">
        <w:rPr>
          <w:rFonts w:cs="Arial"/>
        </w:rPr>
        <w:t xml:space="preserve">Only the </w:t>
      </w:r>
      <w:proofErr w:type="gramStart"/>
      <w:r w:rsidRPr="0059677A">
        <w:rPr>
          <w:rFonts w:cs="Arial"/>
        </w:rPr>
        <w:t xml:space="preserve">rate of UTI </w:t>
      </w:r>
      <w:r w:rsidRPr="0059677A">
        <w:rPr>
          <w:rFonts w:cs="Arial"/>
        </w:rPr>
        <w:t>consultations (and not antibiotic prescriptions) were</w:t>
      </w:r>
      <w:proofErr w:type="gramEnd"/>
      <w:r w:rsidRPr="0059677A">
        <w:rPr>
          <w:rFonts w:cs="Arial"/>
        </w:rPr>
        <w:t xml:space="preserve"> used to assess the trend in UTIs over time, because nitrofurantoin and trimethoprim prescriptions for UTI as a proportion of all antibiotic prescriptions increased over the study period. (</w:t>
      </w:r>
      <w:r w:rsidRPr="0059677A">
        <w:rPr>
          <w:rFonts w:cs="Arial"/>
        </w:rPr>
        <w:t xml:space="preserve">Figure </w:t>
      </w:r>
      <w:r w:rsidR="00552563">
        <w:rPr>
          <w:rFonts w:cs="Arial"/>
        </w:rPr>
        <w:t>S1</w:t>
      </w:r>
      <w:r w:rsidRPr="0059677A">
        <w:rPr>
          <w:rFonts w:cs="Arial"/>
        </w:rPr>
        <w:t xml:space="preserve">, Appendix </w:t>
      </w:r>
      <w:r w:rsidRPr="0059677A">
        <w:rPr>
          <w:rFonts w:cs="Arial"/>
        </w:rPr>
        <w:t xml:space="preserve">1).  Although coding for UTI consultations by GPs was poor, it remained stable over the study period (the percentage of trimethoprim and nitrofurantoin prescriptions that had a UTI consultation coded on the same day fluctuated </w:t>
      </w:r>
      <w:bookmarkStart w:id="0" w:name="_GoBack"/>
      <w:r w:rsidRPr="0059677A">
        <w:rPr>
          <w:rFonts w:cs="Arial"/>
        </w:rPr>
        <w:t xml:space="preserve">between 35-41% during the study period), enabling the study of trend over time (Figure </w:t>
      </w:r>
      <w:r w:rsidR="00552563">
        <w:rPr>
          <w:rFonts w:cs="Arial"/>
        </w:rPr>
        <w:t>S2</w:t>
      </w:r>
      <w:r w:rsidRPr="0059677A">
        <w:rPr>
          <w:rFonts w:cs="Arial"/>
        </w:rPr>
        <w:t xml:space="preserve">, Appendix </w:t>
      </w:r>
      <w:bookmarkEnd w:id="0"/>
      <w:r w:rsidRPr="0059677A">
        <w:rPr>
          <w:rFonts w:cs="Arial"/>
        </w:rPr>
        <w:t>1).</w:t>
      </w:r>
    </w:p>
    <w:p w14:paraId="4B4B295C" w14:textId="34A98764" w:rsidR="00433BAB" w:rsidRPr="0059677A" w:rsidRDefault="00433BAB" w:rsidP="00B0224B">
      <w:pPr>
        <w:spacing w:line="480" w:lineRule="auto"/>
        <w:jc w:val="left"/>
        <w:rPr>
          <w:rFonts w:cs="Arial"/>
        </w:rPr>
      </w:pPr>
      <w:r w:rsidRPr="0059677A">
        <w:rPr>
          <w:rFonts w:cs="Arial"/>
        </w:rPr>
        <w:br w:type="page"/>
      </w:r>
    </w:p>
    <w:p w14:paraId="36F04BE3" w14:textId="5F6CEE5D" w:rsidR="003146CA" w:rsidRPr="0059677A" w:rsidRDefault="003146CA" w:rsidP="00B0224B">
      <w:pPr>
        <w:pStyle w:val="Heading1"/>
        <w:spacing w:line="480" w:lineRule="auto"/>
        <w:rPr>
          <w:rFonts w:ascii="Arial" w:hAnsi="Arial" w:cs="Arial"/>
          <w:color w:val="auto"/>
        </w:rPr>
      </w:pPr>
      <w:r w:rsidRPr="0059677A">
        <w:rPr>
          <w:rFonts w:ascii="Arial" w:hAnsi="Arial" w:cs="Arial"/>
          <w:color w:val="auto"/>
        </w:rPr>
        <w:lastRenderedPageBreak/>
        <w:t>Appendix 3</w:t>
      </w:r>
    </w:p>
    <w:p w14:paraId="3B9C0208" w14:textId="77777777" w:rsidR="003146CA" w:rsidRPr="0059677A" w:rsidRDefault="003146CA" w:rsidP="00B0224B">
      <w:pPr>
        <w:spacing w:line="480" w:lineRule="auto"/>
        <w:rPr>
          <w:rFonts w:cs="Arial"/>
        </w:rPr>
      </w:pPr>
      <w:r w:rsidRPr="0059677A">
        <w:rPr>
          <w:rFonts w:cs="Arial"/>
        </w:rPr>
        <w:t>Read codes for UTI</w:t>
      </w:r>
    </w:p>
    <w:p w14:paraId="6B06BA15" w14:textId="77777777" w:rsidR="003146CA" w:rsidRPr="0059677A" w:rsidRDefault="003146CA" w:rsidP="00B0224B">
      <w:pPr>
        <w:spacing w:line="480" w:lineRule="auto"/>
        <w:rPr>
          <w:rFonts w:cs="Arial"/>
        </w:rPr>
      </w:pPr>
      <w:r w:rsidRPr="0059677A">
        <w:rPr>
          <w:rFonts w:cs="Arial"/>
        </w:rPr>
        <w:t>'K190300', 'K190400', '1AG</w:t>
      </w:r>
      <w:proofErr w:type="gramStart"/>
      <w:r w:rsidRPr="0059677A">
        <w:rPr>
          <w:rFonts w:cs="Arial"/>
        </w:rPr>
        <w:t>..</w:t>
      </w:r>
      <w:proofErr w:type="gramEnd"/>
      <w:r w:rsidRPr="0059677A">
        <w:rPr>
          <w:rFonts w:cs="Arial"/>
        </w:rPr>
        <w:t>00', 'K190311', 'K190.11', '14D7.00', 'L166z11', 'L166800', 'K190.00', 'K190500', 'K190z00', 'K190000', 'K190100', 'K190200', 'K190600', 'K190X00', 'Q40y100', '1J4..00', '46U3.00', '4617.00', 'K190011', 'L166600',</w:t>
      </w:r>
    </w:p>
    <w:p w14:paraId="7C1D94E9" w14:textId="77777777" w:rsidR="003146CA" w:rsidRPr="0059677A" w:rsidRDefault="003146CA" w:rsidP="00B0224B">
      <w:pPr>
        <w:spacing w:line="480" w:lineRule="auto"/>
        <w:rPr>
          <w:rFonts w:cs="Arial"/>
        </w:rPr>
      </w:pPr>
      <w:r w:rsidRPr="0059677A">
        <w:rPr>
          <w:rFonts w:cs="Arial"/>
        </w:rPr>
        <w:t>'K15</w:t>
      </w:r>
      <w:proofErr w:type="gramStart"/>
      <w:r w:rsidRPr="0059677A">
        <w:rPr>
          <w:rFonts w:cs="Arial"/>
        </w:rPr>
        <w:t>..</w:t>
      </w:r>
      <w:proofErr w:type="gramEnd"/>
      <w:r w:rsidRPr="0059677A">
        <w:rPr>
          <w:rFonts w:cs="Arial"/>
        </w:rPr>
        <w:t>00', 'K150.00', 'K15z.00', 'K152000', 'K154.00', 'K154000', 'K154300', 'K154400', 'K154600', 'K154800', 'K154z00', 'K15y.00', 'K15y200', 'K15y300', 'K15yz00', 'A32y300', 'K153.11', 'K151.00', 'K152y00', 'K152.00', 'K152z00', 'K155.00', '14D4.00',</w:t>
      </w:r>
    </w:p>
    <w:p w14:paraId="15E6B465" w14:textId="77777777" w:rsidR="003146CA" w:rsidRPr="0059677A" w:rsidRDefault="003146CA" w:rsidP="00B0224B">
      <w:pPr>
        <w:spacing w:line="480" w:lineRule="auto"/>
        <w:rPr>
          <w:rFonts w:cs="Arial"/>
        </w:rPr>
      </w:pPr>
      <w:r w:rsidRPr="0059677A">
        <w:rPr>
          <w:rFonts w:cs="Arial"/>
        </w:rPr>
        <w:t xml:space="preserve">'L166.11', 'L166500', 'K101.00', 'K101000', 'K101100', 'K101200', 'K101300', 'K101400', 'K101500', 'K101z00', 'K106.00', 'K100.00', 'K100000', 'K100100', 'K100200', 'K100300', 'K100400', 'K100500', 'K100600', 'K100z00', 'K10y000', 'A160200', 'K104.00', </w:t>
      </w:r>
    </w:p>
    <w:p w14:paraId="4EA34302" w14:textId="38C483C5" w:rsidR="003146CA" w:rsidRPr="0059677A" w:rsidRDefault="003146CA" w:rsidP="00B0224B">
      <w:pPr>
        <w:spacing w:line="480" w:lineRule="auto"/>
        <w:rPr>
          <w:rFonts w:cs="Arial"/>
        </w:rPr>
      </w:pPr>
      <w:r w:rsidRPr="0059677A">
        <w:rPr>
          <w:rFonts w:cs="Arial"/>
        </w:rPr>
        <w:t>'K10</w:t>
      </w:r>
      <w:proofErr w:type="gramStart"/>
      <w:r w:rsidRPr="0059677A">
        <w:rPr>
          <w:rFonts w:cs="Arial"/>
        </w:rPr>
        <w:t>..</w:t>
      </w:r>
      <w:proofErr w:type="gramEnd"/>
      <w:r w:rsidRPr="0059677A">
        <w:rPr>
          <w:rFonts w:cs="Arial"/>
        </w:rPr>
        <w:t>00', 'K102.00', 'K102000', 'K102100', 'K102200', 'K102z00', 'K103.00', 'K105.00', 'K10y.00', 'K10y000', 'K10y100', 'K10y200', 'K10y300', 'K10y400', 'K10yz00','K10z.00', 'K10..</w:t>
      </w:r>
      <w:proofErr w:type="gramStart"/>
      <w:r w:rsidRPr="0059677A">
        <w:rPr>
          <w:rFonts w:cs="Arial"/>
        </w:rPr>
        <w:t>11'.</w:t>
      </w:r>
      <w:proofErr w:type="gramEnd"/>
    </w:p>
    <w:p w14:paraId="65FFFE32" w14:textId="77777777" w:rsidR="003146CA" w:rsidRPr="0059677A" w:rsidRDefault="003146CA" w:rsidP="00B0224B">
      <w:pPr>
        <w:spacing w:line="480" w:lineRule="auto"/>
        <w:jc w:val="left"/>
        <w:rPr>
          <w:rFonts w:cs="Arial"/>
        </w:rPr>
      </w:pPr>
      <w:r w:rsidRPr="0059677A">
        <w:rPr>
          <w:rFonts w:cs="Arial"/>
        </w:rPr>
        <w:br w:type="page"/>
      </w:r>
    </w:p>
    <w:p w14:paraId="5F7154E7" w14:textId="30EE38AC" w:rsidR="00433BAB" w:rsidRPr="0059677A" w:rsidRDefault="00433BAB" w:rsidP="00B0224B">
      <w:pPr>
        <w:pStyle w:val="Heading1"/>
        <w:spacing w:line="480" w:lineRule="auto"/>
        <w:rPr>
          <w:rFonts w:ascii="Arial" w:hAnsi="Arial" w:cs="Arial"/>
          <w:color w:val="auto"/>
        </w:rPr>
      </w:pPr>
      <w:r w:rsidRPr="0059677A">
        <w:rPr>
          <w:rFonts w:ascii="Arial" w:hAnsi="Arial" w:cs="Arial"/>
          <w:color w:val="auto"/>
        </w:rPr>
        <w:lastRenderedPageBreak/>
        <w:t>Appendix</w:t>
      </w:r>
      <w:r w:rsidR="003146CA" w:rsidRPr="0059677A">
        <w:rPr>
          <w:rFonts w:ascii="Arial" w:hAnsi="Arial" w:cs="Arial"/>
          <w:color w:val="auto"/>
        </w:rPr>
        <w:t xml:space="preserve"> 4</w:t>
      </w:r>
    </w:p>
    <w:p w14:paraId="65C78387" w14:textId="2F5A2A26" w:rsidR="002D3A83" w:rsidRPr="0059677A" w:rsidRDefault="00711534" w:rsidP="00B0224B">
      <w:pPr>
        <w:spacing w:line="480" w:lineRule="auto"/>
        <w:rPr>
          <w:rFonts w:cs="Arial"/>
        </w:rPr>
      </w:pPr>
      <w:r w:rsidRPr="0059677A">
        <w:rPr>
          <w:rFonts w:cs="Arial"/>
        </w:rPr>
        <w:t>The following ne</w:t>
      </w:r>
      <w:r w:rsidR="008548FA" w:rsidRPr="0059677A">
        <w:rPr>
          <w:rFonts w:cs="Arial"/>
        </w:rPr>
        <w:t>gative binomial model was fit to</w:t>
      </w:r>
      <w:r w:rsidRPr="0059677A">
        <w:rPr>
          <w:rFonts w:cs="Arial"/>
        </w:rPr>
        <w:t xml:space="preserve"> the rates of consultations and prescriptions: </w:t>
      </w:r>
    </w:p>
    <w:p w14:paraId="320DC9DB" w14:textId="77777777" w:rsidR="002D3A83" w:rsidRPr="0059677A" w:rsidRDefault="00C2306D" w:rsidP="00B0224B">
      <w:pPr>
        <w:spacing w:line="480" w:lineRule="auto"/>
        <w:rPr>
          <w:rFonts w:eastAsiaTheme="minorEastAsia" w:cs="Arial"/>
        </w:rPr>
      </w:pPr>
      <m:oMathPara>
        <m:oMathParaPr>
          <m:jc m:val="left"/>
        </m:oMathParaPr>
        <m:oMath>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λ</m:t>
                      </m:r>
                    </m:e>
                    <m:sub>
                      <m:r>
                        <w:rPr>
                          <w:rFonts w:ascii="Cambria Math" w:hAnsi="Cambria Math" w:cs="Arial"/>
                        </w:rPr>
                        <m:t>t</m:t>
                      </m:r>
                    </m:sub>
                  </m:sSub>
                </m:e>
              </m:d>
            </m:e>
          </m:func>
          <m:r>
            <m:rPr>
              <m:sty m:val="p"/>
            </m:rPr>
            <w:rPr>
              <w:rFonts w:ascii="Cambria Math" w:hAnsi="Cambria Math" w:cs="Arial"/>
            </w:rPr>
            <m:t>=a</m:t>
          </m:r>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trend</m:t>
              </m:r>
            </m:e>
            <m:sub>
              <m:r>
                <w:rPr>
                  <w:rFonts w:ascii="Cambria Math" w:eastAsiaTheme="minorEastAsia" w:hAnsi="Cambria Math" w:cs="Arial"/>
                </w:rPr>
                <m:t>t</m:t>
              </m:r>
            </m:sub>
          </m:sSub>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seasonality</m:t>
              </m:r>
            </m:e>
            <m:sub>
              <m:r>
                <w:rPr>
                  <w:rFonts w:ascii="Cambria Math" w:eastAsiaTheme="minorEastAsia" w:hAnsi="Cambria Math" w:cs="Arial"/>
                </w:rPr>
                <m:t>t</m:t>
              </m:r>
            </m:sub>
          </m:sSub>
          <m:r>
            <w:rPr>
              <w:rFonts w:ascii="Cambria Math" w:eastAsiaTheme="minorEastAsia" w:hAnsi="Cambria Math" w:cs="Arial"/>
            </w:rPr>
            <m:t>+</m:t>
          </m:r>
          <m:r>
            <m:rPr>
              <m:sty m:val="p"/>
            </m:rPr>
            <w:rPr>
              <w:rFonts w:ascii="Cambria Math" w:eastAsiaTheme="minorEastAsia" w:hAnsi="Cambria Math" w:cs="Arial"/>
            </w:rPr>
            <m:t>log⁡</m:t>
          </m:r>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population</m:t>
              </m:r>
            </m:e>
            <m:sub>
              <m:r>
                <w:rPr>
                  <w:rFonts w:ascii="Cambria Math" w:eastAsiaTheme="minorEastAsia" w:hAnsi="Cambria Math" w:cs="Arial"/>
                </w:rPr>
                <m:t>t</m:t>
              </m:r>
            </m:sub>
          </m:sSub>
          <m:r>
            <w:rPr>
              <w:rFonts w:ascii="Cambria Math" w:eastAsiaTheme="minorEastAsia" w:hAnsi="Cambria Math" w:cs="Arial"/>
            </w:rPr>
            <m:t>)</m:t>
          </m:r>
        </m:oMath>
      </m:oMathPara>
    </w:p>
    <w:p w14:paraId="3DB23181" w14:textId="1D279F1C" w:rsidR="00D41A71" w:rsidRPr="0059677A" w:rsidRDefault="002D3A83" w:rsidP="002F7D3E">
      <w:pPr>
        <w:spacing w:line="480" w:lineRule="auto"/>
        <w:ind w:left="720" w:hanging="720"/>
        <w:rPr>
          <w:rFonts w:eastAsiaTheme="minorEastAsia" w:cs="Arial"/>
        </w:rPr>
      </w:pPr>
      <w:r w:rsidRPr="0059677A">
        <w:rPr>
          <w:rFonts w:cs="Arial"/>
        </w:rPr>
        <w:t xml:space="preserve">Where, </w:t>
      </w:r>
      <m:oMath>
        <m:r>
          <w:rPr>
            <w:rFonts w:ascii="Cambria Math" w:hAnsi="Cambria Math" w:cs="Arial"/>
          </w:rPr>
          <m:t>t</m:t>
        </m:r>
      </m:oMath>
      <w:r w:rsidRPr="0059677A">
        <w:rPr>
          <w:rFonts w:cs="Arial"/>
        </w:rPr>
        <w:t xml:space="preserve"> was the month of the study; </w:t>
      </w:r>
      <m:oMath>
        <m:sSub>
          <m:sSubPr>
            <m:ctrlPr>
              <w:rPr>
                <w:rFonts w:ascii="Cambria Math" w:hAnsi="Cambria Math" w:cs="Arial"/>
              </w:rPr>
            </m:ctrlPr>
          </m:sSubPr>
          <m:e>
            <m:r>
              <m:rPr>
                <m:sty m:val="p"/>
              </m:rPr>
              <w:rPr>
                <w:rFonts w:ascii="Cambria Math" w:hAnsi="Cambria Math" w:cs="Arial"/>
              </w:rPr>
              <m:t>λ</m:t>
            </m:r>
          </m:e>
          <m:sub>
            <m:r>
              <w:rPr>
                <w:rFonts w:ascii="Cambria Math" w:hAnsi="Cambria Math" w:cs="Arial"/>
              </w:rPr>
              <m:t>t</m:t>
            </m:r>
          </m:sub>
        </m:sSub>
      </m:oMath>
      <w:r w:rsidRPr="0059677A">
        <w:rPr>
          <w:rFonts w:cs="Arial"/>
        </w:rPr>
        <w:t xml:space="preserve"> was the number of consultations and prescriptions at month </w:t>
      </w:r>
      <m:oMath>
        <m:r>
          <w:rPr>
            <w:rFonts w:ascii="Cambria Math" w:hAnsi="Cambria Math" w:cs="Arial"/>
          </w:rPr>
          <m:t>t</m:t>
        </m:r>
      </m:oMath>
      <w:r w:rsidRPr="0059677A">
        <w:rPr>
          <w:rFonts w:cs="Arial"/>
        </w:rPr>
        <w:t xml:space="preserve">; </w:t>
      </w:r>
      <m:oMath>
        <m:r>
          <m:rPr>
            <m:sty m:val="p"/>
          </m:rPr>
          <w:rPr>
            <w:rFonts w:ascii="Cambria Math" w:hAnsi="Cambria Math" w:cs="Arial"/>
          </w:rPr>
          <m:t xml:space="preserve">a </m:t>
        </m:r>
      </m:oMath>
      <w:r w:rsidRPr="0059677A">
        <w:rPr>
          <w:rFonts w:eastAsiaTheme="minorEastAsia" w:cs="Arial"/>
        </w:rPr>
        <w:t xml:space="preserve">was the intercept; </w:t>
      </w:r>
      <m:oMath>
        <m:sSub>
          <m:sSubPr>
            <m:ctrlPr>
              <w:rPr>
                <w:rFonts w:ascii="Cambria Math" w:eastAsiaTheme="minorEastAsia" w:hAnsi="Cambria Math" w:cs="Arial"/>
                <w:i/>
              </w:rPr>
            </m:ctrlPr>
          </m:sSubPr>
          <m:e>
            <m:r>
              <w:rPr>
                <w:rFonts w:ascii="Cambria Math" w:eastAsiaTheme="minorEastAsia" w:hAnsi="Cambria Math" w:cs="Arial"/>
              </w:rPr>
              <m:t>trend</m:t>
            </m:r>
          </m:e>
          <m:sub>
            <m:r>
              <w:rPr>
                <w:rFonts w:ascii="Cambria Math" w:eastAsiaTheme="minorEastAsia" w:hAnsi="Cambria Math" w:cs="Arial"/>
              </w:rPr>
              <m:t>t</m:t>
            </m:r>
          </m:sub>
        </m:sSub>
      </m:oMath>
      <w:r w:rsidRPr="0059677A">
        <w:rPr>
          <w:rFonts w:eastAsiaTheme="minorEastAsia" w:cs="Arial"/>
        </w:rPr>
        <w:t xml:space="preserve"> was a quadratic term defined as </w:t>
      </w:r>
      <m:oMath>
        <m:sSub>
          <m:sSubPr>
            <m:ctrlPr>
              <w:rPr>
                <w:rFonts w:ascii="Cambria Math" w:eastAsiaTheme="minorEastAsia" w:hAnsi="Cambria Math" w:cs="Arial"/>
                <w:i/>
              </w:rPr>
            </m:ctrlPr>
          </m:sSubPr>
          <m:e>
            <m:r>
              <w:rPr>
                <w:rFonts w:ascii="Cambria Math" w:eastAsiaTheme="minorEastAsia" w:hAnsi="Cambria Math" w:cs="Arial"/>
              </w:rPr>
              <m:t>trend</m:t>
            </m:r>
          </m:e>
          <m:sub>
            <m:r>
              <w:rPr>
                <w:rFonts w:ascii="Cambria Math" w:eastAsiaTheme="minorEastAsia" w:hAnsi="Cambria Math" w:cs="Arial"/>
              </w:rPr>
              <m:t>t</m:t>
            </m:r>
          </m:sub>
        </m:sSub>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a+b</m:t>
            </m:r>
            <m:r>
              <w:rPr>
                <w:rFonts w:ascii="Cambria Math" w:hAnsi="Cambria Math" w:cs="Arial"/>
              </w:rPr>
              <m:t>t</m:t>
            </m:r>
            <m:r>
              <m:rPr>
                <m:sty m:val="p"/>
              </m:rPr>
              <w:rPr>
                <w:rFonts w:ascii="Cambria Math" w:hAnsi="Cambria Math" w:cs="Arial"/>
              </w:rPr>
              <m:t>+c</m:t>
            </m:r>
            <m:r>
              <w:rPr>
                <w:rFonts w:ascii="Cambria Math" w:hAnsi="Cambria Math" w:cs="Arial"/>
              </w:rPr>
              <m:t>t</m:t>
            </m:r>
          </m:e>
          <m:sup>
            <m:r>
              <m:rPr>
                <m:sty m:val="p"/>
              </m:rPr>
              <w:rPr>
                <w:rFonts w:ascii="Cambria Math" w:hAnsi="Cambria Math" w:cs="Arial"/>
              </w:rPr>
              <m:t>2</m:t>
            </m:r>
          </m:sup>
        </m:sSup>
      </m:oMath>
      <w:r w:rsidRPr="0059677A">
        <w:rPr>
          <w:rFonts w:eastAsiaTheme="minorEastAsia" w:cs="Arial"/>
        </w:rPr>
        <w:t>,</w:t>
      </w:r>
      <w:r w:rsidRPr="0059677A">
        <w:rPr>
          <w:rFonts w:cs="Arial"/>
        </w:rPr>
        <w:t xml:space="preserve"> used to account for the decreasing trend observed in the rates; </w:t>
      </w:r>
      <m:oMath>
        <m:sSub>
          <m:sSubPr>
            <m:ctrlPr>
              <w:rPr>
                <w:rFonts w:ascii="Cambria Math" w:eastAsiaTheme="minorEastAsia" w:hAnsi="Cambria Math" w:cs="Arial"/>
                <w:i/>
              </w:rPr>
            </m:ctrlPr>
          </m:sSubPr>
          <m:e>
            <m:r>
              <w:rPr>
                <w:rFonts w:ascii="Cambria Math" w:eastAsiaTheme="minorEastAsia" w:hAnsi="Cambria Math" w:cs="Arial"/>
              </w:rPr>
              <m:t>seasonality</m:t>
            </m:r>
          </m:e>
          <m:sub>
            <m:r>
              <w:rPr>
                <w:rFonts w:ascii="Cambria Math" w:eastAsiaTheme="minorEastAsia" w:hAnsi="Cambria Math" w:cs="Arial"/>
              </w:rPr>
              <m:t>t</m:t>
            </m:r>
          </m:sub>
        </m:sSub>
      </m:oMath>
      <w:r w:rsidRPr="0059677A">
        <w:rPr>
          <w:rFonts w:eastAsiaTheme="minorEastAsia" w:cs="Arial"/>
        </w:rPr>
        <w:t xml:space="preserve"> was a seasonality term defined as </w:t>
      </w:r>
      <m:oMath>
        <m:sSub>
          <m:sSubPr>
            <m:ctrlPr>
              <w:rPr>
                <w:rFonts w:ascii="Cambria Math" w:eastAsiaTheme="minorEastAsia" w:hAnsi="Cambria Math" w:cs="Arial"/>
                <w:i/>
              </w:rPr>
            </m:ctrlPr>
          </m:sSubPr>
          <m:e>
            <m:r>
              <w:rPr>
                <w:rFonts w:ascii="Cambria Math" w:eastAsiaTheme="minorEastAsia" w:hAnsi="Cambria Math" w:cs="Arial"/>
              </w:rPr>
              <m:t>seasonality</m:t>
            </m:r>
          </m:e>
          <m:sub>
            <m:r>
              <w:rPr>
                <w:rFonts w:ascii="Cambria Math" w:eastAsiaTheme="minorEastAsia" w:hAnsi="Cambria Math" w:cs="Arial"/>
              </w:rPr>
              <m:t>t</m:t>
            </m:r>
          </m:sub>
        </m:sSub>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cos</m:t>
            </m:r>
          </m:fName>
          <m:e>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2Π</m:t>
                    </m:r>
                    <m:r>
                      <w:rPr>
                        <w:rFonts w:ascii="Cambria Math" w:hAnsi="Cambria Math" w:cs="Arial"/>
                      </w:rPr>
                      <m:t>t</m:t>
                    </m:r>
                  </m:num>
                  <m:den>
                    <m:r>
                      <m:rPr>
                        <m:sty m:val="p"/>
                      </m:rPr>
                      <w:rPr>
                        <w:rFonts w:ascii="Cambria Math" w:hAnsi="Cambria Math" w:cs="Arial"/>
                      </w:rPr>
                      <m:t>12</m:t>
                    </m:r>
                  </m:den>
                </m:f>
              </m:e>
            </m:d>
          </m:e>
        </m:func>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2Π</m:t>
                    </m:r>
                    <m:r>
                      <w:rPr>
                        <w:rFonts w:ascii="Cambria Math" w:hAnsi="Cambria Math" w:cs="Arial"/>
                      </w:rPr>
                      <m:t>t</m:t>
                    </m:r>
                  </m:num>
                  <m:den>
                    <m:r>
                      <m:rPr>
                        <m:sty m:val="p"/>
                      </m:rPr>
                      <w:rPr>
                        <w:rFonts w:ascii="Cambria Math" w:hAnsi="Cambria Math" w:cs="Arial"/>
                      </w:rPr>
                      <m:t>12</m:t>
                    </m:r>
                  </m:den>
                </m:f>
              </m:e>
            </m:d>
          </m:e>
        </m:func>
      </m:oMath>
      <w:r w:rsidRPr="0059677A">
        <w:rPr>
          <w:rFonts w:eastAsiaTheme="minorEastAsia" w:cs="Arial"/>
        </w:rPr>
        <w:t xml:space="preserve">; and </w:t>
      </w:r>
      <m:oMath>
        <m:r>
          <m:rPr>
            <m:sty m:val="p"/>
          </m:rPr>
          <w:rPr>
            <w:rFonts w:ascii="Cambria Math" w:eastAsiaTheme="minorEastAsia" w:hAnsi="Cambria Math" w:cs="Arial"/>
          </w:rPr>
          <m:t>log⁡</m:t>
        </m:r>
        <m:r>
          <w:rPr>
            <w:rFonts w:ascii="Cambria Math" w:eastAsiaTheme="minorEastAsia" w:hAnsi="Cambria Math" w:cs="Arial"/>
          </w:rPr>
          <m:t>(</m:t>
        </m:r>
        <m:sSub>
          <m:sSubPr>
            <m:ctrlPr>
              <w:rPr>
                <w:rFonts w:ascii="Cambria Math" w:eastAsiaTheme="minorEastAsia" w:hAnsi="Cambria Math" w:cs="Arial"/>
                <w:i/>
              </w:rPr>
            </m:ctrlPr>
          </m:sSubPr>
          <m:e>
            <m:r>
              <w:rPr>
                <w:rFonts w:ascii="Cambria Math" w:eastAsiaTheme="minorEastAsia" w:hAnsi="Cambria Math" w:cs="Arial"/>
              </w:rPr>
              <m:t>population</m:t>
            </m:r>
          </m:e>
          <m:sub>
            <m:r>
              <w:rPr>
                <w:rFonts w:ascii="Cambria Math" w:eastAsiaTheme="minorEastAsia" w:hAnsi="Cambria Math" w:cs="Arial"/>
              </w:rPr>
              <m:t>t</m:t>
            </m:r>
          </m:sub>
        </m:sSub>
        <m:r>
          <w:rPr>
            <w:rFonts w:ascii="Cambria Math" w:eastAsiaTheme="minorEastAsia" w:hAnsi="Cambria Math" w:cs="Arial"/>
          </w:rPr>
          <m:t xml:space="preserve">) </m:t>
        </m:r>
      </m:oMath>
      <w:r w:rsidRPr="0059677A">
        <w:rPr>
          <w:rFonts w:eastAsiaTheme="minorEastAsia" w:cs="Arial"/>
        </w:rPr>
        <w:t xml:space="preserve">was an offset used to model the rates </w:t>
      </w:r>
      <w:r w:rsidRPr="0059677A">
        <w:rPr>
          <w:rFonts w:cs="Arial"/>
        </w:rPr>
        <w:t xml:space="preserve">of consultations and prescriptions </w:t>
      </w:r>
      <w:r w:rsidRPr="0059677A">
        <w:rPr>
          <w:rFonts w:eastAsiaTheme="minorEastAsia" w:cs="Arial"/>
        </w:rPr>
        <w:t>instead of the counts.</w:t>
      </w:r>
    </w:p>
    <w:p w14:paraId="324D8675" w14:textId="7070E887" w:rsidR="00711534" w:rsidRPr="0059677A" w:rsidRDefault="00711534" w:rsidP="00711534">
      <w:pPr>
        <w:spacing w:line="480" w:lineRule="auto"/>
        <w:rPr>
          <w:rFonts w:cs="Arial"/>
        </w:rPr>
      </w:pPr>
      <w:r w:rsidRPr="0059677A">
        <w:rPr>
          <w:rFonts w:cs="Arial"/>
        </w:rPr>
        <w:t xml:space="preserve">Negative binomial models were best suited to model the rates of consultations and prescriptions due to the </w:t>
      </w:r>
      <w:proofErr w:type="spellStart"/>
      <w:r w:rsidRPr="0059677A">
        <w:rPr>
          <w:rFonts w:cs="Arial"/>
        </w:rPr>
        <w:t>overdispersion</w:t>
      </w:r>
      <w:proofErr w:type="spellEnd"/>
      <w:r w:rsidRPr="0059677A">
        <w:rPr>
          <w:rFonts w:cs="Arial"/>
        </w:rPr>
        <w:t xml:space="preserve"> in the data.</w:t>
      </w:r>
    </w:p>
    <w:p w14:paraId="7AA4048A" w14:textId="62BED01C" w:rsidR="000D1DE2" w:rsidRPr="0059677A" w:rsidRDefault="000D1DE2">
      <w:pPr>
        <w:spacing w:line="276" w:lineRule="auto"/>
        <w:jc w:val="left"/>
        <w:rPr>
          <w:rFonts w:eastAsiaTheme="minorEastAsia" w:cs="Arial"/>
        </w:rPr>
      </w:pPr>
      <w:r w:rsidRPr="0059677A">
        <w:rPr>
          <w:rFonts w:eastAsiaTheme="minorEastAsia" w:cs="Arial"/>
        </w:rPr>
        <w:br w:type="page"/>
      </w:r>
    </w:p>
    <w:p w14:paraId="7F14A71C" w14:textId="52EACF00" w:rsidR="000D1DE2" w:rsidRPr="0059677A" w:rsidRDefault="000D1DE2" w:rsidP="000D1DE2">
      <w:pPr>
        <w:pStyle w:val="Heading1"/>
        <w:spacing w:line="480" w:lineRule="auto"/>
        <w:rPr>
          <w:rFonts w:ascii="Arial" w:hAnsi="Arial" w:cs="Arial"/>
          <w:color w:val="auto"/>
        </w:rPr>
      </w:pPr>
      <w:r w:rsidRPr="0059677A">
        <w:rPr>
          <w:rFonts w:ascii="Arial" w:hAnsi="Arial" w:cs="Arial"/>
          <w:color w:val="auto"/>
        </w:rPr>
        <w:lastRenderedPageBreak/>
        <w:t>References</w:t>
      </w:r>
    </w:p>
    <w:p w14:paraId="37C353F2" w14:textId="588DF5AA" w:rsidR="00872C88" w:rsidRPr="00872C88" w:rsidRDefault="000D1DE2" w:rsidP="00872C88">
      <w:pPr>
        <w:widowControl w:val="0"/>
        <w:autoSpaceDE w:val="0"/>
        <w:autoSpaceDN w:val="0"/>
        <w:adjustRightInd w:val="0"/>
        <w:ind w:left="640" w:hanging="640"/>
        <w:rPr>
          <w:rFonts w:cs="Arial"/>
          <w:noProof/>
          <w:szCs w:val="24"/>
        </w:rPr>
      </w:pPr>
      <w:r w:rsidRPr="0059677A">
        <w:rPr>
          <w:rFonts w:cs="Arial"/>
        </w:rPr>
        <w:fldChar w:fldCharType="begin" w:fldLock="1"/>
      </w:r>
      <w:r w:rsidRPr="0059677A">
        <w:rPr>
          <w:rFonts w:cs="Arial"/>
        </w:rPr>
        <w:instrText xml:space="preserve">ADDIN Mendeley Bibliography CSL_BIBLIOGRAPHY </w:instrText>
      </w:r>
      <w:r w:rsidRPr="0059677A">
        <w:rPr>
          <w:rFonts w:cs="Arial"/>
        </w:rPr>
        <w:fldChar w:fldCharType="separate"/>
      </w:r>
      <w:r w:rsidR="00872C88" w:rsidRPr="00872C88">
        <w:rPr>
          <w:rFonts w:cs="Arial"/>
          <w:noProof/>
          <w:szCs w:val="24"/>
        </w:rPr>
        <w:t>1.</w:t>
      </w:r>
      <w:r w:rsidR="00872C88" w:rsidRPr="00872C88">
        <w:rPr>
          <w:rFonts w:cs="Arial"/>
          <w:noProof/>
          <w:szCs w:val="24"/>
        </w:rPr>
        <w:tab/>
      </w:r>
      <w:r w:rsidR="00872C88" w:rsidRPr="00872C88">
        <w:rPr>
          <w:rFonts w:cs="Arial"/>
          <w:b/>
          <w:bCs/>
          <w:noProof/>
          <w:szCs w:val="24"/>
        </w:rPr>
        <w:t>Stansfeld JM</w:t>
      </w:r>
      <w:r w:rsidR="00872C88" w:rsidRPr="00872C88">
        <w:rPr>
          <w:rFonts w:cs="Arial"/>
          <w:noProof/>
          <w:szCs w:val="24"/>
        </w:rPr>
        <w:t xml:space="preserve">. Clinical observations relating to incidence and aetiology of urinary-tract infections in children. </w:t>
      </w:r>
      <w:r w:rsidR="00872C88" w:rsidRPr="00872C88">
        <w:rPr>
          <w:rFonts w:cs="Arial"/>
          <w:i/>
          <w:iCs/>
          <w:noProof/>
          <w:szCs w:val="24"/>
        </w:rPr>
        <w:t>British medical journal</w:t>
      </w:r>
      <w:r w:rsidR="00872C88" w:rsidRPr="00872C88">
        <w:rPr>
          <w:rFonts w:cs="Arial"/>
          <w:noProof/>
          <w:szCs w:val="24"/>
        </w:rPr>
        <w:t xml:space="preserve"> 1966; </w:t>
      </w:r>
      <w:r w:rsidR="00872C88" w:rsidRPr="00872C88">
        <w:rPr>
          <w:rFonts w:cs="Arial"/>
          <w:b/>
          <w:bCs/>
          <w:noProof/>
          <w:szCs w:val="24"/>
        </w:rPr>
        <w:t>1</w:t>
      </w:r>
      <w:r w:rsidR="00872C88" w:rsidRPr="00872C88">
        <w:rPr>
          <w:rFonts w:cs="Arial"/>
          <w:noProof/>
          <w:szCs w:val="24"/>
        </w:rPr>
        <w:t xml:space="preserve">: 631–5. </w:t>
      </w:r>
    </w:p>
    <w:p w14:paraId="5B783DC9"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2.</w:t>
      </w:r>
      <w:r w:rsidRPr="00872C88">
        <w:rPr>
          <w:rFonts w:cs="Arial"/>
          <w:noProof/>
          <w:szCs w:val="24"/>
        </w:rPr>
        <w:tab/>
      </w:r>
      <w:r w:rsidRPr="00872C88">
        <w:rPr>
          <w:rFonts w:cs="Arial"/>
          <w:b/>
          <w:bCs/>
          <w:noProof/>
          <w:szCs w:val="24"/>
        </w:rPr>
        <w:t>Anderson JE</w:t>
      </w:r>
      <w:r w:rsidRPr="00872C88">
        <w:rPr>
          <w:rFonts w:cs="Arial"/>
          <w:noProof/>
          <w:szCs w:val="24"/>
        </w:rPr>
        <w:t xml:space="preserve">. Seasonality of symptomatic bacterial urinary infections in women. </w:t>
      </w:r>
      <w:r w:rsidRPr="00872C88">
        <w:rPr>
          <w:rFonts w:cs="Arial"/>
          <w:i/>
          <w:iCs/>
          <w:noProof/>
          <w:szCs w:val="24"/>
        </w:rPr>
        <w:t>Journal of Epidemiology and Community Health</w:t>
      </w:r>
      <w:r w:rsidRPr="00872C88">
        <w:rPr>
          <w:rFonts w:cs="Arial"/>
          <w:noProof/>
          <w:szCs w:val="24"/>
        </w:rPr>
        <w:t xml:space="preserve"> 1983; </w:t>
      </w:r>
      <w:r w:rsidRPr="00872C88">
        <w:rPr>
          <w:rFonts w:cs="Arial"/>
          <w:b/>
          <w:bCs/>
          <w:noProof/>
          <w:szCs w:val="24"/>
        </w:rPr>
        <w:t>37</w:t>
      </w:r>
      <w:r w:rsidRPr="00872C88">
        <w:rPr>
          <w:rFonts w:cs="Arial"/>
          <w:noProof/>
          <w:szCs w:val="24"/>
        </w:rPr>
        <w:t xml:space="preserve">: 286–290. </w:t>
      </w:r>
    </w:p>
    <w:p w14:paraId="2EE71DD0"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3.</w:t>
      </w:r>
      <w:r w:rsidRPr="00872C88">
        <w:rPr>
          <w:rFonts w:cs="Arial"/>
          <w:noProof/>
          <w:szCs w:val="24"/>
        </w:rPr>
        <w:tab/>
      </w:r>
      <w:r w:rsidRPr="00872C88">
        <w:rPr>
          <w:rFonts w:cs="Arial"/>
          <w:b/>
          <w:bCs/>
          <w:noProof/>
          <w:szCs w:val="24"/>
        </w:rPr>
        <w:t>Pead L, Maskell R, Morris J</w:t>
      </w:r>
      <w:r w:rsidRPr="00872C88">
        <w:rPr>
          <w:rFonts w:cs="Arial"/>
          <w:noProof/>
          <w:szCs w:val="24"/>
        </w:rPr>
        <w:t xml:space="preserve">. Staphylococcus saprophyticus as a urinary pathogen: a six year prospective survey. </w:t>
      </w:r>
      <w:r w:rsidRPr="00872C88">
        <w:rPr>
          <w:rFonts w:cs="Arial"/>
          <w:i/>
          <w:iCs/>
          <w:noProof/>
          <w:szCs w:val="24"/>
        </w:rPr>
        <w:t>British medical journal (Clinical research ed.)</w:t>
      </w:r>
      <w:r w:rsidRPr="00872C88">
        <w:rPr>
          <w:rFonts w:cs="Arial"/>
          <w:noProof/>
          <w:szCs w:val="24"/>
        </w:rPr>
        <w:t xml:space="preserve"> 1985; </w:t>
      </w:r>
      <w:r w:rsidRPr="00872C88">
        <w:rPr>
          <w:rFonts w:cs="Arial"/>
          <w:b/>
          <w:bCs/>
          <w:noProof/>
          <w:szCs w:val="24"/>
        </w:rPr>
        <w:t>291</w:t>
      </w:r>
      <w:r w:rsidRPr="00872C88">
        <w:rPr>
          <w:rFonts w:cs="Arial"/>
          <w:noProof/>
          <w:szCs w:val="24"/>
        </w:rPr>
        <w:t xml:space="preserve">: 1157–9. </w:t>
      </w:r>
    </w:p>
    <w:p w14:paraId="736F8D93"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4.</w:t>
      </w:r>
      <w:r w:rsidRPr="00872C88">
        <w:rPr>
          <w:rFonts w:cs="Arial"/>
          <w:noProof/>
          <w:szCs w:val="24"/>
        </w:rPr>
        <w:tab/>
      </w:r>
      <w:r w:rsidRPr="00872C88">
        <w:rPr>
          <w:rFonts w:cs="Arial"/>
          <w:b/>
          <w:bCs/>
          <w:noProof/>
          <w:szCs w:val="24"/>
        </w:rPr>
        <w:t>Vorland LH, Carlson K, Aalen O</w:t>
      </w:r>
      <w:r w:rsidRPr="00872C88">
        <w:rPr>
          <w:rFonts w:cs="Arial"/>
          <w:noProof/>
          <w:szCs w:val="24"/>
        </w:rPr>
        <w:t xml:space="preserve">. Antibiotic resistance and small R plasmids among Escherichia coli isolates from outpatient urinary tract infections in northern Norway. </w:t>
      </w:r>
      <w:r w:rsidRPr="00872C88">
        <w:rPr>
          <w:rFonts w:cs="Arial"/>
          <w:i/>
          <w:iCs/>
          <w:noProof/>
          <w:szCs w:val="24"/>
        </w:rPr>
        <w:t>Antimicrobial agents and chemotherapy</w:t>
      </w:r>
      <w:r w:rsidRPr="00872C88">
        <w:rPr>
          <w:rFonts w:cs="Arial"/>
          <w:noProof/>
          <w:szCs w:val="24"/>
        </w:rPr>
        <w:t xml:space="preserve"> 1985; </w:t>
      </w:r>
      <w:r w:rsidRPr="00872C88">
        <w:rPr>
          <w:rFonts w:cs="Arial"/>
          <w:b/>
          <w:bCs/>
          <w:noProof/>
          <w:szCs w:val="24"/>
        </w:rPr>
        <w:t>27</w:t>
      </w:r>
      <w:r w:rsidRPr="00872C88">
        <w:rPr>
          <w:rFonts w:cs="Arial"/>
          <w:noProof/>
          <w:szCs w:val="24"/>
        </w:rPr>
        <w:t xml:space="preserve">: 107–13. </w:t>
      </w:r>
    </w:p>
    <w:p w14:paraId="19973884"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5.</w:t>
      </w:r>
      <w:r w:rsidRPr="00872C88">
        <w:rPr>
          <w:rFonts w:cs="Arial"/>
          <w:noProof/>
          <w:szCs w:val="24"/>
        </w:rPr>
        <w:tab/>
      </w:r>
      <w:r w:rsidRPr="00872C88">
        <w:rPr>
          <w:rFonts w:cs="Arial"/>
          <w:b/>
          <w:bCs/>
          <w:noProof/>
          <w:szCs w:val="24"/>
        </w:rPr>
        <w:t>Ferry S, Burman LG, Mattsson B</w:t>
      </w:r>
      <w:r w:rsidRPr="00872C88">
        <w:rPr>
          <w:rFonts w:cs="Arial"/>
          <w:noProof/>
          <w:szCs w:val="24"/>
        </w:rPr>
        <w:t xml:space="preserve">. Urinary tract infection in primary health care in northern Sweden. I. Epidemiology. </w:t>
      </w:r>
      <w:r w:rsidRPr="00872C88">
        <w:rPr>
          <w:rFonts w:cs="Arial"/>
          <w:i/>
          <w:iCs/>
          <w:noProof/>
          <w:szCs w:val="24"/>
        </w:rPr>
        <w:t>Scandinavian journal of primary health care</w:t>
      </w:r>
      <w:r w:rsidRPr="00872C88">
        <w:rPr>
          <w:rFonts w:cs="Arial"/>
          <w:noProof/>
          <w:szCs w:val="24"/>
        </w:rPr>
        <w:t xml:space="preserve"> 1987; </w:t>
      </w:r>
      <w:r w:rsidRPr="00872C88">
        <w:rPr>
          <w:rFonts w:cs="Arial"/>
          <w:b/>
          <w:bCs/>
          <w:noProof/>
          <w:szCs w:val="24"/>
        </w:rPr>
        <w:t>5</w:t>
      </w:r>
      <w:r w:rsidRPr="00872C88">
        <w:rPr>
          <w:rFonts w:cs="Arial"/>
          <w:noProof/>
          <w:szCs w:val="24"/>
        </w:rPr>
        <w:t xml:space="preserve">: 123–8. </w:t>
      </w:r>
    </w:p>
    <w:p w14:paraId="595FDA05"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6.</w:t>
      </w:r>
      <w:r w:rsidRPr="00872C88">
        <w:rPr>
          <w:rFonts w:cs="Arial"/>
          <w:noProof/>
          <w:szCs w:val="24"/>
        </w:rPr>
        <w:tab/>
      </w:r>
      <w:r w:rsidRPr="00872C88">
        <w:rPr>
          <w:rFonts w:cs="Arial"/>
          <w:b/>
          <w:bCs/>
          <w:noProof/>
          <w:szCs w:val="24"/>
        </w:rPr>
        <w:t xml:space="preserve">Stamm WE, </w:t>
      </w:r>
      <w:r w:rsidRPr="00872C88">
        <w:rPr>
          <w:rFonts w:cs="Arial"/>
          <w:b/>
          <w:bCs/>
          <w:i/>
          <w:iCs/>
          <w:noProof/>
          <w:szCs w:val="24"/>
        </w:rPr>
        <w:t>et al.</w:t>
      </w:r>
      <w:r w:rsidRPr="00872C88">
        <w:rPr>
          <w:rFonts w:cs="Arial"/>
          <w:noProof/>
          <w:szCs w:val="24"/>
        </w:rPr>
        <w:t xml:space="preserve"> Natural history of recurrent urinary tract infections in women. </w:t>
      </w:r>
      <w:r w:rsidRPr="00872C88">
        <w:rPr>
          <w:rFonts w:cs="Arial"/>
          <w:i/>
          <w:iCs/>
          <w:noProof/>
          <w:szCs w:val="24"/>
        </w:rPr>
        <w:t>Reviews of infectious diseases</w:t>
      </w:r>
      <w:r w:rsidRPr="00872C88">
        <w:rPr>
          <w:rFonts w:cs="Arial"/>
          <w:noProof/>
          <w:szCs w:val="24"/>
        </w:rPr>
        <w:t xml:space="preserve"> 1991; </w:t>
      </w:r>
      <w:r w:rsidRPr="00872C88">
        <w:rPr>
          <w:rFonts w:cs="Arial"/>
          <w:b/>
          <w:bCs/>
          <w:noProof/>
          <w:szCs w:val="24"/>
        </w:rPr>
        <w:t>13</w:t>
      </w:r>
      <w:r w:rsidRPr="00872C88">
        <w:rPr>
          <w:rFonts w:cs="Arial"/>
          <w:noProof/>
          <w:szCs w:val="24"/>
        </w:rPr>
        <w:t xml:space="preserve">: 77–84. </w:t>
      </w:r>
    </w:p>
    <w:p w14:paraId="4D3BE940"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7.</w:t>
      </w:r>
      <w:r w:rsidRPr="00872C88">
        <w:rPr>
          <w:rFonts w:cs="Arial"/>
          <w:noProof/>
          <w:szCs w:val="24"/>
        </w:rPr>
        <w:tab/>
      </w:r>
      <w:r w:rsidRPr="00872C88">
        <w:rPr>
          <w:rFonts w:cs="Arial"/>
          <w:b/>
          <w:bCs/>
          <w:noProof/>
          <w:szCs w:val="24"/>
        </w:rPr>
        <w:t xml:space="preserve">Kwok W-Y, </w:t>
      </w:r>
      <w:r w:rsidRPr="00872C88">
        <w:rPr>
          <w:rFonts w:cs="Arial"/>
          <w:b/>
          <w:bCs/>
          <w:i/>
          <w:iCs/>
          <w:noProof/>
          <w:szCs w:val="24"/>
        </w:rPr>
        <w:t>et al.</w:t>
      </w:r>
      <w:r w:rsidRPr="00872C88">
        <w:rPr>
          <w:rFonts w:cs="Arial"/>
          <w:noProof/>
          <w:szCs w:val="24"/>
        </w:rPr>
        <w:t xml:space="preserve"> Incidence rates and management of urinary tract infections among children in Dutch general practice: results from a nation-wide registration study. </w:t>
      </w:r>
      <w:r w:rsidRPr="00872C88">
        <w:rPr>
          <w:rFonts w:cs="Arial"/>
          <w:i/>
          <w:iCs/>
          <w:noProof/>
          <w:szCs w:val="24"/>
        </w:rPr>
        <w:t>BMC pediatrics</w:t>
      </w:r>
      <w:r w:rsidRPr="00872C88">
        <w:rPr>
          <w:rFonts w:cs="Arial"/>
          <w:noProof/>
          <w:szCs w:val="24"/>
        </w:rPr>
        <w:t xml:space="preserve"> 2006; </w:t>
      </w:r>
      <w:r w:rsidRPr="00872C88">
        <w:rPr>
          <w:rFonts w:cs="Arial"/>
          <w:b/>
          <w:bCs/>
          <w:noProof/>
          <w:szCs w:val="24"/>
        </w:rPr>
        <w:t>6</w:t>
      </w:r>
      <w:r w:rsidRPr="00872C88">
        <w:rPr>
          <w:rFonts w:cs="Arial"/>
          <w:noProof/>
          <w:szCs w:val="24"/>
        </w:rPr>
        <w:t xml:space="preserve">: 10. </w:t>
      </w:r>
    </w:p>
    <w:p w14:paraId="0E702A9F"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8.</w:t>
      </w:r>
      <w:r w:rsidRPr="00872C88">
        <w:rPr>
          <w:rFonts w:cs="Arial"/>
          <w:noProof/>
          <w:szCs w:val="24"/>
        </w:rPr>
        <w:tab/>
      </w:r>
      <w:r w:rsidRPr="00872C88">
        <w:rPr>
          <w:rFonts w:cs="Arial"/>
          <w:b/>
          <w:bCs/>
          <w:noProof/>
          <w:szCs w:val="24"/>
        </w:rPr>
        <w:t xml:space="preserve">Falagas ME, </w:t>
      </w:r>
      <w:r w:rsidRPr="00872C88">
        <w:rPr>
          <w:rFonts w:cs="Arial"/>
          <w:b/>
          <w:bCs/>
          <w:i/>
          <w:iCs/>
          <w:noProof/>
          <w:szCs w:val="24"/>
        </w:rPr>
        <w:t>et al.</w:t>
      </w:r>
      <w:r w:rsidRPr="00872C88">
        <w:rPr>
          <w:rFonts w:cs="Arial"/>
          <w:noProof/>
          <w:szCs w:val="24"/>
        </w:rPr>
        <w:t xml:space="preserve"> Effect of meteorological variables on the incidence of lower urinary tract infections. </w:t>
      </w:r>
      <w:r w:rsidRPr="00872C88">
        <w:rPr>
          <w:rFonts w:cs="Arial"/>
          <w:i/>
          <w:iCs/>
          <w:noProof/>
          <w:szCs w:val="24"/>
        </w:rPr>
        <w:t>European journal of clinical microbiology &amp; infectious diseases : official publication of the European Society of Clinical Microbiology</w:t>
      </w:r>
      <w:r w:rsidRPr="00872C88">
        <w:rPr>
          <w:rFonts w:cs="Arial"/>
          <w:noProof/>
          <w:szCs w:val="24"/>
        </w:rPr>
        <w:t xml:space="preserve"> 2009; </w:t>
      </w:r>
      <w:r w:rsidRPr="00872C88">
        <w:rPr>
          <w:rFonts w:cs="Arial"/>
          <w:b/>
          <w:bCs/>
          <w:noProof/>
          <w:szCs w:val="24"/>
        </w:rPr>
        <w:t>28</w:t>
      </w:r>
      <w:r w:rsidRPr="00872C88">
        <w:rPr>
          <w:rFonts w:cs="Arial"/>
          <w:noProof/>
          <w:szCs w:val="24"/>
        </w:rPr>
        <w:t xml:space="preserve">: 709–12. </w:t>
      </w:r>
    </w:p>
    <w:p w14:paraId="001FDE99"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9.</w:t>
      </w:r>
      <w:r w:rsidRPr="00872C88">
        <w:rPr>
          <w:rFonts w:cs="Arial"/>
          <w:noProof/>
          <w:szCs w:val="24"/>
        </w:rPr>
        <w:tab/>
      </w:r>
      <w:r w:rsidRPr="00872C88">
        <w:rPr>
          <w:rFonts w:cs="Arial"/>
          <w:b/>
          <w:bCs/>
          <w:noProof/>
          <w:szCs w:val="24"/>
        </w:rPr>
        <w:t>Eriksson A, Giske CG, Ternhag A</w:t>
      </w:r>
      <w:r w:rsidRPr="00872C88">
        <w:rPr>
          <w:rFonts w:cs="Arial"/>
          <w:noProof/>
          <w:szCs w:val="24"/>
        </w:rPr>
        <w:t xml:space="preserve">. The relative importance of </w:t>
      </w:r>
      <w:r w:rsidRPr="00872C88">
        <w:rPr>
          <w:rFonts w:cs="Arial"/>
          <w:i/>
          <w:iCs/>
          <w:noProof/>
          <w:szCs w:val="24"/>
        </w:rPr>
        <w:t>Staphylococcus saprophyticus</w:t>
      </w:r>
      <w:r w:rsidRPr="00872C88">
        <w:rPr>
          <w:rFonts w:cs="Arial"/>
          <w:noProof/>
          <w:szCs w:val="24"/>
        </w:rPr>
        <w:t xml:space="preserve"> as a urinary tract pathogen: distribution of bacteria among urinary samples analysed during 1 year at a major Swedish laboratory. </w:t>
      </w:r>
      <w:r w:rsidRPr="00872C88">
        <w:rPr>
          <w:rFonts w:cs="Arial"/>
          <w:i/>
          <w:iCs/>
          <w:noProof/>
          <w:szCs w:val="24"/>
        </w:rPr>
        <w:t>APMIS</w:t>
      </w:r>
      <w:r w:rsidRPr="00872C88">
        <w:rPr>
          <w:rFonts w:cs="Arial"/>
          <w:noProof/>
          <w:szCs w:val="24"/>
        </w:rPr>
        <w:t xml:space="preserve"> 2013; </w:t>
      </w:r>
      <w:r w:rsidRPr="00872C88">
        <w:rPr>
          <w:rFonts w:cs="Arial"/>
          <w:b/>
          <w:bCs/>
          <w:noProof/>
          <w:szCs w:val="24"/>
        </w:rPr>
        <w:t>121</w:t>
      </w:r>
      <w:r w:rsidRPr="00872C88">
        <w:rPr>
          <w:rFonts w:cs="Arial"/>
          <w:noProof/>
          <w:szCs w:val="24"/>
        </w:rPr>
        <w:t xml:space="preserve">: 72–78. </w:t>
      </w:r>
    </w:p>
    <w:p w14:paraId="61AB35F9"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10.</w:t>
      </w:r>
      <w:r w:rsidRPr="00872C88">
        <w:rPr>
          <w:rFonts w:cs="Arial"/>
          <w:noProof/>
          <w:szCs w:val="24"/>
        </w:rPr>
        <w:tab/>
      </w:r>
      <w:r w:rsidRPr="00872C88">
        <w:rPr>
          <w:rFonts w:cs="Arial"/>
          <w:b/>
          <w:bCs/>
          <w:noProof/>
          <w:szCs w:val="24"/>
        </w:rPr>
        <w:t xml:space="preserve">Rossignol L, </w:t>
      </w:r>
      <w:r w:rsidRPr="00872C88">
        <w:rPr>
          <w:rFonts w:cs="Arial"/>
          <w:b/>
          <w:bCs/>
          <w:i/>
          <w:iCs/>
          <w:noProof/>
          <w:szCs w:val="24"/>
        </w:rPr>
        <w:t>et al.</w:t>
      </w:r>
      <w:r w:rsidRPr="00872C88">
        <w:rPr>
          <w:rFonts w:cs="Arial"/>
          <w:noProof/>
          <w:szCs w:val="24"/>
        </w:rPr>
        <w:t xml:space="preserve"> A method to assess seasonality of urinary tract infections based on medication sales and google trends. </w:t>
      </w:r>
      <w:r w:rsidRPr="00872C88">
        <w:rPr>
          <w:rFonts w:cs="Arial"/>
          <w:i/>
          <w:iCs/>
          <w:noProof/>
          <w:szCs w:val="24"/>
        </w:rPr>
        <w:t>PloS one</w:t>
      </w:r>
      <w:r w:rsidRPr="00872C88">
        <w:rPr>
          <w:rFonts w:cs="Arial"/>
          <w:noProof/>
          <w:szCs w:val="24"/>
        </w:rPr>
        <w:t xml:space="preserve"> Public Library of </w:t>
      </w:r>
      <w:r w:rsidRPr="00872C88">
        <w:rPr>
          <w:rFonts w:cs="Arial"/>
          <w:noProof/>
          <w:szCs w:val="24"/>
        </w:rPr>
        <w:lastRenderedPageBreak/>
        <w:t xml:space="preserve">Science, 2013; </w:t>
      </w:r>
      <w:r w:rsidRPr="00872C88">
        <w:rPr>
          <w:rFonts w:cs="Arial"/>
          <w:b/>
          <w:bCs/>
          <w:noProof/>
          <w:szCs w:val="24"/>
        </w:rPr>
        <w:t>8</w:t>
      </w:r>
      <w:r w:rsidRPr="00872C88">
        <w:rPr>
          <w:rFonts w:cs="Arial"/>
          <w:noProof/>
          <w:szCs w:val="24"/>
        </w:rPr>
        <w:t xml:space="preserve">: e76020. </w:t>
      </w:r>
    </w:p>
    <w:p w14:paraId="0042799D"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11.</w:t>
      </w:r>
      <w:r w:rsidRPr="00872C88">
        <w:rPr>
          <w:rFonts w:cs="Arial"/>
          <w:noProof/>
          <w:szCs w:val="24"/>
        </w:rPr>
        <w:tab/>
      </w:r>
      <w:r w:rsidRPr="00872C88">
        <w:rPr>
          <w:rFonts w:cs="Arial"/>
          <w:b/>
          <w:bCs/>
          <w:noProof/>
          <w:szCs w:val="24"/>
        </w:rPr>
        <w:t xml:space="preserve">Yolbaş I, </w:t>
      </w:r>
      <w:r w:rsidRPr="00872C88">
        <w:rPr>
          <w:rFonts w:cs="Arial"/>
          <w:b/>
          <w:bCs/>
          <w:i/>
          <w:iCs/>
          <w:noProof/>
          <w:szCs w:val="24"/>
        </w:rPr>
        <w:t>et al.</w:t>
      </w:r>
      <w:r w:rsidRPr="00872C88">
        <w:rPr>
          <w:rFonts w:cs="Arial"/>
          <w:noProof/>
          <w:szCs w:val="24"/>
        </w:rPr>
        <w:t xml:space="preserve"> Community-acquired urinary tract infections in children: pathogens, antibiotic susceptibility and seasonal changes. </w:t>
      </w:r>
      <w:r w:rsidRPr="00872C88">
        <w:rPr>
          <w:rFonts w:cs="Arial"/>
          <w:i/>
          <w:iCs/>
          <w:noProof/>
          <w:szCs w:val="24"/>
        </w:rPr>
        <w:t>European review for medical and pharmacological sciences</w:t>
      </w:r>
      <w:r w:rsidRPr="00872C88">
        <w:rPr>
          <w:rFonts w:cs="Arial"/>
          <w:noProof/>
          <w:szCs w:val="24"/>
        </w:rPr>
        <w:t xml:space="preserve"> 2013; </w:t>
      </w:r>
      <w:r w:rsidRPr="00872C88">
        <w:rPr>
          <w:rFonts w:cs="Arial"/>
          <w:b/>
          <w:bCs/>
          <w:noProof/>
          <w:szCs w:val="24"/>
        </w:rPr>
        <w:t>17</w:t>
      </w:r>
      <w:r w:rsidRPr="00872C88">
        <w:rPr>
          <w:rFonts w:cs="Arial"/>
          <w:noProof/>
          <w:szCs w:val="24"/>
        </w:rPr>
        <w:t xml:space="preserve">: 971–6. </w:t>
      </w:r>
    </w:p>
    <w:p w14:paraId="114029F8"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12.</w:t>
      </w:r>
      <w:r w:rsidRPr="00872C88">
        <w:rPr>
          <w:rFonts w:cs="Arial"/>
          <w:noProof/>
          <w:szCs w:val="24"/>
        </w:rPr>
        <w:tab/>
      </w:r>
      <w:r w:rsidRPr="00872C88">
        <w:rPr>
          <w:rFonts w:cs="Arial"/>
          <w:b/>
          <w:bCs/>
          <w:noProof/>
          <w:szCs w:val="24"/>
        </w:rPr>
        <w:t>Melamed RD, Khiabanian H, Rabadan R</w:t>
      </w:r>
      <w:r w:rsidRPr="00872C88">
        <w:rPr>
          <w:rFonts w:cs="Arial"/>
          <w:noProof/>
          <w:szCs w:val="24"/>
        </w:rPr>
        <w:t xml:space="preserve">. Data-driven discovery of seasonally linked diseases from an Electronic Health Records system. </w:t>
      </w:r>
      <w:r w:rsidRPr="00872C88">
        <w:rPr>
          <w:rFonts w:cs="Arial"/>
          <w:i/>
          <w:iCs/>
          <w:noProof/>
          <w:szCs w:val="24"/>
        </w:rPr>
        <w:t>BMC bioinformatics</w:t>
      </w:r>
      <w:r w:rsidRPr="00872C88">
        <w:rPr>
          <w:rFonts w:cs="Arial"/>
          <w:noProof/>
          <w:szCs w:val="24"/>
        </w:rPr>
        <w:t xml:space="preserve"> 2014; </w:t>
      </w:r>
      <w:r w:rsidRPr="00872C88">
        <w:rPr>
          <w:rFonts w:cs="Arial"/>
          <w:b/>
          <w:bCs/>
          <w:noProof/>
          <w:szCs w:val="24"/>
        </w:rPr>
        <w:t>15 Suppl 6</w:t>
      </w:r>
      <w:r w:rsidRPr="00872C88">
        <w:rPr>
          <w:rFonts w:cs="Arial"/>
          <w:noProof/>
          <w:szCs w:val="24"/>
        </w:rPr>
        <w:t xml:space="preserve">: S3. </w:t>
      </w:r>
    </w:p>
    <w:p w14:paraId="6596CFD5"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13.</w:t>
      </w:r>
      <w:r w:rsidRPr="00872C88">
        <w:rPr>
          <w:rFonts w:cs="Arial"/>
          <w:noProof/>
          <w:szCs w:val="24"/>
        </w:rPr>
        <w:tab/>
      </w:r>
      <w:r w:rsidRPr="00872C88">
        <w:rPr>
          <w:rFonts w:cs="Arial"/>
          <w:b/>
          <w:bCs/>
          <w:noProof/>
          <w:szCs w:val="24"/>
        </w:rPr>
        <w:t xml:space="preserve">Blak BT, </w:t>
      </w:r>
      <w:r w:rsidRPr="00872C88">
        <w:rPr>
          <w:rFonts w:cs="Arial"/>
          <w:b/>
          <w:bCs/>
          <w:i/>
          <w:iCs/>
          <w:noProof/>
          <w:szCs w:val="24"/>
        </w:rPr>
        <w:t>et al.</w:t>
      </w:r>
      <w:r w:rsidRPr="00872C88">
        <w:rPr>
          <w:rFonts w:cs="Arial"/>
          <w:noProof/>
          <w:szCs w:val="24"/>
        </w:rPr>
        <w:t xml:space="preserve"> Generalisability of The Health Improvement Network (THIN) database: demographics, chronic disease prevalence and mortality rates. </w:t>
      </w:r>
      <w:r w:rsidRPr="00872C88">
        <w:rPr>
          <w:rFonts w:cs="Arial"/>
          <w:i/>
          <w:iCs/>
          <w:noProof/>
          <w:szCs w:val="24"/>
        </w:rPr>
        <w:t>Informatics in primary care</w:t>
      </w:r>
      <w:r w:rsidRPr="00872C88">
        <w:rPr>
          <w:rFonts w:cs="Arial"/>
          <w:noProof/>
          <w:szCs w:val="24"/>
        </w:rPr>
        <w:t xml:space="preserve"> 2011; </w:t>
      </w:r>
      <w:r w:rsidRPr="00872C88">
        <w:rPr>
          <w:rFonts w:cs="Arial"/>
          <w:b/>
          <w:bCs/>
          <w:noProof/>
          <w:szCs w:val="24"/>
        </w:rPr>
        <w:t>19</w:t>
      </w:r>
      <w:r w:rsidRPr="00872C88">
        <w:rPr>
          <w:rFonts w:cs="Arial"/>
          <w:noProof/>
          <w:szCs w:val="24"/>
        </w:rPr>
        <w:t xml:space="preserve">: 251–5. </w:t>
      </w:r>
    </w:p>
    <w:p w14:paraId="65B00430"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14.</w:t>
      </w:r>
      <w:r w:rsidRPr="00872C88">
        <w:rPr>
          <w:rFonts w:cs="Arial"/>
          <w:noProof/>
          <w:szCs w:val="24"/>
        </w:rPr>
        <w:tab/>
      </w:r>
      <w:r w:rsidRPr="00872C88">
        <w:rPr>
          <w:rFonts w:cs="Arial"/>
          <w:i/>
          <w:iCs/>
          <w:noProof/>
          <w:szCs w:val="24"/>
        </w:rPr>
        <w:t>IMS Health</w:t>
      </w:r>
      <w:r w:rsidRPr="00872C88">
        <w:rPr>
          <w:rFonts w:cs="Arial"/>
          <w:noProof/>
          <w:szCs w:val="24"/>
        </w:rPr>
        <w:t xml:space="preserve">. (http://www.epic-uk.org/our-data/our-data.shtml). Accessed 21 April 2017. </w:t>
      </w:r>
    </w:p>
    <w:p w14:paraId="2C9D8160"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15.</w:t>
      </w:r>
      <w:r w:rsidRPr="00872C88">
        <w:rPr>
          <w:rFonts w:cs="Arial"/>
          <w:noProof/>
          <w:szCs w:val="24"/>
        </w:rPr>
        <w:tab/>
      </w:r>
      <w:r w:rsidRPr="00872C88">
        <w:rPr>
          <w:rFonts w:cs="Arial"/>
          <w:b/>
          <w:bCs/>
          <w:noProof/>
          <w:szCs w:val="24"/>
        </w:rPr>
        <w:t>Bourke A, Dattani H, Robinson M</w:t>
      </w:r>
      <w:r w:rsidRPr="00872C88">
        <w:rPr>
          <w:rFonts w:cs="Arial"/>
          <w:noProof/>
          <w:szCs w:val="24"/>
        </w:rPr>
        <w:t xml:space="preserve">. Feasibility study and methodology to create a quality-evaluated database of primary care data. </w:t>
      </w:r>
      <w:r w:rsidRPr="00872C88">
        <w:rPr>
          <w:rFonts w:cs="Arial"/>
          <w:i/>
          <w:iCs/>
          <w:noProof/>
          <w:szCs w:val="24"/>
        </w:rPr>
        <w:t>Informatics in primary care</w:t>
      </w:r>
      <w:r w:rsidRPr="00872C88">
        <w:rPr>
          <w:rFonts w:cs="Arial"/>
          <w:noProof/>
          <w:szCs w:val="24"/>
        </w:rPr>
        <w:t xml:space="preserve"> 2004; </w:t>
      </w:r>
      <w:r w:rsidRPr="00872C88">
        <w:rPr>
          <w:rFonts w:cs="Arial"/>
          <w:b/>
          <w:bCs/>
          <w:noProof/>
          <w:szCs w:val="24"/>
        </w:rPr>
        <w:t>12</w:t>
      </w:r>
      <w:r w:rsidRPr="00872C88">
        <w:rPr>
          <w:rFonts w:cs="Arial"/>
          <w:noProof/>
          <w:szCs w:val="24"/>
        </w:rPr>
        <w:t xml:space="preserve">: 171–7. </w:t>
      </w:r>
    </w:p>
    <w:p w14:paraId="317914D8" w14:textId="77777777" w:rsidR="00872C88" w:rsidRPr="00872C88" w:rsidRDefault="00872C88" w:rsidP="00872C88">
      <w:pPr>
        <w:widowControl w:val="0"/>
        <w:autoSpaceDE w:val="0"/>
        <w:autoSpaceDN w:val="0"/>
        <w:adjustRightInd w:val="0"/>
        <w:ind w:left="640" w:hanging="640"/>
        <w:rPr>
          <w:rFonts w:cs="Arial"/>
          <w:noProof/>
          <w:szCs w:val="24"/>
        </w:rPr>
      </w:pPr>
      <w:r w:rsidRPr="00872C88">
        <w:rPr>
          <w:rFonts w:cs="Arial"/>
          <w:noProof/>
          <w:szCs w:val="24"/>
        </w:rPr>
        <w:t>16.</w:t>
      </w:r>
      <w:r w:rsidRPr="00872C88">
        <w:rPr>
          <w:rFonts w:cs="Arial"/>
          <w:noProof/>
          <w:szCs w:val="24"/>
        </w:rPr>
        <w:tab/>
      </w:r>
      <w:r w:rsidRPr="00872C88">
        <w:rPr>
          <w:rFonts w:cs="Arial"/>
          <w:b/>
          <w:bCs/>
          <w:noProof/>
          <w:szCs w:val="24"/>
        </w:rPr>
        <w:t xml:space="preserve">James GDR, </w:t>
      </w:r>
      <w:r w:rsidRPr="00872C88">
        <w:rPr>
          <w:rFonts w:cs="Arial"/>
          <w:b/>
          <w:bCs/>
          <w:i/>
          <w:iCs/>
          <w:noProof/>
          <w:szCs w:val="24"/>
        </w:rPr>
        <w:t>et al.</w:t>
      </w:r>
      <w:r w:rsidRPr="00872C88">
        <w:rPr>
          <w:rFonts w:cs="Arial"/>
          <w:noProof/>
          <w:szCs w:val="24"/>
        </w:rPr>
        <w:t xml:space="preserve"> Use of long-term antibiotic treatment in COPD patients in the UK: a retrospective cohort study. </w:t>
      </w:r>
      <w:r w:rsidRPr="00872C88">
        <w:rPr>
          <w:rFonts w:cs="Arial"/>
          <w:i/>
          <w:iCs/>
          <w:noProof/>
          <w:szCs w:val="24"/>
        </w:rPr>
        <w:t>Primary Care Respiratory Journal</w:t>
      </w:r>
      <w:r w:rsidRPr="00872C88">
        <w:rPr>
          <w:rFonts w:cs="Arial"/>
          <w:noProof/>
          <w:szCs w:val="24"/>
        </w:rPr>
        <w:t xml:space="preserve"> Nature Publishing Group, 2013; </w:t>
      </w:r>
      <w:r w:rsidRPr="00872C88">
        <w:rPr>
          <w:rFonts w:cs="Arial"/>
          <w:b/>
          <w:bCs/>
          <w:noProof/>
          <w:szCs w:val="24"/>
        </w:rPr>
        <w:t>22</w:t>
      </w:r>
      <w:r w:rsidRPr="00872C88">
        <w:rPr>
          <w:rFonts w:cs="Arial"/>
          <w:noProof/>
          <w:szCs w:val="24"/>
        </w:rPr>
        <w:t xml:space="preserve">: 271–277. </w:t>
      </w:r>
    </w:p>
    <w:p w14:paraId="0D217B90" w14:textId="77777777" w:rsidR="00872C88" w:rsidRPr="00872C88" w:rsidRDefault="00872C88" w:rsidP="00872C88">
      <w:pPr>
        <w:widowControl w:val="0"/>
        <w:autoSpaceDE w:val="0"/>
        <w:autoSpaceDN w:val="0"/>
        <w:adjustRightInd w:val="0"/>
        <w:ind w:left="640" w:hanging="640"/>
        <w:rPr>
          <w:rFonts w:cs="Arial"/>
          <w:noProof/>
        </w:rPr>
      </w:pPr>
      <w:r w:rsidRPr="00872C88">
        <w:rPr>
          <w:rFonts w:cs="Arial"/>
          <w:noProof/>
          <w:szCs w:val="24"/>
        </w:rPr>
        <w:t>17.</w:t>
      </w:r>
      <w:r w:rsidRPr="00872C88">
        <w:rPr>
          <w:rFonts w:cs="Arial"/>
          <w:noProof/>
          <w:szCs w:val="24"/>
        </w:rPr>
        <w:tab/>
      </w:r>
      <w:r w:rsidRPr="00872C88">
        <w:rPr>
          <w:rFonts w:cs="Arial"/>
          <w:b/>
          <w:bCs/>
          <w:noProof/>
          <w:szCs w:val="24"/>
        </w:rPr>
        <w:t xml:space="preserve">Petersen I, </w:t>
      </w:r>
      <w:r w:rsidRPr="00872C88">
        <w:rPr>
          <w:rFonts w:cs="Arial"/>
          <w:b/>
          <w:bCs/>
          <w:i/>
          <w:iCs/>
          <w:noProof/>
          <w:szCs w:val="24"/>
        </w:rPr>
        <w:t>et al.</w:t>
      </w:r>
      <w:r w:rsidRPr="00872C88">
        <w:rPr>
          <w:rFonts w:cs="Arial"/>
          <w:noProof/>
          <w:szCs w:val="24"/>
        </w:rPr>
        <w:t xml:space="preserve"> Oral antibiotic prescribing during pregnancy in primary care: UK population-based study. </w:t>
      </w:r>
      <w:r w:rsidRPr="00872C88">
        <w:rPr>
          <w:rFonts w:cs="Arial"/>
          <w:i/>
          <w:iCs/>
          <w:noProof/>
          <w:szCs w:val="24"/>
        </w:rPr>
        <w:t>Journal of Antimicrobial Chemotherapy</w:t>
      </w:r>
      <w:r w:rsidRPr="00872C88">
        <w:rPr>
          <w:rFonts w:cs="Arial"/>
          <w:noProof/>
          <w:szCs w:val="24"/>
        </w:rPr>
        <w:t xml:space="preserve"> Oxford University Press, 2010; </w:t>
      </w:r>
      <w:r w:rsidRPr="00872C88">
        <w:rPr>
          <w:rFonts w:cs="Arial"/>
          <w:b/>
          <w:bCs/>
          <w:noProof/>
          <w:szCs w:val="24"/>
        </w:rPr>
        <w:t>65</w:t>
      </w:r>
      <w:r w:rsidRPr="00872C88">
        <w:rPr>
          <w:rFonts w:cs="Arial"/>
          <w:noProof/>
          <w:szCs w:val="24"/>
        </w:rPr>
        <w:t xml:space="preserve">: 2238–2246. </w:t>
      </w:r>
    </w:p>
    <w:p w14:paraId="4D42B436" w14:textId="69D488A5" w:rsidR="000D1DE2" w:rsidRPr="0059677A" w:rsidRDefault="000D1DE2" w:rsidP="00872C88">
      <w:pPr>
        <w:widowControl w:val="0"/>
        <w:autoSpaceDE w:val="0"/>
        <w:autoSpaceDN w:val="0"/>
        <w:adjustRightInd w:val="0"/>
        <w:ind w:left="640" w:hanging="640"/>
        <w:rPr>
          <w:rFonts w:cs="Arial"/>
        </w:rPr>
      </w:pPr>
      <w:r w:rsidRPr="0059677A">
        <w:rPr>
          <w:rFonts w:cs="Arial"/>
        </w:rPr>
        <w:fldChar w:fldCharType="end"/>
      </w:r>
    </w:p>
    <w:sectPr w:rsidR="000D1DE2" w:rsidRPr="0059677A" w:rsidSect="000D1DE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C7014" w14:textId="77777777" w:rsidR="000766F8" w:rsidRDefault="000766F8" w:rsidP="000766F8">
      <w:pPr>
        <w:spacing w:after="0" w:line="240" w:lineRule="auto"/>
      </w:pPr>
      <w:r>
        <w:separator/>
      </w:r>
    </w:p>
  </w:endnote>
  <w:endnote w:type="continuationSeparator" w:id="0">
    <w:p w14:paraId="57B51146" w14:textId="77777777" w:rsidR="000766F8" w:rsidRDefault="000766F8" w:rsidP="000766F8">
      <w:pPr>
        <w:spacing w:after="0" w:line="240" w:lineRule="auto"/>
      </w:pPr>
      <w:r>
        <w:continuationSeparator/>
      </w:r>
    </w:p>
  </w:endnote>
  <w:endnote w:type="continuationNotice" w:id="1">
    <w:p w14:paraId="6EFC38F2" w14:textId="77777777" w:rsidR="00055E3D" w:rsidRDefault="00055E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600F" w14:textId="77777777" w:rsidR="00055E3D" w:rsidRDefault="00055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A099E" w14:textId="77777777" w:rsidR="000766F8" w:rsidRDefault="000766F8" w:rsidP="000766F8">
      <w:pPr>
        <w:spacing w:after="0" w:line="240" w:lineRule="auto"/>
      </w:pPr>
      <w:r>
        <w:separator/>
      </w:r>
    </w:p>
  </w:footnote>
  <w:footnote w:type="continuationSeparator" w:id="0">
    <w:p w14:paraId="00E7A835" w14:textId="77777777" w:rsidR="000766F8" w:rsidRDefault="000766F8" w:rsidP="000766F8">
      <w:pPr>
        <w:spacing w:after="0" w:line="240" w:lineRule="auto"/>
      </w:pPr>
      <w:r>
        <w:continuationSeparator/>
      </w:r>
    </w:p>
  </w:footnote>
  <w:footnote w:type="continuationNotice" w:id="1">
    <w:p w14:paraId="747984D1" w14:textId="77777777" w:rsidR="00055E3D" w:rsidRDefault="00055E3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0B4A" w14:textId="77777777" w:rsidR="00055E3D" w:rsidRDefault="00055E3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424"/>
    <w:rsid w:val="000065E0"/>
    <w:rsid w:val="00024A67"/>
    <w:rsid w:val="000259CC"/>
    <w:rsid w:val="00046435"/>
    <w:rsid w:val="000533B2"/>
    <w:rsid w:val="00055E3D"/>
    <w:rsid w:val="000625E9"/>
    <w:rsid w:val="000715A0"/>
    <w:rsid w:val="0007354C"/>
    <w:rsid w:val="00076426"/>
    <w:rsid w:val="000766F8"/>
    <w:rsid w:val="000A56B9"/>
    <w:rsid w:val="000B1404"/>
    <w:rsid w:val="000C1852"/>
    <w:rsid w:val="000D1DE2"/>
    <w:rsid w:val="000D1F0D"/>
    <w:rsid w:val="000D5C45"/>
    <w:rsid w:val="000E1246"/>
    <w:rsid w:val="000E1A5C"/>
    <w:rsid w:val="001039FC"/>
    <w:rsid w:val="00106BBD"/>
    <w:rsid w:val="00111483"/>
    <w:rsid w:val="0013122A"/>
    <w:rsid w:val="0014674C"/>
    <w:rsid w:val="001A415F"/>
    <w:rsid w:val="001C350A"/>
    <w:rsid w:val="001C694B"/>
    <w:rsid w:val="001D1575"/>
    <w:rsid w:val="001E5473"/>
    <w:rsid w:val="001F2A69"/>
    <w:rsid w:val="00224928"/>
    <w:rsid w:val="002272B8"/>
    <w:rsid w:val="00237E41"/>
    <w:rsid w:val="0024509B"/>
    <w:rsid w:val="002478B8"/>
    <w:rsid w:val="00265874"/>
    <w:rsid w:val="002660F1"/>
    <w:rsid w:val="00274DC5"/>
    <w:rsid w:val="0029118B"/>
    <w:rsid w:val="002A58FA"/>
    <w:rsid w:val="002B4DE1"/>
    <w:rsid w:val="002D3A83"/>
    <w:rsid w:val="002D6FC1"/>
    <w:rsid w:val="002F7D3E"/>
    <w:rsid w:val="003138F8"/>
    <w:rsid w:val="003146CA"/>
    <w:rsid w:val="003229EB"/>
    <w:rsid w:val="003920D1"/>
    <w:rsid w:val="003A1B7A"/>
    <w:rsid w:val="003B51A8"/>
    <w:rsid w:val="003B75ED"/>
    <w:rsid w:val="003C576A"/>
    <w:rsid w:val="003F5BAB"/>
    <w:rsid w:val="00430DB6"/>
    <w:rsid w:val="00433BAB"/>
    <w:rsid w:val="004661A6"/>
    <w:rsid w:val="004B0209"/>
    <w:rsid w:val="004B17DA"/>
    <w:rsid w:val="004B73C6"/>
    <w:rsid w:val="004C3505"/>
    <w:rsid w:val="004E65FE"/>
    <w:rsid w:val="004F0417"/>
    <w:rsid w:val="004F6161"/>
    <w:rsid w:val="00524605"/>
    <w:rsid w:val="00531BC6"/>
    <w:rsid w:val="00531BF0"/>
    <w:rsid w:val="00552563"/>
    <w:rsid w:val="0057484D"/>
    <w:rsid w:val="0059515A"/>
    <w:rsid w:val="0059677A"/>
    <w:rsid w:val="005A2424"/>
    <w:rsid w:val="005A4056"/>
    <w:rsid w:val="005D163F"/>
    <w:rsid w:val="005D7A29"/>
    <w:rsid w:val="005E163C"/>
    <w:rsid w:val="005E18EE"/>
    <w:rsid w:val="005E5E83"/>
    <w:rsid w:val="00602B73"/>
    <w:rsid w:val="00617CF1"/>
    <w:rsid w:val="0062186A"/>
    <w:rsid w:val="0064261F"/>
    <w:rsid w:val="00642DA0"/>
    <w:rsid w:val="00655337"/>
    <w:rsid w:val="006626ED"/>
    <w:rsid w:val="006826FB"/>
    <w:rsid w:val="006B701E"/>
    <w:rsid w:val="006B7FB9"/>
    <w:rsid w:val="006D51D3"/>
    <w:rsid w:val="0071032A"/>
    <w:rsid w:val="007110D5"/>
    <w:rsid w:val="00711534"/>
    <w:rsid w:val="00743E7D"/>
    <w:rsid w:val="00750124"/>
    <w:rsid w:val="007737E7"/>
    <w:rsid w:val="007761D7"/>
    <w:rsid w:val="0078296D"/>
    <w:rsid w:val="007B797A"/>
    <w:rsid w:val="00811A9B"/>
    <w:rsid w:val="008160DF"/>
    <w:rsid w:val="008548FA"/>
    <w:rsid w:val="00872C88"/>
    <w:rsid w:val="008A3ECF"/>
    <w:rsid w:val="008B15B2"/>
    <w:rsid w:val="008C38B5"/>
    <w:rsid w:val="0091448F"/>
    <w:rsid w:val="009606B3"/>
    <w:rsid w:val="009972F1"/>
    <w:rsid w:val="009A682A"/>
    <w:rsid w:val="009F30BD"/>
    <w:rsid w:val="00A1776B"/>
    <w:rsid w:val="00A27E6D"/>
    <w:rsid w:val="00A52E08"/>
    <w:rsid w:val="00A615D9"/>
    <w:rsid w:val="00A96A1E"/>
    <w:rsid w:val="00AB7102"/>
    <w:rsid w:val="00AD4C52"/>
    <w:rsid w:val="00AD4DFA"/>
    <w:rsid w:val="00B0224B"/>
    <w:rsid w:val="00B63557"/>
    <w:rsid w:val="00B7216A"/>
    <w:rsid w:val="00B80520"/>
    <w:rsid w:val="00B93E6C"/>
    <w:rsid w:val="00BA057D"/>
    <w:rsid w:val="00BA07FC"/>
    <w:rsid w:val="00BB1FB1"/>
    <w:rsid w:val="00BB31F1"/>
    <w:rsid w:val="00BC6C5F"/>
    <w:rsid w:val="00BD0BBF"/>
    <w:rsid w:val="00C04F5F"/>
    <w:rsid w:val="00C2306D"/>
    <w:rsid w:val="00C405B0"/>
    <w:rsid w:val="00C44A01"/>
    <w:rsid w:val="00C741D1"/>
    <w:rsid w:val="00C81F6C"/>
    <w:rsid w:val="00C831E2"/>
    <w:rsid w:val="00CA39E7"/>
    <w:rsid w:val="00CC3AB9"/>
    <w:rsid w:val="00CD5892"/>
    <w:rsid w:val="00CE2A34"/>
    <w:rsid w:val="00D05AB6"/>
    <w:rsid w:val="00D41A71"/>
    <w:rsid w:val="00D47ACD"/>
    <w:rsid w:val="00D57834"/>
    <w:rsid w:val="00D7564F"/>
    <w:rsid w:val="00DA7AF4"/>
    <w:rsid w:val="00DC7FB8"/>
    <w:rsid w:val="00DD5C0F"/>
    <w:rsid w:val="00DE64F7"/>
    <w:rsid w:val="00DF3830"/>
    <w:rsid w:val="00E16BED"/>
    <w:rsid w:val="00E615F9"/>
    <w:rsid w:val="00E70BCD"/>
    <w:rsid w:val="00E97474"/>
    <w:rsid w:val="00E97ECD"/>
    <w:rsid w:val="00EA5EDC"/>
    <w:rsid w:val="00EC1168"/>
    <w:rsid w:val="00ED76E1"/>
    <w:rsid w:val="00EE22C7"/>
    <w:rsid w:val="00F12D90"/>
    <w:rsid w:val="00F40B8E"/>
    <w:rsid w:val="00F40D79"/>
    <w:rsid w:val="00F568EA"/>
    <w:rsid w:val="00F72507"/>
    <w:rsid w:val="00FF19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E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1D3"/>
    <w:pPr>
      <w:spacing w:line="360" w:lineRule="auto"/>
      <w:jc w:val="both"/>
    </w:pPr>
    <w:rPr>
      <w:rFonts w:ascii="Arial" w:hAnsi="Arial"/>
      <w:sz w:val="24"/>
    </w:rPr>
  </w:style>
  <w:style w:type="paragraph" w:styleId="Heading1">
    <w:name w:val="heading 1"/>
    <w:basedOn w:val="Normal"/>
    <w:next w:val="Normal"/>
    <w:link w:val="Heading1Char"/>
    <w:uiPriority w:val="9"/>
    <w:qFormat/>
    <w:rsid w:val="006D5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1D3"/>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D51D3"/>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1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51D3"/>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6D51D3"/>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6D51D3"/>
    <w:pPr>
      <w:spacing w:line="240" w:lineRule="auto"/>
    </w:pPr>
    <w:rPr>
      <w:b/>
      <w:bCs/>
      <w:color w:val="4F81BD" w:themeColor="accent1"/>
      <w:sz w:val="18"/>
      <w:szCs w:val="18"/>
    </w:rPr>
  </w:style>
  <w:style w:type="character" w:styleId="Emphasis">
    <w:name w:val="Emphasis"/>
    <w:basedOn w:val="DefaultParagraphFont"/>
    <w:uiPriority w:val="20"/>
    <w:qFormat/>
    <w:rsid w:val="006D51D3"/>
    <w:rPr>
      <w:i/>
      <w:iCs/>
    </w:rPr>
  </w:style>
  <w:style w:type="paragraph" w:styleId="ListParagraph">
    <w:name w:val="List Paragraph"/>
    <w:basedOn w:val="Normal"/>
    <w:uiPriority w:val="34"/>
    <w:qFormat/>
    <w:rsid w:val="006D51D3"/>
    <w:pPr>
      <w:ind w:left="720"/>
      <w:contextualSpacing/>
    </w:pPr>
  </w:style>
  <w:style w:type="paragraph" w:styleId="BalloonText">
    <w:name w:val="Balloon Text"/>
    <w:basedOn w:val="Normal"/>
    <w:link w:val="BalloonTextChar"/>
    <w:uiPriority w:val="99"/>
    <w:semiHidden/>
    <w:unhideWhenUsed/>
    <w:rsid w:val="005A2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424"/>
    <w:rPr>
      <w:rFonts w:ascii="Tahoma" w:hAnsi="Tahoma" w:cs="Tahoma"/>
      <w:sz w:val="16"/>
      <w:szCs w:val="16"/>
    </w:rPr>
  </w:style>
  <w:style w:type="table" w:styleId="TableGrid">
    <w:name w:val="Table Grid"/>
    <w:basedOn w:val="TableNormal"/>
    <w:uiPriority w:val="59"/>
    <w:rsid w:val="003B5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link w:val="CommentTextChar"/>
    <w:uiPriority w:val="99"/>
    <w:rsid w:val="009606B3"/>
    <w:pPr>
      <w:pBdr>
        <w:top w:val="nil"/>
        <w:left w:val="nil"/>
        <w:bottom w:val="nil"/>
        <w:right w:val="nil"/>
        <w:between w:val="nil"/>
        <w:bar w:val="nil"/>
      </w:pBdr>
      <w:spacing w:line="240" w:lineRule="auto"/>
      <w:ind w:firstLine="284"/>
      <w:jc w:val="both"/>
    </w:pPr>
    <w:rPr>
      <w:rFonts w:ascii="Times New Roman" w:eastAsia="Arial Unicode MS" w:hAnsi="Times New Roman" w:cs="Arial Unicode MS"/>
      <w:color w:val="000000"/>
      <w:sz w:val="20"/>
      <w:szCs w:val="20"/>
      <w:u w:color="000000"/>
      <w:bdr w:val="nil"/>
      <w:lang w:val="en-US" w:eastAsia="en-GB"/>
    </w:rPr>
  </w:style>
  <w:style w:type="character" w:customStyle="1" w:styleId="CommentTextChar">
    <w:name w:val="Comment Text Char"/>
    <w:basedOn w:val="DefaultParagraphFont"/>
    <w:link w:val="CommentText"/>
    <w:uiPriority w:val="99"/>
    <w:rsid w:val="009606B3"/>
    <w:rPr>
      <w:rFonts w:ascii="Times New Roman" w:eastAsia="Arial Unicode MS" w:hAnsi="Times New Roman" w:cs="Arial Unicode MS"/>
      <w:color w:val="000000"/>
      <w:sz w:val="20"/>
      <w:szCs w:val="20"/>
      <w:u w:color="000000"/>
      <w:bdr w:val="nil"/>
      <w:lang w:val="en-US" w:eastAsia="en-GB"/>
    </w:rPr>
  </w:style>
  <w:style w:type="paragraph" w:customStyle="1" w:styleId="Body">
    <w:name w:val="Body"/>
    <w:rsid w:val="009606B3"/>
    <w:pPr>
      <w:pBdr>
        <w:top w:val="nil"/>
        <w:left w:val="nil"/>
        <w:bottom w:val="nil"/>
        <w:right w:val="nil"/>
        <w:between w:val="nil"/>
        <w:bar w:val="nil"/>
      </w:pBdr>
      <w:ind w:firstLine="284"/>
      <w:jc w:val="both"/>
    </w:pPr>
    <w:rPr>
      <w:rFonts w:ascii="Times New Roman" w:eastAsia="Arial Unicode MS" w:hAnsi="Times New Roman" w:cs="Arial Unicode MS"/>
      <w:color w:val="000000"/>
      <w:sz w:val="20"/>
      <w:szCs w:val="20"/>
      <w:u w:color="000000"/>
      <w:bdr w:val="nil"/>
      <w:lang w:val="en-US" w:eastAsia="en-GB"/>
    </w:rPr>
  </w:style>
  <w:style w:type="character" w:styleId="CommentReference">
    <w:name w:val="annotation reference"/>
    <w:basedOn w:val="DefaultParagraphFont"/>
    <w:uiPriority w:val="99"/>
    <w:semiHidden/>
    <w:unhideWhenUsed/>
    <w:rsid w:val="009606B3"/>
    <w:rPr>
      <w:sz w:val="16"/>
      <w:szCs w:val="16"/>
    </w:rPr>
  </w:style>
  <w:style w:type="character" w:styleId="Hyperlink">
    <w:name w:val="Hyperlink"/>
    <w:basedOn w:val="DefaultParagraphFont"/>
    <w:uiPriority w:val="99"/>
    <w:unhideWhenUsed/>
    <w:rsid w:val="00433BA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93E6C"/>
    <w:pPr>
      <w:pBdr>
        <w:top w:val="none" w:sz="0" w:space="0" w:color="auto"/>
        <w:left w:val="none" w:sz="0" w:space="0" w:color="auto"/>
        <w:bottom w:val="none" w:sz="0" w:space="0" w:color="auto"/>
        <w:right w:val="none" w:sz="0" w:space="0" w:color="auto"/>
        <w:between w:val="none" w:sz="0" w:space="0" w:color="auto"/>
        <w:bar w:val="none" w:sz="0" w:color="auto"/>
      </w:pBdr>
      <w:ind w:firstLine="0"/>
    </w:pPr>
    <w:rPr>
      <w:rFonts w:ascii="Arial" w:eastAsiaTheme="minorHAnsi" w:hAnsi="Arial" w:cstheme="minorBidi"/>
      <w:b/>
      <w:bCs/>
      <w:color w:val="auto"/>
      <w:bdr w:val="none" w:sz="0" w:space="0" w:color="auto"/>
      <w:lang w:val="en-GB" w:eastAsia="en-US"/>
    </w:rPr>
  </w:style>
  <w:style w:type="character" w:customStyle="1" w:styleId="CommentSubjectChar">
    <w:name w:val="Comment Subject Char"/>
    <w:basedOn w:val="CommentTextChar"/>
    <w:link w:val="CommentSubject"/>
    <w:uiPriority w:val="99"/>
    <w:semiHidden/>
    <w:rsid w:val="00B93E6C"/>
    <w:rPr>
      <w:rFonts w:ascii="Arial" w:eastAsia="Arial Unicode MS" w:hAnsi="Arial" w:cs="Arial Unicode MS"/>
      <w:b/>
      <w:bCs/>
      <w:color w:val="000000"/>
      <w:sz w:val="20"/>
      <w:szCs w:val="20"/>
      <w:u w:color="000000"/>
      <w:bdr w:val="nil"/>
      <w:lang w:val="en-US" w:eastAsia="en-GB"/>
    </w:rPr>
  </w:style>
  <w:style w:type="character" w:styleId="LineNumber">
    <w:name w:val="line number"/>
    <w:basedOn w:val="DefaultParagraphFont"/>
    <w:uiPriority w:val="99"/>
    <w:semiHidden/>
    <w:unhideWhenUsed/>
    <w:rsid w:val="00B0224B"/>
  </w:style>
  <w:style w:type="character" w:customStyle="1" w:styleId="apple-converted-space">
    <w:name w:val="apple-converted-space"/>
    <w:basedOn w:val="DefaultParagraphFont"/>
    <w:rsid w:val="006826FB"/>
  </w:style>
  <w:style w:type="character" w:styleId="FollowedHyperlink">
    <w:name w:val="FollowedHyperlink"/>
    <w:basedOn w:val="DefaultParagraphFont"/>
    <w:uiPriority w:val="99"/>
    <w:semiHidden/>
    <w:unhideWhenUsed/>
    <w:rsid w:val="00076426"/>
    <w:rPr>
      <w:color w:val="800080" w:themeColor="followedHyperlink"/>
      <w:u w:val="single"/>
    </w:rPr>
  </w:style>
  <w:style w:type="paragraph" w:styleId="Header">
    <w:name w:val="header"/>
    <w:basedOn w:val="Normal"/>
    <w:link w:val="HeaderChar"/>
    <w:uiPriority w:val="99"/>
    <w:unhideWhenUsed/>
    <w:rsid w:val="00076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6F8"/>
    <w:rPr>
      <w:rFonts w:ascii="Arial" w:hAnsi="Arial"/>
      <w:sz w:val="24"/>
    </w:rPr>
  </w:style>
  <w:style w:type="paragraph" w:styleId="Footer">
    <w:name w:val="footer"/>
    <w:basedOn w:val="Normal"/>
    <w:link w:val="FooterChar"/>
    <w:uiPriority w:val="99"/>
    <w:unhideWhenUsed/>
    <w:rsid w:val="00076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6F8"/>
    <w:rPr>
      <w:rFonts w:ascii="Arial" w:hAnsi="Arial"/>
      <w:sz w:val="24"/>
    </w:rPr>
  </w:style>
  <w:style w:type="paragraph" w:customStyle="1" w:styleId="Default">
    <w:name w:val="Default"/>
    <w:rsid w:val="00055E3D"/>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character" w:styleId="Strong">
    <w:name w:val="Strong"/>
    <w:basedOn w:val="DefaultParagraphFont"/>
    <w:uiPriority w:val="22"/>
    <w:qFormat/>
    <w:rsid w:val="00055E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1D3"/>
    <w:pPr>
      <w:spacing w:line="360" w:lineRule="auto"/>
      <w:jc w:val="both"/>
    </w:pPr>
    <w:rPr>
      <w:rFonts w:ascii="Arial" w:hAnsi="Arial"/>
      <w:sz w:val="24"/>
    </w:rPr>
  </w:style>
  <w:style w:type="paragraph" w:styleId="Heading1">
    <w:name w:val="heading 1"/>
    <w:basedOn w:val="Normal"/>
    <w:next w:val="Normal"/>
    <w:link w:val="Heading1Char"/>
    <w:uiPriority w:val="9"/>
    <w:qFormat/>
    <w:rsid w:val="006D5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51D3"/>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6D51D3"/>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1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51D3"/>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6D51D3"/>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6D51D3"/>
    <w:pPr>
      <w:spacing w:line="240" w:lineRule="auto"/>
    </w:pPr>
    <w:rPr>
      <w:b/>
      <w:bCs/>
      <w:color w:val="4F81BD" w:themeColor="accent1"/>
      <w:sz w:val="18"/>
      <w:szCs w:val="18"/>
    </w:rPr>
  </w:style>
  <w:style w:type="character" w:styleId="Emphasis">
    <w:name w:val="Emphasis"/>
    <w:basedOn w:val="DefaultParagraphFont"/>
    <w:uiPriority w:val="20"/>
    <w:qFormat/>
    <w:rsid w:val="006D51D3"/>
    <w:rPr>
      <w:i/>
      <w:iCs/>
    </w:rPr>
  </w:style>
  <w:style w:type="paragraph" w:styleId="ListParagraph">
    <w:name w:val="List Paragraph"/>
    <w:basedOn w:val="Normal"/>
    <w:uiPriority w:val="34"/>
    <w:qFormat/>
    <w:rsid w:val="006D51D3"/>
    <w:pPr>
      <w:ind w:left="720"/>
      <w:contextualSpacing/>
    </w:pPr>
  </w:style>
  <w:style w:type="paragraph" w:styleId="BalloonText">
    <w:name w:val="Balloon Text"/>
    <w:basedOn w:val="Normal"/>
    <w:link w:val="BalloonTextChar"/>
    <w:uiPriority w:val="99"/>
    <w:semiHidden/>
    <w:unhideWhenUsed/>
    <w:rsid w:val="005A24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424"/>
    <w:rPr>
      <w:rFonts w:ascii="Tahoma" w:hAnsi="Tahoma" w:cs="Tahoma"/>
      <w:sz w:val="16"/>
      <w:szCs w:val="16"/>
    </w:rPr>
  </w:style>
  <w:style w:type="table" w:styleId="TableGrid">
    <w:name w:val="Table Grid"/>
    <w:basedOn w:val="TableNormal"/>
    <w:uiPriority w:val="59"/>
    <w:rsid w:val="003B5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link w:val="CommentTextChar"/>
    <w:uiPriority w:val="99"/>
    <w:rsid w:val="009606B3"/>
    <w:pPr>
      <w:pBdr>
        <w:top w:val="nil"/>
        <w:left w:val="nil"/>
        <w:bottom w:val="nil"/>
        <w:right w:val="nil"/>
        <w:between w:val="nil"/>
        <w:bar w:val="nil"/>
      </w:pBdr>
      <w:spacing w:line="240" w:lineRule="auto"/>
      <w:ind w:firstLine="284"/>
      <w:jc w:val="both"/>
    </w:pPr>
    <w:rPr>
      <w:rFonts w:ascii="Times New Roman" w:eastAsia="Arial Unicode MS" w:hAnsi="Times New Roman" w:cs="Arial Unicode MS"/>
      <w:color w:val="000000"/>
      <w:sz w:val="20"/>
      <w:szCs w:val="20"/>
      <w:u w:color="000000"/>
      <w:bdr w:val="nil"/>
      <w:lang w:val="en-US" w:eastAsia="en-GB"/>
    </w:rPr>
  </w:style>
  <w:style w:type="character" w:customStyle="1" w:styleId="CommentTextChar">
    <w:name w:val="Comment Text Char"/>
    <w:basedOn w:val="DefaultParagraphFont"/>
    <w:link w:val="CommentText"/>
    <w:uiPriority w:val="99"/>
    <w:rsid w:val="009606B3"/>
    <w:rPr>
      <w:rFonts w:ascii="Times New Roman" w:eastAsia="Arial Unicode MS" w:hAnsi="Times New Roman" w:cs="Arial Unicode MS"/>
      <w:color w:val="000000"/>
      <w:sz w:val="20"/>
      <w:szCs w:val="20"/>
      <w:u w:color="000000"/>
      <w:bdr w:val="nil"/>
      <w:lang w:val="en-US" w:eastAsia="en-GB"/>
    </w:rPr>
  </w:style>
  <w:style w:type="paragraph" w:customStyle="1" w:styleId="Body">
    <w:name w:val="Body"/>
    <w:rsid w:val="009606B3"/>
    <w:pPr>
      <w:pBdr>
        <w:top w:val="nil"/>
        <w:left w:val="nil"/>
        <w:bottom w:val="nil"/>
        <w:right w:val="nil"/>
        <w:between w:val="nil"/>
        <w:bar w:val="nil"/>
      </w:pBdr>
      <w:ind w:firstLine="284"/>
      <w:jc w:val="both"/>
    </w:pPr>
    <w:rPr>
      <w:rFonts w:ascii="Times New Roman" w:eastAsia="Arial Unicode MS" w:hAnsi="Times New Roman" w:cs="Arial Unicode MS"/>
      <w:color w:val="000000"/>
      <w:sz w:val="20"/>
      <w:szCs w:val="20"/>
      <w:u w:color="000000"/>
      <w:bdr w:val="nil"/>
      <w:lang w:val="en-US" w:eastAsia="en-GB"/>
    </w:rPr>
  </w:style>
  <w:style w:type="character" w:styleId="CommentReference">
    <w:name w:val="annotation reference"/>
    <w:basedOn w:val="DefaultParagraphFont"/>
    <w:uiPriority w:val="99"/>
    <w:semiHidden/>
    <w:unhideWhenUsed/>
    <w:rsid w:val="009606B3"/>
    <w:rPr>
      <w:sz w:val="16"/>
      <w:szCs w:val="16"/>
    </w:rPr>
  </w:style>
  <w:style w:type="character" w:styleId="Hyperlink">
    <w:name w:val="Hyperlink"/>
    <w:basedOn w:val="DefaultParagraphFont"/>
    <w:uiPriority w:val="99"/>
    <w:unhideWhenUsed/>
    <w:rsid w:val="00433BA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93E6C"/>
    <w:pPr>
      <w:pBdr>
        <w:top w:val="none" w:sz="0" w:space="0" w:color="auto"/>
        <w:left w:val="none" w:sz="0" w:space="0" w:color="auto"/>
        <w:bottom w:val="none" w:sz="0" w:space="0" w:color="auto"/>
        <w:right w:val="none" w:sz="0" w:space="0" w:color="auto"/>
        <w:between w:val="none" w:sz="0" w:space="0" w:color="auto"/>
        <w:bar w:val="none" w:sz="0" w:color="auto"/>
      </w:pBdr>
      <w:ind w:firstLine="0"/>
    </w:pPr>
    <w:rPr>
      <w:rFonts w:ascii="Arial" w:eastAsiaTheme="minorHAnsi" w:hAnsi="Arial" w:cstheme="minorBidi"/>
      <w:b/>
      <w:bCs/>
      <w:color w:val="auto"/>
      <w:bdr w:val="none" w:sz="0" w:space="0" w:color="auto"/>
      <w:lang w:val="en-GB" w:eastAsia="en-US"/>
    </w:rPr>
  </w:style>
  <w:style w:type="character" w:customStyle="1" w:styleId="CommentSubjectChar">
    <w:name w:val="Comment Subject Char"/>
    <w:basedOn w:val="CommentTextChar"/>
    <w:link w:val="CommentSubject"/>
    <w:uiPriority w:val="99"/>
    <w:semiHidden/>
    <w:rsid w:val="00B93E6C"/>
    <w:rPr>
      <w:rFonts w:ascii="Arial" w:eastAsia="Arial Unicode MS" w:hAnsi="Arial" w:cs="Arial Unicode MS"/>
      <w:b/>
      <w:bCs/>
      <w:color w:val="000000"/>
      <w:sz w:val="20"/>
      <w:szCs w:val="20"/>
      <w:u w:color="000000"/>
      <w:bdr w:val="nil"/>
      <w:lang w:val="en-US" w:eastAsia="en-GB"/>
    </w:rPr>
  </w:style>
  <w:style w:type="character" w:styleId="LineNumber">
    <w:name w:val="line number"/>
    <w:basedOn w:val="DefaultParagraphFont"/>
    <w:uiPriority w:val="99"/>
    <w:semiHidden/>
    <w:unhideWhenUsed/>
    <w:rsid w:val="00B0224B"/>
  </w:style>
  <w:style w:type="character" w:customStyle="1" w:styleId="apple-converted-space">
    <w:name w:val="apple-converted-space"/>
    <w:basedOn w:val="DefaultParagraphFont"/>
    <w:rsid w:val="006826FB"/>
  </w:style>
  <w:style w:type="character" w:styleId="FollowedHyperlink">
    <w:name w:val="FollowedHyperlink"/>
    <w:basedOn w:val="DefaultParagraphFont"/>
    <w:uiPriority w:val="99"/>
    <w:semiHidden/>
    <w:unhideWhenUsed/>
    <w:rsid w:val="00076426"/>
    <w:rPr>
      <w:color w:val="800080" w:themeColor="followedHyperlink"/>
      <w:u w:val="single"/>
    </w:rPr>
  </w:style>
  <w:style w:type="paragraph" w:styleId="Header">
    <w:name w:val="header"/>
    <w:basedOn w:val="Normal"/>
    <w:link w:val="HeaderChar"/>
    <w:uiPriority w:val="99"/>
    <w:unhideWhenUsed/>
    <w:rsid w:val="00076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66F8"/>
    <w:rPr>
      <w:rFonts w:ascii="Arial" w:hAnsi="Arial"/>
      <w:sz w:val="24"/>
    </w:rPr>
  </w:style>
  <w:style w:type="paragraph" w:styleId="Footer">
    <w:name w:val="footer"/>
    <w:basedOn w:val="Normal"/>
    <w:link w:val="FooterChar"/>
    <w:uiPriority w:val="99"/>
    <w:unhideWhenUsed/>
    <w:rsid w:val="00076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66F8"/>
    <w:rPr>
      <w:rFonts w:ascii="Arial" w:hAnsi="Arial"/>
      <w:sz w:val="24"/>
    </w:rPr>
  </w:style>
  <w:style w:type="paragraph" w:customStyle="1" w:styleId="Default">
    <w:name w:val="Default"/>
    <w:rsid w:val="00055E3D"/>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character" w:styleId="Strong">
    <w:name w:val="Strong"/>
    <w:basedOn w:val="DefaultParagraphFont"/>
    <w:uiPriority w:val="22"/>
    <w:qFormat/>
    <w:rsid w:val="00055E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24345">
      <w:bodyDiv w:val="1"/>
      <w:marLeft w:val="0"/>
      <w:marRight w:val="0"/>
      <w:marTop w:val="0"/>
      <w:marBottom w:val="0"/>
      <w:divBdr>
        <w:top w:val="none" w:sz="0" w:space="0" w:color="auto"/>
        <w:left w:val="none" w:sz="0" w:space="0" w:color="auto"/>
        <w:bottom w:val="none" w:sz="0" w:space="0" w:color="auto"/>
        <w:right w:val="none" w:sz="0" w:space="0" w:color="auto"/>
      </w:divBdr>
    </w:div>
    <w:div w:id="182285217">
      <w:bodyDiv w:val="1"/>
      <w:marLeft w:val="0"/>
      <w:marRight w:val="0"/>
      <w:marTop w:val="0"/>
      <w:marBottom w:val="0"/>
      <w:divBdr>
        <w:top w:val="none" w:sz="0" w:space="0" w:color="auto"/>
        <w:left w:val="none" w:sz="0" w:space="0" w:color="auto"/>
        <w:bottom w:val="none" w:sz="0" w:space="0" w:color="auto"/>
        <w:right w:val="none" w:sz="0" w:space="0" w:color="auto"/>
      </w:divBdr>
    </w:div>
    <w:div w:id="404687479">
      <w:bodyDiv w:val="1"/>
      <w:marLeft w:val="0"/>
      <w:marRight w:val="0"/>
      <w:marTop w:val="0"/>
      <w:marBottom w:val="0"/>
      <w:divBdr>
        <w:top w:val="none" w:sz="0" w:space="0" w:color="auto"/>
        <w:left w:val="none" w:sz="0" w:space="0" w:color="auto"/>
        <w:bottom w:val="none" w:sz="0" w:space="0" w:color="auto"/>
        <w:right w:val="none" w:sz="0" w:space="0" w:color="auto"/>
      </w:divBdr>
    </w:div>
    <w:div w:id="459618677">
      <w:bodyDiv w:val="1"/>
      <w:marLeft w:val="0"/>
      <w:marRight w:val="0"/>
      <w:marTop w:val="0"/>
      <w:marBottom w:val="0"/>
      <w:divBdr>
        <w:top w:val="none" w:sz="0" w:space="0" w:color="auto"/>
        <w:left w:val="none" w:sz="0" w:space="0" w:color="auto"/>
        <w:bottom w:val="none" w:sz="0" w:space="0" w:color="auto"/>
        <w:right w:val="none" w:sz="0" w:space="0" w:color="auto"/>
      </w:divBdr>
    </w:div>
    <w:div w:id="466629865">
      <w:bodyDiv w:val="1"/>
      <w:marLeft w:val="0"/>
      <w:marRight w:val="0"/>
      <w:marTop w:val="0"/>
      <w:marBottom w:val="0"/>
      <w:divBdr>
        <w:top w:val="none" w:sz="0" w:space="0" w:color="auto"/>
        <w:left w:val="none" w:sz="0" w:space="0" w:color="auto"/>
        <w:bottom w:val="none" w:sz="0" w:space="0" w:color="auto"/>
        <w:right w:val="none" w:sz="0" w:space="0" w:color="auto"/>
      </w:divBdr>
    </w:div>
    <w:div w:id="1036660141">
      <w:bodyDiv w:val="1"/>
      <w:marLeft w:val="0"/>
      <w:marRight w:val="0"/>
      <w:marTop w:val="0"/>
      <w:marBottom w:val="0"/>
      <w:divBdr>
        <w:top w:val="none" w:sz="0" w:space="0" w:color="auto"/>
        <w:left w:val="none" w:sz="0" w:space="0" w:color="auto"/>
        <w:bottom w:val="none" w:sz="0" w:space="0" w:color="auto"/>
        <w:right w:val="none" w:sz="0" w:space="0" w:color="auto"/>
      </w:divBdr>
    </w:div>
    <w:div w:id="1104039967">
      <w:bodyDiv w:val="1"/>
      <w:marLeft w:val="0"/>
      <w:marRight w:val="0"/>
      <w:marTop w:val="0"/>
      <w:marBottom w:val="0"/>
      <w:divBdr>
        <w:top w:val="none" w:sz="0" w:space="0" w:color="auto"/>
        <w:left w:val="none" w:sz="0" w:space="0" w:color="auto"/>
        <w:bottom w:val="none" w:sz="0" w:space="0" w:color="auto"/>
        <w:right w:val="none" w:sz="0" w:space="0" w:color="auto"/>
      </w:divBdr>
    </w:div>
    <w:div w:id="1401251131">
      <w:bodyDiv w:val="1"/>
      <w:marLeft w:val="0"/>
      <w:marRight w:val="0"/>
      <w:marTop w:val="0"/>
      <w:marBottom w:val="0"/>
      <w:divBdr>
        <w:top w:val="none" w:sz="0" w:space="0" w:color="auto"/>
        <w:left w:val="none" w:sz="0" w:space="0" w:color="auto"/>
        <w:bottom w:val="none" w:sz="0" w:space="0" w:color="auto"/>
        <w:right w:val="none" w:sz="0" w:space="0" w:color="auto"/>
      </w:divBdr>
    </w:div>
    <w:div w:id="1417283063">
      <w:bodyDiv w:val="1"/>
      <w:marLeft w:val="0"/>
      <w:marRight w:val="0"/>
      <w:marTop w:val="0"/>
      <w:marBottom w:val="0"/>
      <w:divBdr>
        <w:top w:val="none" w:sz="0" w:space="0" w:color="auto"/>
        <w:left w:val="none" w:sz="0" w:space="0" w:color="auto"/>
        <w:bottom w:val="none" w:sz="0" w:space="0" w:color="auto"/>
        <w:right w:val="none" w:sz="0" w:space="0" w:color="auto"/>
      </w:divBdr>
    </w:div>
    <w:div w:id="1616785072">
      <w:bodyDiv w:val="1"/>
      <w:marLeft w:val="0"/>
      <w:marRight w:val="0"/>
      <w:marTop w:val="0"/>
      <w:marBottom w:val="0"/>
      <w:divBdr>
        <w:top w:val="none" w:sz="0" w:space="0" w:color="auto"/>
        <w:left w:val="none" w:sz="0" w:space="0" w:color="auto"/>
        <w:bottom w:val="none" w:sz="0" w:space="0" w:color="auto"/>
        <w:right w:val="none" w:sz="0" w:space="0" w:color="auto"/>
      </w:divBdr>
    </w:div>
    <w:div w:id="1851989170">
      <w:bodyDiv w:val="1"/>
      <w:marLeft w:val="0"/>
      <w:marRight w:val="0"/>
      <w:marTop w:val="0"/>
      <w:marBottom w:val="0"/>
      <w:divBdr>
        <w:top w:val="none" w:sz="0" w:space="0" w:color="auto"/>
        <w:left w:val="none" w:sz="0" w:space="0" w:color="auto"/>
        <w:bottom w:val="none" w:sz="0" w:space="0" w:color="auto"/>
        <w:right w:val="none" w:sz="0" w:space="0" w:color="auto"/>
      </w:divBdr>
    </w:div>
    <w:div w:id="1874683741">
      <w:bodyDiv w:val="1"/>
      <w:marLeft w:val="0"/>
      <w:marRight w:val="0"/>
      <w:marTop w:val="0"/>
      <w:marBottom w:val="0"/>
      <w:divBdr>
        <w:top w:val="none" w:sz="0" w:space="0" w:color="auto"/>
        <w:left w:val="none" w:sz="0" w:space="0" w:color="auto"/>
        <w:bottom w:val="none" w:sz="0" w:space="0" w:color="auto"/>
        <w:right w:val="none" w:sz="0" w:space="0" w:color="auto"/>
      </w:divBdr>
    </w:div>
    <w:div w:id="204343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DCF28-D9D3-4977-BF45-7A2FC1E87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9454</Words>
  <Characters>53888</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Rosello</dc:creator>
  <cp:lastModifiedBy>Alicia Rosello</cp:lastModifiedBy>
  <cp:revision>3</cp:revision>
  <dcterms:created xsi:type="dcterms:W3CDTF">2017-08-02T16:00:00Z</dcterms:created>
  <dcterms:modified xsi:type="dcterms:W3CDTF">2017-08-02T16:06:00Z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16th edition (author-date)</vt:lpwstr>
  </property>
  <property fmtid="{D5CDD505-2E9C-101B-9397-08002B2CF9AE}" pid="9" name="Mendeley Recent Style Id 3_1">
    <vt:lpwstr>http://www.zotero.org/styles/clinical-infectious-diseases</vt:lpwstr>
  </property>
  <property fmtid="{D5CDD505-2E9C-101B-9397-08002B2CF9AE}" pid="10" name="Mendeley Recent Style Name 3_1">
    <vt:lpwstr>Clinical Infectious Diseases</vt:lpwstr>
  </property>
  <property fmtid="{D5CDD505-2E9C-101B-9397-08002B2CF9AE}" pid="11" name="Mendeley Recent Style Id 4_1">
    <vt:lpwstr>http://www.zotero.org/styles/epidemiology-and-infection</vt:lpwstr>
  </property>
  <property fmtid="{D5CDD505-2E9C-101B-9397-08002B2CF9AE}" pid="12" name="Mendeley Recent Style Name 4_1">
    <vt:lpwstr>Epidemiology &amp; Infection</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http://www.zotero.org/styles/journal-of-antimicrobial-chemotherapy</vt:lpwstr>
  </property>
  <property fmtid="{D5CDD505-2E9C-101B-9397-08002B2CF9AE}" pid="16" name="Mendeley Recent Style Name 6_1">
    <vt:lpwstr>Journal of Antimicrobial Chemotherapy</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http://www.zotero.org/styles/the-lancet</vt:lpwstr>
  </property>
  <property fmtid="{D5CDD505-2E9C-101B-9397-08002B2CF9AE}" pid="20" name="Mendeley Recent Style Name 8_1">
    <vt:lpwstr>The Lancet</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http://www.zotero.org/styles/epidemiology-and-infection</vt:lpwstr>
  </property>
  <property fmtid="{D5CDD505-2E9C-101B-9397-08002B2CF9AE}" pid="24" name="Mendeley Unique User Id_1">
    <vt:lpwstr>8ee9d74c-d622-367e-9d57-707518cece9b</vt:lpwstr>
  </property>
</Properties>
</file>