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F6462" w14:textId="77777777" w:rsidR="00C92419" w:rsidRPr="00C9230B" w:rsidRDefault="00FF3079" w:rsidP="00B95011">
      <w:pPr>
        <w:jc w:val="center"/>
        <w:rPr>
          <w:b/>
          <w:sz w:val="28"/>
          <w:szCs w:val="28"/>
        </w:rPr>
      </w:pPr>
      <w:bookmarkStart w:id="0" w:name="_GoBack"/>
      <w:bookmarkEnd w:id="0"/>
      <w:r w:rsidRPr="00C9230B">
        <w:rPr>
          <w:b/>
          <w:sz w:val="28"/>
          <w:szCs w:val="28"/>
        </w:rPr>
        <w:t xml:space="preserve">Appendix:  </w:t>
      </w:r>
      <w:r w:rsidR="00592A6B" w:rsidRPr="00C9230B">
        <w:rPr>
          <w:b/>
          <w:sz w:val="28"/>
          <w:szCs w:val="28"/>
        </w:rPr>
        <w:t>Statistical Methods for Estimating the Probability of Causation</w:t>
      </w:r>
    </w:p>
    <w:p w14:paraId="3F0AE250" w14:textId="77777777" w:rsidR="0041418A" w:rsidRDefault="0041418A">
      <w:r>
        <w:t xml:space="preserve">We assume a simple model where the time to an episode of pharyngitis while positive for Group A strep (negative for Group A strep) is given by an exponential distribution with parameter </w:t>
      </w:r>
      <w:r>
        <w:rPr>
          <w:rFonts w:ascii="Mathematica1" w:hAnsi="Mathematica1"/>
        </w:rPr>
        <w:t></w:t>
      </w:r>
      <w:r>
        <w:rPr>
          <w:rFonts w:ascii="Mathematica1" w:hAnsi="Mathematica1"/>
          <w:vertAlign w:val="subscript"/>
        </w:rPr>
        <w:t></w:t>
      </w:r>
      <w:r>
        <w:rPr>
          <w:rFonts w:ascii="Mathematica1" w:hAnsi="Mathematica1"/>
        </w:rPr>
        <w:t></w:t>
      </w:r>
      <w:r>
        <w:t xml:space="preserve"> (</w:t>
      </w:r>
      <w:r>
        <w:rPr>
          <w:rFonts w:ascii="Mathematica1" w:hAnsi="Mathematica1"/>
        </w:rPr>
        <w:t></w:t>
      </w:r>
      <w:r>
        <w:rPr>
          <w:rFonts w:ascii="Mathematica1" w:hAnsi="Mathematica1"/>
          <w:vertAlign w:val="subscript"/>
        </w:rPr>
        <w:t></w:t>
      </w:r>
      <w:r w:rsidR="00325BE9">
        <w:t>).   We assume this</w:t>
      </w:r>
      <w:r w:rsidR="00FF3079">
        <w:t xml:space="preserve"> model applies within strata defined by the study  year   (March 2002 to March 2003 versus April 2003 to March 2004) and High or Low colonization rates (students whose mean colonization rate exceeds the overall median colonization rate versus students whose mean colonization rate is less than the overall median colonization rate).   </w:t>
      </w:r>
      <w:r>
        <w:t xml:space="preserve">We further assume that the proportion of follow-up time that the </w:t>
      </w:r>
      <w:r w:rsidR="00FF3079">
        <w:t xml:space="preserve">students within a stratum </w:t>
      </w:r>
      <w:r>
        <w:t xml:space="preserve">are positive for Group A strep is given by p.    The data </w:t>
      </w:r>
      <w:r w:rsidR="00FF3079">
        <w:t xml:space="preserve">within a stratum </w:t>
      </w:r>
      <w:r>
        <w:t>can be classified in the following table where the N c</w:t>
      </w:r>
      <w:r w:rsidR="00B95011">
        <w:t xml:space="preserve">arriage episodes are categorized </w:t>
      </w:r>
      <w:r>
        <w:t xml:space="preserve">as being positive </w:t>
      </w:r>
      <w:r w:rsidR="00FF3079">
        <w:t>o</w:t>
      </w:r>
      <w:r>
        <w:t xml:space="preserve">r negative for GAS, as </w:t>
      </w:r>
      <w:r w:rsidR="00325BE9">
        <w:t xml:space="preserve">are the Y </w:t>
      </w:r>
      <w:r>
        <w:t>episodes of pharyngitis.</w:t>
      </w:r>
    </w:p>
    <w:p w14:paraId="1F98F852" w14:textId="77777777" w:rsidR="00313E5C" w:rsidRPr="00A41F26" w:rsidRDefault="00313E5C" w:rsidP="00313E5C">
      <w:pPr>
        <w:rPr>
          <w:b/>
        </w:rPr>
      </w:pPr>
      <w:r w:rsidRPr="00A41F26">
        <w:rPr>
          <w:b/>
        </w:rPr>
        <w:t xml:space="preserve">Table </w:t>
      </w:r>
      <w:r w:rsidR="00A41F26" w:rsidRPr="00A41F26">
        <w:rPr>
          <w:b/>
        </w:rPr>
        <w:t>A</w:t>
      </w:r>
      <w:r w:rsidRPr="00A41F26">
        <w:rPr>
          <w:b/>
        </w:rPr>
        <w:t xml:space="preserve">1:  </w:t>
      </w:r>
      <w:r w:rsidR="00325BE9" w:rsidRPr="00A41F26">
        <w:rPr>
          <w:b/>
        </w:rPr>
        <w:t xml:space="preserve">Results </w:t>
      </w:r>
      <w:r w:rsidRPr="00A41F26">
        <w:rPr>
          <w:b/>
        </w:rPr>
        <w:t>of GAS testing from the monthly carriage data and all reported pharyngitis cases for a gen</w:t>
      </w:r>
      <w:r w:rsidR="00325BE9" w:rsidRPr="00A41F26">
        <w:rPr>
          <w:b/>
        </w:rPr>
        <w:t xml:space="preserve">eric stratum defined by year of </w:t>
      </w:r>
      <w:r w:rsidRPr="00A41F26">
        <w:rPr>
          <w:b/>
        </w:rPr>
        <w:t>follow</w:t>
      </w:r>
      <w:r w:rsidR="00325BE9" w:rsidRPr="00A41F26">
        <w:rPr>
          <w:b/>
        </w:rPr>
        <w:t>-</w:t>
      </w:r>
      <w:r w:rsidRPr="00A41F26">
        <w:rPr>
          <w:b/>
        </w:rPr>
        <w:t xml:space="preserve">up and overall colonization rate.   </w:t>
      </w:r>
    </w:p>
    <w:tbl>
      <w:tblPr>
        <w:tblStyle w:val="TableGrid"/>
        <w:tblW w:w="0" w:type="auto"/>
        <w:tblLook w:val="04A0" w:firstRow="1" w:lastRow="0" w:firstColumn="1" w:lastColumn="0" w:noHBand="0" w:noVBand="1"/>
      </w:tblPr>
      <w:tblGrid>
        <w:gridCol w:w="2467"/>
        <w:gridCol w:w="2396"/>
        <w:gridCol w:w="2361"/>
        <w:gridCol w:w="2126"/>
      </w:tblGrid>
      <w:tr w:rsidR="00313E5C" w14:paraId="20AF68F3" w14:textId="77777777" w:rsidTr="00313E5C">
        <w:tc>
          <w:tcPr>
            <w:tcW w:w="2519" w:type="dxa"/>
          </w:tcPr>
          <w:p w14:paraId="4A7B32C9" w14:textId="77777777" w:rsidR="00313E5C" w:rsidRDefault="00313E5C" w:rsidP="00943D22"/>
        </w:tc>
        <w:tc>
          <w:tcPr>
            <w:tcW w:w="2452" w:type="dxa"/>
          </w:tcPr>
          <w:p w14:paraId="7358306B" w14:textId="77777777" w:rsidR="00313E5C" w:rsidRDefault="00313E5C" w:rsidP="00943D22">
            <w:r>
              <w:t>Group A Strep</w:t>
            </w:r>
          </w:p>
          <w:p w14:paraId="19466C30" w14:textId="77777777" w:rsidR="00313E5C" w:rsidRDefault="00313E5C" w:rsidP="00943D22">
            <w:r>
              <w:t xml:space="preserve">Negative </w:t>
            </w:r>
          </w:p>
        </w:tc>
        <w:tc>
          <w:tcPr>
            <w:tcW w:w="2420" w:type="dxa"/>
          </w:tcPr>
          <w:p w14:paraId="3DB135E5" w14:textId="77777777" w:rsidR="00313E5C" w:rsidRDefault="00313E5C" w:rsidP="00943D22">
            <w:r>
              <w:t>Group A Strep</w:t>
            </w:r>
          </w:p>
          <w:p w14:paraId="526D5E78" w14:textId="77777777" w:rsidR="00313E5C" w:rsidRDefault="00313E5C" w:rsidP="00943D22">
            <w:r>
              <w:t xml:space="preserve">Positive  </w:t>
            </w:r>
          </w:p>
        </w:tc>
        <w:tc>
          <w:tcPr>
            <w:tcW w:w="2185" w:type="dxa"/>
          </w:tcPr>
          <w:p w14:paraId="48CDF7FC" w14:textId="77777777" w:rsidR="00313E5C" w:rsidRDefault="00313E5C" w:rsidP="00943D22">
            <w:r>
              <w:t>Total</w:t>
            </w:r>
          </w:p>
        </w:tc>
      </w:tr>
      <w:tr w:rsidR="00313E5C" w14:paraId="1B2B3EFC" w14:textId="77777777" w:rsidTr="00313E5C">
        <w:tc>
          <w:tcPr>
            <w:tcW w:w="2519" w:type="dxa"/>
          </w:tcPr>
          <w:p w14:paraId="0459E30F" w14:textId="77777777" w:rsidR="00313E5C" w:rsidRDefault="00313E5C" w:rsidP="00943D22">
            <w:r>
              <w:t>Carriage Visits</w:t>
            </w:r>
          </w:p>
        </w:tc>
        <w:tc>
          <w:tcPr>
            <w:tcW w:w="2452" w:type="dxa"/>
          </w:tcPr>
          <w:p w14:paraId="07687372" w14:textId="77777777" w:rsidR="00313E5C" w:rsidRDefault="00313E5C" w:rsidP="00943D22">
            <w:r>
              <w:t>N</w:t>
            </w:r>
            <w:r w:rsidRPr="0041418A">
              <w:rPr>
                <w:vertAlign w:val="subscript"/>
              </w:rPr>
              <w:t>-</w:t>
            </w:r>
          </w:p>
        </w:tc>
        <w:tc>
          <w:tcPr>
            <w:tcW w:w="2420" w:type="dxa"/>
          </w:tcPr>
          <w:p w14:paraId="4D218A58" w14:textId="77777777" w:rsidR="00313E5C" w:rsidRDefault="00313E5C" w:rsidP="00313E5C">
            <w:r>
              <w:t>N</w:t>
            </w:r>
            <w:r w:rsidRPr="0041418A">
              <w:rPr>
                <w:vertAlign w:val="subscript"/>
              </w:rPr>
              <w:t>+</w:t>
            </w:r>
            <w:r>
              <w:rPr>
                <w:vertAlign w:val="subscript"/>
              </w:rPr>
              <w:t xml:space="preserve"> </w:t>
            </w:r>
          </w:p>
        </w:tc>
        <w:tc>
          <w:tcPr>
            <w:tcW w:w="2185" w:type="dxa"/>
          </w:tcPr>
          <w:p w14:paraId="1AC53913" w14:textId="77777777" w:rsidR="00313E5C" w:rsidRDefault="00313E5C" w:rsidP="00943D22">
            <w:r>
              <w:t>N</w:t>
            </w:r>
          </w:p>
        </w:tc>
      </w:tr>
      <w:tr w:rsidR="00313E5C" w14:paraId="4C905ACD" w14:textId="77777777" w:rsidTr="00313E5C">
        <w:tc>
          <w:tcPr>
            <w:tcW w:w="2519" w:type="dxa"/>
          </w:tcPr>
          <w:p w14:paraId="651BFC0C" w14:textId="77777777" w:rsidR="00313E5C" w:rsidRDefault="00313E5C" w:rsidP="00943D22">
            <w:r>
              <w:t xml:space="preserve">Pharyngitis Visits </w:t>
            </w:r>
          </w:p>
        </w:tc>
        <w:tc>
          <w:tcPr>
            <w:tcW w:w="2452" w:type="dxa"/>
          </w:tcPr>
          <w:p w14:paraId="7DA14288" w14:textId="77777777" w:rsidR="00313E5C" w:rsidRDefault="00313E5C" w:rsidP="00943D22">
            <w:r>
              <w:t>Y</w:t>
            </w:r>
            <w:r w:rsidRPr="0041418A">
              <w:rPr>
                <w:vertAlign w:val="subscript"/>
              </w:rPr>
              <w:t>-</w:t>
            </w:r>
          </w:p>
        </w:tc>
        <w:tc>
          <w:tcPr>
            <w:tcW w:w="2420" w:type="dxa"/>
          </w:tcPr>
          <w:p w14:paraId="2E824402" w14:textId="77777777" w:rsidR="00313E5C" w:rsidRDefault="00313E5C" w:rsidP="00943D22">
            <w:r>
              <w:t>Y</w:t>
            </w:r>
            <w:r w:rsidRPr="0041418A">
              <w:rPr>
                <w:vertAlign w:val="subscript"/>
              </w:rPr>
              <w:t>+</w:t>
            </w:r>
          </w:p>
        </w:tc>
        <w:tc>
          <w:tcPr>
            <w:tcW w:w="2185" w:type="dxa"/>
          </w:tcPr>
          <w:p w14:paraId="5677CA15" w14:textId="77777777" w:rsidR="00313E5C" w:rsidRDefault="00313E5C" w:rsidP="00943D22">
            <w:r>
              <w:t>Y</w:t>
            </w:r>
          </w:p>
        </w:tc>
      </w:tr>
    </w:tbl>
    <w:p w14:paraId="58F835C6" w14:textId="77777777" w:rsidR="00A41F26" w:rsidRDefault="00A41F26" w:rsidP="005A3222"/>
    <w:p w14:paraId="4533DBD3" w14:textId="77777777" w:rsidR="005A3222" w:rsidRDefault="007562B9" w:rsidP="005A3222">
      <w:r>
        <w:t xml:space="preserve">Using properties of the exponential distribution, </w:t>
      </w:r>
      <w:r w:rsidR="00EE5D04">
        <w:t>on</w:t>
      </w:r>
      <w:r>
        <w:t>e can show that Y</w:t>
      </w:r>
      <w:r w:rsidRPr="0041418A">
        <w:rPr>
          <w:vertAlign w:val="subscript"/>
        </w:rPr>
        <w:t>-</w:t>
      </w:r>
      <w:r>
        <w:rPr>
          <w:vertAlign w:val="subscript"/>
        </w:rPr>
        <w:t xml:space="preserve"> </w:t>
      </w:r>
      <w:r>
        <w:t xml:space="preserve"> </w:t>
      </w:r>
      <w:r w:rsidR="00325BE9">
        <w:t xml:space="preserve"> </w:t>
      </w:r>
      <w:r>
        <w:t xml:space="preserve">follows a Poisson distribution with parameter   </w:t>
      </w:r>
      <w:r>
        <w:rPr>
          <w:rFonts w:ascii="Mathematica1" w:hAnsi="Mathematica1"/>
        </w:rPr>
        <w:t></w:t>
      </w:r>
      <w:r>
        <w:rPr>
          <w:rFonts w:ascii="Mathematica1" w:hAnsi="Mathematica1"/>
          <w:vertAlign w:val="subscript"/>
        </w:rPr>
        <w:t></w:t>
      </w:r>
      <w:r>
        <w:rPr>
          <w:rFonts w:ascii="Mathematica1" w:hAnsi="Mathematica1"/>
        </w:rPr>
        <w:t></w:t>
      </w:r>
      <w:r>
        <w:t>T (1- p).   Similarly, Y</w:t>
      </w:r>
      <w:r w:rsidRPr="0041418A">
        <w:rPr>
          <w:vertAlign w:val="subscript"/>
        </w:rPr>
        <w:t>+</w:t>
      </w:r>
      <w:r w:rsidRPr="007562B9">
        <w:t xml:space="preserve"> </w:t>
      </w:r>
      <w:r>
        <w:t xml:space="preserve">follows a Poisson distribution with parameter   </w:t>
      </w:r>
      <w:r>
        <w:rPr>
          <w:rFonts w:ascii="Mathematica1" w:hAnsi="Mathematica1"/>
        </w:rPr>
        <w:t></w:t>
      </w:r>
      <w:r>
        <w:rPr>
          <w:rFonts w:ascii="Mathematica1" w:hAnsi="Mathematica1"/>
          <w:vertAlign w:val="subscript"/>
        </w:rPr>
        <w:t></w:t>
      </w:r>
      <w:r>
        <w:rPr>
          <w:rFonts w:ascii="Mathematica1" w:hAnsi="Mathematica1"/>
        </w:rPr>
        <w:t></w:t>
      </w:r>
      <w:r w:rsidRPr="0041418A">
        <w:t xml:space="preserve"> </w:t>
      </w:r>
      <w:r>
        <w:t>T p.     Finally, N</w:t>
      </w:r>
      <w:r w:rsidRPr="0041418A">
        <w:rPr>
          <w:vertAlign w:val="subscript"/>
        </w:rPr>
        <w:t>-</w:t>
      </w:r>
      <w:r w:rsidR="00EE5D04">
        <w:rPr>
          <w:vertAlign w:val="subscript"/>
        </w:rPr>
        <w:t xml:space="preserve"> </w:t>
      </w:r>
      <w:r w:rsidR="00325BE9">
        <w:rPr>
          <w:vertAlign w:val="subscript"/>
        </w:rPr>
        <w:t xml:space="preserve"> </w:t>
      </w:r>
      <w:r w:rsidR="00EE5D04">
        <w:t xml:space="preserve"> follows a binomial distribution with parameters N and p.    It follows that the log</w:t>
      </w:r>
      <w:r w:rsidR="005A3222">
        <w:t>-</w:t>
      </w:r>
      <w:r w:rsidR="0041418A">
        <w:t xml:space="preserve">likelihood </w:t>
      </w:r>
      <w:r w:rsidR="00796374">
        <w:t xml:space="preserve">(up to a constant) </w:t>
      </w:r>
      <w:r w:rsidR="00EE5D04">
        <w:t xml:space="preserve">is given by </w:t>
      </w:r>
    </w:p>
    <w:p w14:paraId="718500E5" w14:textId="77777777" w:rsidR="005A3222" w:rsidRPr="0041418A" w:rsidRDefault="005A3222" w:rsidP="005A3222">
      <w:pPr>
        <w:rPr>
          <w:rFonts w:ascii="Mathematica1" w:hAnsi="Mathematica1"/>
        </w:rPr>
      </w:pPr>
      <w:r>
        <w:tab/>
        <w:t>Y</w:t>
      </w:r>
      <w:r w:rsidRPr="0041418A">
        <w:rPr>
          <w:vertAlign w:val="subscript"/>
        </w:rPr>
        <w:t>+</w:t>
      </w:r>
      <w:r>
        <w:rPr>
          <w:vertAlign w:val="subscript"/>
        </w:rPr>
        <w:t xml:space="preserve"> </w:t>
      </w:r>
      <w:r>
        <w:t>log</w:t>
      </w:r>
      <w:r>
        <w:rPr>
          <w:rFonts w:ascii="Mathematica1" w:hAnsi="Mathematica1"/>
        </w:rPr>
        <w:t></w:t>
      </w:r>
      <w:r>
        <w:rPr>
          <w:rFonts w:ascii="Mathematica1" w:hAnsi="Mathematica1"/>
        </w:rPr>
        <w:t></w:t>
      </w:r>
      <w:r>
        <w:rPr>
          <w:rFonts w:ascii="Mathematica1" w:hAnsi="Mathematica1"/>
          <w:vertAlign w:val="subscript"/>
        </w:rPr>
        <w:t></w:t>
      </w:r>
      <w:r>
        <w:rPr>
          <w:rFonts w:ascii="Mathematica1" w:hAnsi="Mathematica1"/>
        </w:rPr>
        <w:t></w:t>
      </w:r>
      <w:r w:rsidRPr="0041418A">
        <w:t xml:space="preserve"> </w:t>
      </w:r>
      <w:r>
        <w:t xml:space="preserve">T </w:t>
      </w:r>
      <w:proofErr w:type="gramStart"/>
      <w:r>
        <w:t>p)  -</w:t>
      </w:r>
      <w:proofErr w:type="gramEnd"/>
      <w:r>
        <w:t xml:space="preserve"> </w:t>
      </w:r>
      <w:r>
        <w:rPr>
          <w:rFonts w:ascii="Mathematica1" w:hAnsi="Mathematica1"/>
        </w:rPr>
        <w:t></w:t>
      </w:r>
      <w:r>
        <w:rPr>
          <w:rFonts w:ascii="Mathematica1" w:hAnsi="Mathematica1"/>
          <w:vertAlign w:val="subscript"/>
        </w:rPr>
        <w:t></w:t>
      </w:r>
      <w:r>
        <w:rPr>
          <w:rFonts w:ascii="Mathematica1" w:hAnsi="Mathematica1"/>
        </w:rPr>
        <w:t></w:t>
      </w:r>
      <w:r>
        <w:t>T p +   Y</w:t>
      </w:r>
      <w:r>
        <w:rPr>
          <w:vertAlign w:val="subscript"/>
        </w:rPr>
        <w:t xml:space="preserve">- </w:t>
      </w:r>
      <w:r>
        <w:t>log{</w:t>
      </w:r>
      <w:r>
        <w:rPr>
          <w:rFonts w:ascii="Mathematica1" w:hAnsi="Mathematica1"/>
        </w:rPr>
        <w:t></w:t>
      </w:r>
      <w:r>
        <w:rPr>
          <w:rFonts w:ascii="Mathematica1" w:hAnsi="Mathematica1"/>
          <w:vertAlign w:val="subscript"/>
        </w:rPr>
        <w:t></w:t>
      </w:r>
      <w:r>
        <w:rPr>
          <w:rFonts w:ascii="Mathematica1" w:hAnsi="Mathematica1"/>
        </w:rPr>
        <w:t></w:t>
      </w:r>
      <w:r w:rsidRPr="0041418A">
        <w:t xml:space="preserve"> </w:t>
      </w:r>
      <w:r>
        <w:t xml:space="preserve">T (1- p)}  - </w:t>
      </w:r>
      <w:r>
        <w:rPr>
          <w:rFonts w:ascii="Mathematica1" w:hAnsi="Mathematica1"/>
        </w:rPr>
        <w:t></w:t>
      </w:r>
      <w:r>
        <w:rPr>
          <w:rFonts w:ascii="Mathematica1" w:hAnsi="Mathematica1"/>
          <w:vertAlign w:val="subscript"/>
        </w:rPr>
        <w:t></w:t>
      </w:r>
      <w:r>
        <w:rPr>
          <w:rFonts w:ascii="Mathematica1" w:hAnsi="Mathematica1"/>
        </w:rPr>
        <w:t></w:t>
      </w:r>
      <w:r w:rsidRPr="0041418A">
        <w:t xml:space="preserve"> </w:t>
      </w:r>
      <w:r>
        <w:t>T(1-p)</w:t>
      </w:r>
      <w:r w:rsidR="007562B9">
        <w:t xml:space="preserve"> </w:t>
      </w:r>
      <w:r>
        <w:t>+</w:t>
      </w:r>
      <w:r w:rsidR="007562B9">
        <w:t xml:space="preserve"> </w:t>
      </w:r>
      <w:r>
        <w:t xml:space="preserve"> </w:t>
      </w:r>
      <w:r w:rsidR="00783831">
        <w:t>N</w:t>
      </w:r>
      <w:r w:rsidR="00783831" w:rsidRPr="0041418A">
        <w:rPr>
          <w:vertAlign w:val="subscript"/>
        </w:rPr>
        <w:t>+</w:t>
      </w:r>
      <w:r w:rsidR="00783831" w:rsidRPr="00783831">
        <w:t xml:space="preserve"> </w:t>
      </w:r>
      <w:r w:rsidR="00783831">
        <w:t>log(p) + N</w:t>
      </w:r>
      <w:r w:rsidR="00783831">
        <w:rPr>
          <w:vertAlign w:val="subscript"/>
        </w:rPr>
        <w:t>-</w:t>
      </w:r>
      <w:r w:rsidR="00783831" w:rsidRPr="00783831">
        <w:t xml:space="preserve"> </w:t>
      </w:r>
      <w:r w:rsidR="00783831">
        <w:t>log(1-p)</w:t>
      </w:r>
      <w:r w:rsidR="00325BE9">
        <w:t>,</w:t>
      </w:r>
    </w:p>
    <w:p w14:paraId="168049D4" w14:textId="77777777" w:rsidR="005A3222" w:rsidRDefault="005A3222" w:rsidP="005A3222">
      <w:proofErr w:type="gramStart"/>
      <w:r>
        <w:t xml:space="preserve">where </w:t>
      </w:r>
      <w:r w:rsidR="00325BE9">
        <w:t xml:space="preserve"> </w:t>
      </w:r>
      <w:r>
        <w:t>T</w:t>
      </w:r>
      <w:proofErr w:type="gramEnd"/>
      <w:r>
        <w:t xml:space="preserve"> is the total years of follow-up for everyone.  Maximization of this function produces the</w:t>
      </w:r>
      <w:r w:rsidR="00325BE9">
        <w:t xml:space="preserve"> maximum likelihood estimates:</w:t>
      </w:r>
    </w:p>
    <w:p w14:paraId="529D0E93" w14:textId="77777777" w:rsidR="00592A6B" w:rsidRDefault="005A3222" w:rsidP="00592A6B">
      <w:pPr>
        <w:rPr>
          <w:rFonts w:ascii="Mathematica1" w:hAnsi="Mathematica1"/>
          <w:vertAlign w:val="subscript"/>
        </w:rPr>
      </w:pPr>
      <w:r>
        <w:rPr>
          <w:rFonts w:ascii="Mathematica1" w:hAnsi="Mathematica1"/>
        </w:rPr>
        <w:tab/>
      </w:r>
      <w:r w:rsidR="00592A6B">
        <w:rPr>
          <w:rFonts w:ascii="Mathematica1" w:hAnsi="Mathematica1"/>
        </w:rPr>
        <w:t></w:t>
      </w:r>
      <w:r w:rsidR="00592A6B">
        <w:rPr>
          <w:rFonts w:ascii="Mathematica1" w:hAnsi="Mathematica1"/>
          <w:vertAlign w:val="subscript"/>
        </w:rPr>
        <w:t></w:t>
      </w:r>
      <w:proofErr w:type="gramStart"/>
      <w:r w:rsidR="00592A6B">
        <w:rPr>
          <w:rFonts w:ascii="Mathematica1" w:hAnsi="Mathematica1"/>
        </w:rPr>
        <w:t></w:t>
      </w:r>
      <w:r w:rsidR="00592A6B" w:rsidRPr="0041418A">
        <w:t xml:space="preserve"> </w:t>
      </w:r>
      <w:r w:rsidR="00592A6B">
        <w:t xml:space="preserve"> =</w:t>
      </w:r>
      <w:proofErr w:type="gramEnd"/>
      <w:r w:rsidR="00592A6B">
        <w:t xml:space="preserve"> </w:t>
      </w:r>
      <w:r w:rsidR="00592A6B">
        <w:tab/>
        <w:t>Y</w:t>
      </w:r>
      <w:r w:rsidR="00592A6B">
        <w:rPr>
          <w:vertAlign w:val="subscript"/>
        </w:rPr>
        <w:t>+</w:t>
      </w:r>
      <w:r w:rsidR="00592A6B">
        <w:t xml:space="preserve"> /(T p)</w:t>
      </w:r>
    </w:p>
    <w:p w14:paraId="6E44FEF5" w14:textId="77777777" w:rsidR="005A3222" w:rsidRDefault="00592A6B" w:rsidP="005A3222">
      <w:pPr>
        <w:rPr>
          <w:rFonts w:ascii="Mathematica1" w:hAnsi="Mathematica1"/>
          <w:vertAlign w:val="subscript"/>
        </w:rPr>
      </w:pPr>
      <w:r>
        <w:rPr>
          <w:rFonts w:ascii="Mathematica1" w:hAnsi="Mathematica1"/>
        </w:rPr>
        <w:tab/>
      </w:r>
      <w:r>
        <w:rPr>
          <w:rFonts w:ascii="Mathematica1" w:hAnsi="Mathematica1"/>
        </w:rPr>
        <w:t></w:t>
      </w:r>
      <w:r>
        <w:rPr>
          <w:rFonts w:ascii="Mathematica1" w:hAnsi="Mathematica1"/>
          <w:vertAlign w:val="subscript"/>
        </w:rPr>
        <w:t></w:t>
      </w:r>
      <w:r>
        <w:rPr>
          <w:rFonts w:ascii="Mathematica1" w:hAnsi="Mathematica1"/>
          <w:vertAlign w:val="subscript"/>
        </w:rPr>
        <w:t></w:t>
      </w:r>
      <w:r>
        <w:rPr>
          <w:rFonts w:ascii="Mathematica1" w:hAnsi="Mathematica1"/>
          <w:vertAlign w:val="subscript"/>
        </w:rPr>
        <w:t></w:t>
      </w:r>
      <w:r>
        <w:rPr>
          <w:rFonts w:ascii="Mathematica1" w:hAnsi="Mathematica1"/>
          <w:vertAlign w:val="subscript"/>
        </w:rPr>
        <w:t></w:t>
      </w:r>
      <w:r>
        <w:rPr>
          <w:rFonts w:ascii="Mathematica1" w:hAnsi="Mathematica1"/>
          <w:vertAlign w:val="subscript"/>
        </w:rPr>
        <w:t></w:t>
      </w:r>
      <w:r>
        <w:t>=</w:t>
      </w:r>
      <w:r>
        <w:tab/>
      </w:r>
      <w:r w:rsidR="005A3222">
        <w:t>Y</w:t>
      </w:r>
      <w:r w:rsidR="005A3222" w:rsidRPr="0041418A">
        <w:rPr>
          <w:vertAlign w:val="subscript"/>
        </w:rPr>
        <w:t>-</w:t>
      </w:r>
      <w:r w:rsidR="005A3222">
        <w:t xml:space="preserve"> /{T (1-p)}</w:t>
      </w:r>
    </w:p>
    <w:p w14:paraId="67F5E9DF" w14:textId="77777777" w:rsidR="005A3222" w:rsidRDefault="005A3222" w:rsidP="005A3222">
      <w:r>
        <w:tab/>
      </w:r>
      <w:r w:rsidR="00783831">
        <w:t xml:space="preserve">p   </w:t>
      </w:r>
      <w:r w:rsidR="00592A6B">
        <w:t xml:space="preserve"> </w:t>
      </w:r>
      <w:r>
        <w:t xml:space="preserve"> =   </w:t>
      </w:r>
      <w:r>
        <w:tab/>
      </w:r>
      <w:r w:rsidR="00783831">
        <w:t>N</w:t>
      </w:r>
      <w:r w:rsidR="00783831" w:rsidRPr="0041418A">
        <w:rPr>
          <w:vertAlign w:val="subscript"/>
        </w:rPr>
        <w:t>+</w:t>
      </w:r>
      <w:r w:rsidR="00783831">
        <w:rPr>
          <w:vertAlign w:val="subscript"/>
        </w:rPr>
        <w:t xml:space="preserve"> </w:t>
      </w:r>
      <w:r>
        <w:t>/N</w:t>
      </w:r>
      <w:r w:rsidR="00325BE9">
        <w:t>,</w:t>
      </w:r>
    </w:p>
    <w:p w14:paraId="601A0D5D" w14:textId="77777777" w:rsidR="00325BE9" w:rsidRDefault="00325BE9">
      <w:r>
        <w:t>where with a slight abuse of notation, we make no distinction between a parameter and its estimate.</w:t>
      </w:r>
    </w:p>
    <w:p w14:paraId="627FA491" w14:textId="77777777" w:rsidR="0041418A" w:rsidRDefault="003748C3">
      <w:r>
        <w:t xml:space="preserve">A </w:t>
      </w:r>
      <w:r w:rsidR="00737ABA">
        <w:t xml:space="preserve">quantity of interest is </w:t>
      </w:r>
      <w:r w:rsidR="00592A6B">
        <w:t xml:space="preserve">the </w:t>
      </w:r>
      <w:bookmarkStart w:id="1" w:name="OLE_LINK1"/>
      <w:bookmarkStart w:id="2" w:name="OLE_LINK2"/>
      <w:r w:rsidR="00592A6B">
        <w:t xml:space="preserve">probability of causation </w:t>
      </w:r>
      <w:bookmarkEnd w:id="1"/>
      <w:bookmarkEnd w:id="2"/>
      <w:r w:rsidR="00592A6B">
        <w:t xml:space="preserve">or </w:t>
      </w:r>
      <w:r w:rsidR="00737ABA">
        <w:t xml:space="preserve">PC see </w:t>
      </w:r>
      <w:r w:rsidR="00A41F26">
        <w:t>[1,2]</w:t>
      </w:r>
      <w:r w:rsidR="00737ABA">
        <w:t xml:space="preserve">. </w:t>
      </w:r>
      <w:r w:rsidR="00592A6B">
        <w:t xml:space="preserve">For a patient presenting with GAS and pharyngitis, PC </w:t>
      </w:r>
      <w:r w:rsidR="00737ABA">
        <w:t xml:space="preserve">can be interpreted as the probability that GAS caused </w:t>
      </w:r>
      <w:r w:rsidR="00592A6B">
        <w:t>pharyngitis.  Equivalently, one can view PC as the probability that GAS sensitive antibiotics would cure the pharyngitis in such a patient.    One can show that under</w:t>
      </w:r>
      <w:r>
        <w:t xml:space="preserve"> the exponential assumption</w:t>
      </w:r>
      <w:r w:rsidR="00FF3079">
        <w:t xml:space="preserve"> and </w:t>
      </w:r>
      <w:r w:rsidR="00592A6B">
        <w:t xml:space="preserve">under the assumption that GAS cannot </w:t>
      </w:r>
      <w:r w:rsidR="00592A6B" w:rsidRPr="00592A6B">
        <w:rPr>
          <w:i/>
        </w:rPr>
        <w:t xml:space="preserve">prevent </w:t>
      </w:r>
      <w:r w:rsidR="00592A6B">
        <w:t>pharyngitis in</w:t>
      </w:r>
      <w:r w:rsidR="002A098D">
        <w:t xml:space="preserve"> </w:t>
      </w:r>
      <w:r w:rsidR="00592A6B">
        <w:t>a patient who would otherwise have pharyngitis</w:t>
      </w:r>
      <w:r w:rsidR="00774C10">
        <w:t>,</w:t>
      </w:r>
      <w:r w:rsidR="00592A6B">
        <w:t xml:space="preserve"> </w:t>
      </w:r>
      <w:r>
        <w:t xml:space="preserve">and that </w:t>
      </w:r>
      <w:r w:rsidR="00670F94">
        <w:t xml:space="preserve">(within a stratum) </w:t>
      </w:r>
      <w:r>
        <w:t xml:space="preserve">GAS colonization is effectively assigned at random </w:t>
      </w:r>
      <w:r w:rsidR="00592A6B">
        <w:t>one obtain</w:t>
      </w:r>
      <w:r w:rsidR="001D78AB">
        <w:t>s</w:t>
      </w:r>
      <w:r w:rsidRPr="003748C3">
        <w:t xml:space="preserve"> </w:t>
      </w:r>
    </w:p>
    <w:p w14:paraId="55D92B36" w14:textId="77777777" w:rsidR="001248DA" w:rsidRDefault="00592A6B">
      <w:pPr>
        <w:rPr>
          <w:rFonts w:ascii="Mathematica1" w:hAnsi="Mathematica1"/>
          <w:vertAlign w:val="subscript"/>
        </w:rPr>
      </w:pPr>
      <w:r>
        <w:lastRenderedPageBreak/>
        <w:tab/>
      </w:r>
      <w:proofErr w:type="gramStart"/>
      <w:r>
        <w:t xml:space="preserve">PC </w:t>
      </w:r>
      <w:r w:rsidR="00993655">
        <w:t xml:space="preserve"> </w:t>
      </w:r>
      <w:r>
        <w:t>=</w:t>
      </w:r>
      <w:proofErr w:type="gramEnd"/>
      <w:r w:rsidR="00993655">
        <w:t xml:space="preserve"> </w:t>
      </w:r>
      <w:r>
        <w:t xml:space="preserve"> 1</w:t>
      </w:r>
      <w:r w:rsidR="001248DA">
        <w:t xml:space="preserve"> - </w:t>
      </w:r>
      <w:r w:rsidR="001248DA">
        <w:rPr>
          <w:rFonts w:ascii="Mathematica1" w:hAnsi="Mathematica1"/>
        </w:rPr>
        <w:t></w:t>
      </w:r>
      <w:r w:rsidR="001248DA">
        <w:rPr>
          <w:rFonts w:ascii="Mathematica1" w:hAnsi="Mathematica1"/>
          <w:vertAlign w:val="subscript"/>
        </w:rPr>
        <w:t></w:t>
      </w:r>
      <w:r w:rsidR="001248DA">
        <w:t>/</w:t>
      </w:r>
      <w:r w:rsidR="001248DA">
        <w:rPr>
          <w:rFonts w:ascii="Mathematica1" w:hAnsi="Mathematica1"/>
        </w:rPr>
        <w:t></w:t>
      </w:r>
      <w:r w:rsidR="001248DA">
        <w:rPr>
          <w:rFonts w:ascii="Mathematica1" w:hAnsi="Mathematica1"/>
          <w:vertAlign w:val="subscript"/>
        </w:rPr>
        <w:t></w:t>
      </w:r>
      <w:r w:rsidR="001248DA">
        <w:rPr>
          <w:rFonts w:ascii="Mathematica1" w:hAnsi="Mathematica1"/>
        </w:rPr>
        <w:t></w:t>
      </w:r>
      <w:r w:rsidR="001248DA">
        <w:rPr>
          <w:rFonts w:ascii="Mathematica1" w:hAnsi="Mathematica1"/>
        </w:rPr>
        <w:t></w:t>
      </w:r>
      <w:r w:rsidR="001248DA">
        <w:rPr>
          <w:rFonts w:ascii="Mathematica1" w:hAnsi="Mathematica1"/>
        </w:rPr>
        <w:t></w:t>
      </w:r>
      <w:r w:rsidR="001248DA">
        <w:rPr>
          <w:rFonts w:ascii="Mathematica1" w:hAnsi="Mathematica1"/>
        </w:rPr>
        <w:t></w:t>
      </w:r>
      <w:r w:rsidR="001248DA">
        <w:rPr>
          <w:rFonts w:ascii="Mathematica1" w:hAnsi="Mathematica1"/>
        </w:rPr>
        <w:t></w:t>
      </w:r>
      <w:r w:rsidR="001248DA">
        <w:rPr>
          <w:rFonts w:ascii="Mathematica1" w:hAnsi="Mathematica1"/>
        </w:rPr>
        <w:t></w:t>
      </w:r>
      <w:r w:rsidR="001248DA">
        <w:rPr>
          <w:rFonts w:ascii="Mathematica1" w:hAnsi="Mathematica1"/>
        </w:rPr>
        <w:t></w:t>
      </w:r>
      <w:r w:rsidR="001248DA">
        <w:rPr>
          <w:rFonts w:ascii="Mathematica1" w:hAnsi="Mathematica1"/>
          <w:vertAlign w:val="subscript"/>
        </w:rPr>
        <w:t></w:t>
      </w:r>
      <w:r w:rsidR="001248DA">
        <w:t xml:space="preserve">- </w:t>
      </w:r>
      <w:r w:rsidR="001248DA">
        <w:rPr>
          <w:rFonts w:ascii="Mathematica1" w:hAnsi="Mathematica1"/>
        </w:rPr>
        <w:t></w:t>
      </w:r>
      <w:r w:rsidR="001248DA">
        <w:rPr>
          <w:rFonts w:ascii="Mathematica1" w:hAnsi="Mathematica1"/>
          <w:vertAlign w:val="subscript"/>
        </w:rPr>
        <w:t></w:t>
      </w:r>
      <w:r w:rsidR="001248DA">
        <w:t>)/</w:t>
      </w:r>
      <w:r w:rsidR="001248DA">
        <w:rPr>
          <w:rFonts w:ascii="Mathematica1" w:hAnsi="Mathematica1"/>
        </w:rPr>
        <w:t></w:t>
      </w:r>
      <w:r w:rsidR="001248DA">
        <w:rPr>
          <w:rFonts w:ascii="Mathematica1" w:hAnsi="Mathematica1"/>
          <w:vertAlign w:val="subscript"/>
        </w:rPr>
        <w:t></w:t>
      </w:r>
      <w:r w:rsidR="001248DA">
        <w:rPr>
          <w:rFonts w:ascii="Mathematica1" w:hAnsi="Mathematica1"/>
          <w:vertAlign w:val="subscript"/>
        </w:rPr>
        <w:t></w:t>
      </w:r>
      <w:r w:rsidR="001248DA">
        <w:rPr>
          <w:rFonts w:ascii="Mathematica1" w:hAnsi="Mathematica1"/>
          <w:vertAlign w:val="subscript"/>
        </w:rPr>
        <w:t></w:t>
      </w:r>
    </w:p>
    <w:p w14:paraId="075B9CF9" w14:textId="77777777" w:rsidR="00B42DA9" w:rsidRDefault="001248DA">
      <w:r>
        <w:t>Using</w:t>
      </w:r>
      <w:r w:rsidR="00B42DA9">
        <w:t xml:space="preserve"> the notation of Table 1, we can express our estimate of PC as</w:t>
      </w:r>
    </w:p>
    <w:p w14:paraId="60A1B494" w14:textId="77777777" w:rsidR="00B42DA9" w:rsidRDefault="00FF3079">
      <w:pPr>
        <w:rPr>
          <w:rFonts w:ascii="Mathematica1" w:hAnsi="Mathematica1"/>
        </w:rPr>
      </w:pPr>
      <w:r>
        <w:tab/>
        <w:t xml:space="preserve">PC </w:t>
      </w:r>
      <w:r w:rsidR="00670F94">
        <w:t xml:space="preserve"> </w:t>
      </w:r>
      <w:r w:rsidR="00B42DA9">
        <w:t xml:space="preserve">=  1 </w:t>
      </w:r>
      <w:r w:rsidR="00670F94">
        <w:t xml:space="preserve"> </w:t>
      </w:r>
      <w:r w:rsidR="00B42DA9">
        <w:t>-   Y</w:t>
      </w:r>
      <w:r w:rsidR="00B42DA9">
        <w:rPr>
          <w:vertAlign w:val="subscript"/>
        </w:rPr>
        <w:t xml:space="preserve">- </w:t>
      </w:r>
      <w:r w:rsidR="00B42DA9">
        <w:t>N</w:t>
      </w:r>
      <w:r w:rsidR="00B42DA9">
        <w:rPr>
          <w:vertAlign w:val="subscript"/>
        </w:rPr>
        <w:t xml:space="preserve">+ </w:t>
      </w:r>
      <w:r w:rsidR="00B42DA9">
        <w:t>/Y</w:t>
      </w:r>
      <w:r w:rsidR="00B42DA9">
        <w:rPr>
          <w:vertAlign w:val="subscript"/>
        </w:rPr>
        <w:t xml:space="preserve">+ </w:t>
      </w:r>
      <w:r w:rsidR="00B42DA9">
        <w:t>N</w:t>
      </w:r>
      <w:r w:rsidR="00B42DA9">
        <w:rPr>
          <w:vertAlign w:val="subscript"/>
        </w:rPr>
        <w:t xml:space="preserve">- </w:t>
      </w:r>
      <w:r w:rsidR="00A001CC">
        <w:rPr>
          <w:vertAlign w:val="subscript"/>
        </w:rPr>
        <w:t xml:space="preserve"> </w:t>
      </w:r>
    </w:p>
    <w:p w14:paraId="36996D7B" w14:textId="77777777" w:rsidR="00FF3079" w:rsidRDefault="00FF3079" w:rsidP="00423C93">
      <w:r>
        <w:t>We form PCs for each stratum, say PC(1,H), PC(2,H), PC(1,L), and PC(2,L), where, for example, PC(2,L) is the probability of causation for study year 2 for students with low colonization rates</w:t>
      </w:r>
      <w:r w:rsidR="00670F94">
        <w:t xml:space="preserve">.   </w:t>
      </w:r>
      <w:r>
        <w:t>We obtain an overall PC for students with low colonization rates by forming</w:t>
      </w:r>
    </w:p>
    <w:p w14:paraId="3709C7C0" w14:textId="77777777" w:rsidR="00670F94" w:rsidRDefault="00F12FED" w:rsidP="00670F94">
      <w:pPr>
        <w:ind w:firstLine="720"/>
      </w:pPr>
      <w:r>
        <w:t xml:space="preserve">PC(L)  = { </w:t>
      </w:r>
      <w:r w:rsidR="00670F94">
        <w:t>PC(1,L) w(1,L)+PC(2,L)w(2,L)}/{w(1,L)+w(2,L)},</w:t>
      </w:r>
    </w:p>
    <w:p w14:paraId="0D40CFD8" w14:textId="77777777" w:rsidR="00FF3079" w:rsidRDefault="00670F94" w:rsidP="00423C93">
      <w:proofErr w:type="gramStart"/>
      <w:r>
        <w:t>w</w:t>
      </w:r>
      <w:r w:rsidR="00FF3079">
        <w:t>here</w:t>
      </w:r>
      <w:r>
        <w:t xml:space="preserve"> </w:t>
      </w:r>
      <w:r w:rsidR="00FF3079">
        <w:t xml:space="preserve"> w</w:t>
      </w:r>
      <w:proofErr w:type="gramEnd"/>
      <w:r w:rsidR="00FF3079">
        <w:t>(</w:t>
      </w:r>
      <w:proofErr w:type="spellStart"/>
      <w:r w:rsidR="00FF3079">
        <w:t>j,L</w:t>
      </w:r>
      <w:proofErr w:type="spellEnd"/>
      <w:r w:rsidR="00FF3079">
        <w:t xml:space="preserve">) is the </w:t>
      </w:r>
      <w:r w:rsidR="00390B7C">
        <w:t xml:space="preserve">number of cases of pharyngitis in  study year j=1,2  for students with low colonization rates.   The </w:t>
      </w:r>
      <w:r>
        <w:t xml:space="preserve">construction of </w:t>
      </w:r>
      <w:r w:rsidR="00390B7C">
        <w:t xml:space="preserve">PC(H) is analogous.    To form an overall probability </w:t>
      </w:r>
      <w:r>
        <w:t>of causation we form</w:t>
      </w:r>
    </w:p>
    <w:p w14:paraId="0A7242B3" w14:textId="77777777" w:rsidR="00670F94" w:rsidRDefault="00670F94" w:rsidP="00670F94">
      <w:r>
        <w:t>PC  = { PC(1,L) w(1,L)+PC(2,L)w(2,L) +</w:t>
      </w:r>
      <w:r w:rsidRPr="00670F94">
        <w:t xml:space="preserve"> </w:t>
      </w:r>
      <w:r>
        <w:t>PC(1,H) w(1,H)+PC(2,H)w(2,H) }/{</w:t>
      </w:r>
      <w:r w:rsidRPr="00670F94">
        <w:t xml:space="preserve"> </w:t>
      </w:r>
      <w:r>
        <w:t>w(1,L)+w(2,L)</w:t>
      </w:r>
      <w:r w:rsidRPr="00670F94">
        <w:t xml:space="preserve"> </w:t>
      </w:r>
      <w:r>
        <w:t>w(1,H)+w(2,H) }</w:t>
      </w:r>
    </w:p>
    <w:p w14:paraId="5C758D77" w14:textId="77777777" w:rsidR="00670F94" w:rsidRDefault="00670F94">
      <w:r>
        <w:t>where w(</w:t>
      </w:r>
      <w:proofErr w:type="spellStart"/>
      <w:r>
        <w:t>j,H</w:t>
      </w:r>
      <w:proofErr w:type="spellEnd"/>
      <w:r>
        <w:t>) is the number of cases of pharyngitis in study year j=1,2  for students with high colonization rates.    Under our assumptions, both the stratum specific and weighted PCs can be interpreted as the probability that effective antibiotics will cure the infection for a student presenting with group A strep and pharyngitis</w:t>
      </w:r>
      <w:r w:rsidR="00943D22">
        <w:t>.</w:t>
      </w:r>
      <w:r w:rsidR="00325BE9">
        <w:t xml:space="preserve">   We obtain estimates of PC(L), PC(H),and PC, by replacing PC(</w:t>
      </w:r>
      <w:proofErr w:type="spellStart"/>
      <w:r w:rsidR="00325BE9">
        <w:t>j,k</w:t>
      </w:r>
      <w:proofErr w:type="spellEnd"/>
      <w:r w:rsidR="00325BE9">
        <w:t xml:space="preserve">) with its estimated value, where j=1,2 and k=L,H.   For cells with counts of zero, we substitute the value .5.   Estimates of PCs less than 0 were replaced by zero.   </w:t>
      </w:r>
    </w:p>
    <w:p w14:paraId="24C0F02A" w14:textId="77777777" w:rsidR="00A41F26" w:rsidRDefault="003748C3" w:rsidP="003748C3">
      <w:r>
        <w:t>The methods described above can equally be applied to other forms of strep such as Group C strep, Group G strep, or any strep.    The nonparametr</w:t>
      </w:r>
      <w:r w:rsidR="00670F94">
        <w:t xml:space="preserve">ic bootstrap, where we randomly sample students with replacement, </w:t>
      </w:r>
      <w:r>
        <w:t xml:space="preserve">can be used to obtain confidence intervals for all parameter estimates.   </w:t>
      </w:r>
    </w:p>
    <w:p w14:paraId="18CA3E3F" w14:textId="77777777" w:rsidR="00774C10" w:rsidRPr="00A41F26" w:rsidRDefault="005E6660">
      <w:pPr>
        <w:rPr>
          <w:b/>
        </w:rPr>
      </w:pPr>
      <w:r w:rsidRPr="00A41F26">
        <w:rPr>
          <w:b/>
        </w:rPr>
        <w:t>R</w:t>
      </w:r>
      <w:r w:rsidR="00774C10" w:rsidRPr="00A41F26">
        <w:rPr>
          <w:b/>
        </w:rPr>
        <w:t xml:space="preserve">EFERENCES </w:t>
      </w:r>
    </w:p>
    <w:p w14:paraId="21C2B933" w14:textId="77777777" w:rsidR="00A41F26" w:rsidRDefault="00A41F26">
      <w:r>
        <w:t>1.</w:t>
      </w:r>
      <w:r w:rsidRPr="00A41F26">
        <w:t xml:space="preserve"> </w:t>
      </w:r>
      <w:r>
        <w:t xml:space="preserve">Levin ML (1953).  The occurrence of lung cancer in man.  </w:t>
      </w:r>
      <w:r w:rsidRPr="00A41F26">
        <w:rPr>
          <w:i/>
        </w:rPr>
        <w:t xml:space="preserve">Acta </w:t>
      </w:r>
      <w:proofErr w:type="spellStart"/>
      <w:r w:rsidRPr="00A41F26">
        <w:rPr>
          <w:i/>
        </w:rPr>
        <w:t>Unio</w:t>
      </w:r>
      <w:proofErr w:type="spellEnd"/>
      <w:r w:rsidRPr="00A41F26">
        <w:rPr>
          <w:i/>
        </w:rPr>
        <w:t xml:space="preserve"> Internationalis contra </w:t>
      </w:r>
      <w:proofErr w:type="spellStart"/>
      <w:r w:rsidRPr="00A41F26">
        <w:rPr>
          <w:i/>
        </w:rPr>
        <w:t>Cancrum</w:t>
      </w:r>
      <w:proofErr w:type="spellEnd"/>
      <w:r>
        <w:t xml:space="preserve"> 9 531-541</w:t>
      </w:r>
    </w:p>
    <w:p w14:paraId="4647A9DA" w14:textId="77777777" w:rsidR="00A41F26" w:rsidRDefault="00A41F26" w:rsidP="00A41F26">
      <w:r>
        <w:t xml:space="preserve">2. Greenland S  (1999).  Relation of probability of causation to relative risk and doubling dose:  A methodologic error that has become a social problem.  </w:t>
      </w:r>
      <w:r w:rsidRPr="00774C10">
        <w:rPr>
          <w:i/>
        </w:rPr>
        <w:t>American Journal of Public Health</w:t>
      </w:r>
      <w:r>
        <w:t xml:space="preserve"> 89 (8) 1166-1169.   </w:t>
      </w:r>
    </w:p>
    <w:p w14:paraId="555362AF" w14:textId="642E6D4A" w:rsidR="00F60F4D" w:rsidRDefault="00A41F26">
      <w:pPr>
        <w:rPr>
          <w:i/>
        </w:rPr>
      </w:pPr>
      <w:r>
        <w:t xml:space="preserve">3. </w:t>
      </w:r>
      <w:proofErr w:type="spellStart"/>
      <w:r w:rsidR="00670F94">
        <w:t>Efron</w:t>
      </w:r>
      <w:proofErr w:type="spellEnd"/>
      <w:r w:rsidR="00670F94">
        <w:t xml:space="preserve"> B, </w:t>
      </w:r>
      <w:proofErr w:type="spellStart"/>
      <w:r w:rsidR="00670F94">
        <w:t>Tibshirani</w:t>
      </w:r>
      <w:proofErr w:type="spellEnd"/>
      <w:r w:rsidR="00670F94">
        <w:t xml:space="preserve"> RJ (1998)</w:t>
      </w:r>
      <w:r w:rsidR="00C9230B">
        <w:t>.</w:t>
      </w:r>
      <w:r w:rsidR="00670F94">
        <w:t xml:space="preserve">   An Introduction to the Bootstrap</w:t>
      </w:r>
      <w:r w:rsidR="00C9230B">
        <w:t>.</w:t>
      </w:r>
      <w:r w:rsidR="00F65CBD">
        <w:t xml:space="preserve">   New York, Chapman &amp; Hall. </w:t>
      </w:r>
    </w:p>
    <w:p w14:paraId="79984F32" w14:textId="77777777" w:rsidR="00FD4C49" w:rsidRDefault="00FD4C49">
      <w:pPr>
        <w:rPr>
          <w:i/>
        </w:rPr>
      </w:pPr>
    </w:p>
    <w:p w14:paraId="63233A22" w14:textId="77777777" w:rsidR="00FD4C49" w:rsidRDefault="00FD4C49">
      <w:pPr>
        <w:rPr>
          <w:i/>
        </w:rPr>
      </w:pPr>
    </w:p>
    <w:sectPr w:rsidR="00FD4C49" w:rsidSect="00C924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thematica1">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DC6FF9"/>
    <w:multiLevelType w:val="hybridMultilevel"/>
    <w:tmpl w:val="284C6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18A"/>
    <w:rsid w:val="00044E04"/>
    <w:rsid w:val="000911EA"/>
    <w:rsid w:val="00096DB2"/>
    <w:rsid w:val="00105D1B"/>
    <w:rsid w:val="001248DA"/>
    <w:rsid w:val="001329BE"/>
    <w:rsid w:val="00141386"/>
    <w:rsid w:val="00160A51"/>
    <w:rsid w:val="001D78AB"/>
    <w:rsid w:val="002A098D"/>
    <w:rsid w:val="002A4F4C"/>
    <w:rsid w:val="002F35C8"/>
    <w:rsid w:val="00302841"/>
    <w:rsid w:val="00313E5C"/>
    <w:rsid w:val="00325BE9"/>
    <w:rsid w:val="00341808"/>
    <w:rsid w:val="003444C5"/>
    <w:rsid w:val="0034547A"/>
    <w:rsid w:val="003748C3"/>
    <w:rsid w:val="00390B7C"/>
    <w:rsid w:val="003B2081"/>
    <w:rsid w:val="0041418A"/>
    <w:rsid w:val="00415DE9"/>
    <w:rsid w:val="00423C93"/>
    <w:rsid w:val="004578E5"/>
    <w:rsid w:val="0048553D"/>
    <w:rsid w:val="00553A2A"/>
    <w:rsid w:val="005735BD"/>
    <w:rsid w:val="00592A6B"/>
    <w:rsid w:val="005A3222"/>
    <w:rsid w:val="005E6660"/>
    <w:rsid w:val="00650AF2"/>
    <w:rsid w:val="00670F94"/>
    <w:rsid w:val="00693165"/>
    <w:rsid w:val="0071637A"/>
    <w:rsid w:val="00737ABA"/>
    <w:rsid w:val="007562B9"/>
    <w:rsid w:val="00774C10"/>
    <w:rsid w:val="00783831"/>
    <w:rsid w:val="00796374"/>
    <w:rsid w:val="008636D7"/>
    <w:rsid w:val="00943D22"/>
    <w:rsid w:val="00993655"/>
    <w:rsid w:val="009C51E7"/>
    <w:rsid w:val="00A001CC"/>
    <w:rsid w:val="00A41F26"/>
    <w:rsid w:val="00B42DA9"/>
    <w:rsid w:val="00B95011"/>
    <w:rsid w:val="00C5329E"/>
    <w:rsid w:val="00C8258E"/>
    <w:rsid w:val="00C83EF3"/>
    <w:rsid w:val="00C9230B"/>
    <w:rsid w:val="00C92419"/>
    <w:rsid w:val="00D8592F"/>
    <w:rsid w:val="00DB1822"/>
    <w:rsid w:val="00DD6A43"/>
    <w:rsid w:val="00DE3087"/>
    <w:rsid w:val="00E626E5"/>
    <w:rsid w:val="00EE5D04"/>
    <w:rsid w:val="00EF5CD5"/>
    <w:rsid w:val="00F12FED"/>
    <w:rsid w:val="00F60F4D"/>
    <w:rsid w:val="00F65CBD"/>
    <w:rsid w:val="00F70539"/>
    <w:rsid w:val="00FD4C49"/>
    <w:rsid w:val="00FE04EE"/>
    <w:rsid w:val="00FF3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91AE3"/>
  <w15:docId w15:val="{A1969168-C222-4ACF-86B8-417EFDEC5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41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774C10"/>
    <w:rPr>
      <w:strike w:val="0"/>
      <w:dstrike w:val="0"/>
      <w:color w:val="4682B4"/>
      <w:u w:val="none"/>
      <w:effect w:val="none"/>
      <w:shd w:val="clear" w:color="auto" w:fill="auto"/>
    </w:rPr>
  </w:style>
  <w:style w:type="paragraph" w:styleId="BalloonText">
    <w:name w:val="Balloon Text"/>
    <w:basedOn w:val="Normal"/>
    <w:link w:val="BalloonTextChar"/>
    <w:uiPriority w:val="99"/>
    <w:semiHidden/>
    <w:unhideWhenUsed/>
    <w:rsid w:val="005E66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660"/>
    <w:rPr>
      <w:rFonts w:ascii="Tahoma" w:hAnsi="Tahoma" w:cs="Tahoma"/>
      <w:sz w:val="16"/>
      <w:szCs w:val="16"/>
    </w:rPr>
  </w:style>
  <w:style w:type="paragraph" w:styleId="NoSpacing">
    <w:name w:val="No Spacing"/>
    <w:uiPriority w:val="1"/>
    <w:qFormat/>
    <w:rsid w:val="002F35C8"/>
    <w:pPr>
      <w:spacing w:after="0" w:line="240" w:lineRule="auto"/>
    </w:pPr>
    <w:rPr>
      <w:rFonts w:ascii="Calibri" w:eastAsia="Calibri" w:hAnsi="Calibri" w:cs="Times New Roman"/>
    </w:rPr>
  </w:style>
  <w:style w:type="paragraph" w:styleId="ListParagraph">
    <w:name w:val="List Paragraph"/>
    <w:basedOn w:val="Normal"/>
    <w:uiPriority w:val="34"/>
    <w:qFormat/>
    <w:rsid w:val="00A41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1008</TotalTime>
  <Pages>2</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NIAID</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dfollmann</dc:creator>
  <cp:lastModifiedBy>Follmann, Dean (NIH/NIAID) [E]</cp:lastModifiedBy>
  <cp:revision>7</cp:revision>
  <cp:lastPrinted>2014-01-16T15:30:00Z</cp:lastPrinted>
  <dcterms:created xsi:type="dcterms:W3CDTF">2016-01-20T21:16:00Z</dcterms:created>
  <dcterms:modified xsi:type="dcterms:W3CDTF">2018-02-12T13:50:00Z</dcterms:modified>
</cp:coreProperties>
</file>