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8960E" w14:textId="77777777" w:rsidR="000C523C" w:rsidRPr="0060611B" w:rsidRDefault="000C523C" w:rsidP="009A3885">
      <w:pPr>
        <w:spacing w:line="480" w:lineRule="auto"/>
        <w:rPr>
          <w:rFonts w:ascii="Times New Roman" w:hAnsi="Times New Roman"/>
        </w:rPr>
      </w:pPr>
      <w:proofErr w:type="spellStart"/>
      <w:r w:rsidRPr="0060611B">
        <w:rPr>
          <w:rFonts w:ascii="Times New Roman" w:hAnsi="Times New Roman"/>
        </w:rPr>
        <w:t>Epidemiology</w:t>
      </w:r>
      <w:proofErr w:type="spellEnd"/>
      <w:r w:rsidRPr="0060611B">
        <w:rPr>
          <w:rFonts w:ascii="Times New Roman" w:hAnsi="Times New Roman"/>
        </w:rPr>
        <w:t xml:space="preserve"> and </w:t>
      </w:r>
      <w:proofErr w:type="spellStart"/>
      <w:r w:rsidRPr="0060611B">
        <w:rPr>
          <w:rFonts w:ascii="Times New Roman" w:hAnsi="Times New Roman"/>
        </w:rPr>
        <w:t>Infection</w:t>
      </w:r>
      <w:proofErr w:type="spellEnd"/>
    </w:p>
    <w:p w14:paraId="3B014CF6" w14:textId="77777777" w:rsidR="00253377" w:rsidRPr="0060611B" w:rsidRDefault="00253377" w:rsidP="009A3885">
      <w:pPr>
        <w:suppressLineNumbers/>
        <w:suppressAutoHyphens/>
        <w:spacing w:before="240" w:after="240" w:line="480" w:lineRule="auto"/>
        <w:rPr>
          <w:rFonts w:ascii="Times New Roman" w:hAnsi="Times New Roman"/>
          <w:noProof/>
          <w:lang w:val="en-GB"/>
        </w:rPr>
      </w:pPr>
      <w:r w:rsidRPr="0060611B">
        <w:rPr>
          <w:rFonts w:ascii="Times New Roman" w:hAnsi="Times New Roman"/>
          <w:noProof/>
          <w:lang w:val="en-GB"/>
        </w:rPr>
        <w:t xml:space="preserve">The updated Charlson comorbidity index is a useful predictor of mortality in patients with </w:t>
      </w:r>
      <w:r w:rsidRPr="0060611B">
        <w:rPr>
          <w:rFonts w:ascii="Times New Roman" w:hAnsi="Times New Roman"/>
          <w:i/>
          <w:noProof/>
          <w:lang w:val="en-GB"/>
        </w:rPr>
        <w:t>Staphylococcus aureus</w:t>
      </w:r>
      <w:r w:rsidRPr="0060611B">
        <w:rPr>
          <w:rFonts w:ascii="Times New Roman" w:hAnsi="Times New Roman"/>
          <w:noProof/>
          <w:lang w:val="en-GB"/>
        </w:rPr>
        <w:t xml:space="preserve"> bacteraemia.</w:t>
      </w:r>
    </w:p>
    <w:p w14:paraId="3BF243D9" w14:textId="77777777" w:rsidR="00253377" w:rsidRPr="0060611B" w:rsidRDefault="00253377" w:rsidP="009A3885">
      <w:pPr>
        <w:suppressAutoHyphens/>
        <w:spacing w:before="240" w:after="240" w:line="480" w:lineRule="auto"/>
        <w:rPr>
          <w:rFonts w:ascii="Times New Roman" w:hAnsi="Times New Roman"/>
          <w:noProof/>
        </w:rPr>
      </w:pPr>
      <w:r w:rsidRPr="0060611B">
        <w:rPr>
          <w:rFonts w:ascii="Times New Roman" w:hAnsi="Times New Roman"/>
          <w:noProof/>
        </w:rPr>
        <w:t>H. G. Ternavasio-de la Vega, F. Castaño-Romero, S. Ragozzino, R. Sánchez González, M. P. Vaquero-Herrero, M. Siller-Ruiz, G. Spalter-Glicberg, C. Ramírez-Baum, S. Rodríguez-Rodríguez, J. E. García-Sánchez, I. García-García, M. Marcos.</w:t>
      </w:r>
    </w:p>
    <w:p w14:paraId="5821A470" w14:textId="77777777" w:rsidR="00EE2BA1" w:rsidRDefault="00BF145E" w:rsidP="009A3885">
      <w:pPr>
        <w:spacing w:line="480" w:lineRule="auto"/>
        <w:rPr>
          <w:rFonts w:ascii="Times New Roman" w:hAnsi="Times New Roman"/>
        </w:rPr>
      </w:pPr>
      <w:r w:rsidRPr="0060611B">
        <w:rPr>
          <w:rFonts w:ascii="Times New Roman" w:hAnsi="Times New Roman"/>
        </w:rPr>
        <w:br w:type="page"/>
      </w:r>
      <w:proofErr w:type="spellStart"/>
      <w:r w:rsidR="000C523C" w:rsidRPr="0060611B">
        <w:rPr>
          <w:rFonts w:ascii="Times New Roman" w:hAnsi="Times New Roman"/>
        </w:rPr>
        <w:lastRenderedPageBreak/>
        <w:t>Supplementary</w:t>
      </w:r>
      <w:proofErr w:type="spellEnd"/>
      <w:r w:rsidR="000C523C" w:rsidRPr="0060611B">
        <w:rPr>
          <w:rFonts w:ascii="Times New Roman" w:hAnsi="Times New Roman"/>
        </w:rPr>
        <w:t xml:space="preserve"> Material</w:t>
      </w:r>
    </w:p>
    <w:tbl>
      <w:tblPr>
        <w:tblStyle w:val="Tablaconcuadrcula"/>
        <w:tblW w:w="77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5"/>
        <w:gridCol w:w="1241"/>
        <w:gridCol w:w="1331"/>
        <w:gridCol w:w="1015"/>
      </w:tblGrid>
      <w:tr w:rsidR="00FF0AE3" w:rsidRPr="00817C4B" w14:paraId="3F7D0A12" w14:textId="77777777">
        <w:trPr>
          <w:trHeight w:val="284"/>
          <w:jc w:val="center"/>
        </w:trPr>
        <w:tc>
          <w:tcPr>
            <w:tcW w:w="7702" w:type="dxa"/>
            <w:gridSpan w:val="4"/>
            <w:tcBorders>
              <w:top w:val="single" w:sz="4" w:space="0" w:color="auto"/>
            </w:tcBorders>
          </w:tcPr>
          <w:p w14:paraId="1DAE36E7" w14:textId="77777777" w:rsidR="00FF0AE3" w:rsidRPr="00817C4B" w:rsidRDefault="00FF0AE3" w:rsidP="00206BFD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noProof/>
                <w:sz w:val="18"/>
                <w:lang w:val="en-GB"/>
              </w:rPr>
              <w:t>Supplementary table S3. Univariate analysis</w:t>
            </w:r>
            <w:r w:rsidR="005C128C">
              <w:rPr>
                <w:rFonts w:ascii="Times New Roman" w:hAnsi="Times New Roman"/>
                <w:noProof/>
                <w:sz w:val="18"/>
                <w:lang w:val="en-GB"/>
              </w:rPr>
              <w:t xml:space="preserve"> between mortality and </w:t>
            </w:r>
            <w:r w:rsidR="00206BFD">
              <w:rPr>
                <w:rFonts w:ascii="Times New Roman" w:hAnsi="Times New Roman"/>
                <w:noProof/>
                <w:sz w:val="18"/>
                <w:lang w:val="en-GB"/>
              </w:rPr>
              <w:t>recorded variables</w:t>
            </w:r>
            <w:r w:rsidR="005C128C">
              <w:rPr>
                <w:rFonts w:ascii="Times New Roman" w:hAnsi="Times New Roman"/>
                <w:noProof/>
                <w:sz w:val="18"/>
                <w:lang w:val="en-GB"/>
              </w:rPr>
              <w:t>.</w:t>
            </w:r>
          </w:p>
        </w:tc>
      </w:tr>
      <w:tr w:rsidR="00FF0AE3" w:rsidRPr="00817C4B" w14:paraId="0870E285" w14:textId="77777777">
        <w:trPr>
          <w:trHeight w:val="284"/>
          <w:jc w:val="center"/>
        </w:trPr>
        <w:tc>
          <w:tcPr>
            <w:tcW w:w="4115" w:type="dxa"/>
            <w:vMerge w:val="restart"/>
            <w:tcBorders>
              <w:top w:val="single" w:sz="4" w:space="0" w:color="auto"/>
            </w:tcBorders>
          </w:tcPr>
          <w:p w14:paraId="3AF81953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F05540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30 days mortality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</w:tcBorders>
          </w:tcPr>
          <w:p w14:paraId="510358C2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i/>
                <w:iCs/>
                <w:sz w:val="18"/>
                <w:lang w:val="en-GB"/>
              </w:rPr>
              <w:t>P</w:t>
            </w:r>
          </w:p>
        </w:tc>
      </w:tr>
      <w:tr w:rsidR="00FF0AE3" w:rsidRPr="00817C4B" w14:paraId="7A48F420" w14:textId="77777777">
        <w:trPr>
          <w:trHeight w:val="284"/>
          <w:jc w:val="center"/>
        </w:trPr>
        <w:tc>
          <w:tcPr>
            <w:tcW w:w="4115" w:type="dxa"/>
            <w:vMerge/>
            <w:tcBorders>
              <w:bottom w:val="single" w:sz="4" w:space="0" w:color="auto"/>
            </w:tcBorders>
          </w:tcPr>
          <w:p w14:paraId="6DAECC33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14:paraId="65DCB018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No</w:t>
            </w:r>
            <w:r w:rsidRPr="00817C4B">
              <w:rPr>
                <w:rFonts w:ascii="Times New Roman" w:hAnsi="Times New Roman"/>
                <w:sz w:val="18"/>
                <w:lang w:val="en-GB"/>
              </w:rPr>
              <w:br/>
              <w:t>(n=192)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5E5C7464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Yes</w:t>
            </w:r>
            <w:r w:rsidRPr="00817C4B">
              <w:rPr>
                <w:rFonts w:ascii="Times New Roman" w:hAnsi="Times New Roman"/>
                <w:sz w:val="18"/>
                <w:lang w:val="en-GB"/>
              </w:rPr>
              <w:br/>
              <w:t>(n=65)</w:t>
            </w:r>
          </w:p>
        </w:tc>
        <w:tc>
          <w:tcPr>
            <w:tcW w:w="1015" w:type="dxa"/>
            <w:vMerge/>
            <w:tcBorders>
              <w:bottom w:val="single" w:sz="4" w:space="0" w:color="auto"/>
            </w:tcBorders>
          </w:tcPr>
          <w:p w14:paraId="1BE9FAD8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i/>
                <w:iCs/>
                <w:sz w:val="18"/>
                <w:lang w:val="en-GB"/>
              </w:rPr>
            </w:pPr>
          </w:p>
        </w:tc>
      </w:tr>
      <w:tr w:rsidR="00FF0AE3" w:rsidRPr="00817C4B" w14:paraId="1799D6A1" w14:textId="77777777">
        <w:trPr>
          <w:trHeight w:val="284"/>
          <w:jc w:val="center"/>
        </w:trPr>
        <w:tc>
          <w:tcPr>
            <w:tcW w:w="4115" w:type="dxa"/>
            <w:tcBorders>
              <w:top w:val="single" w:sz="4" w:space="0" w:color="auto"/>
            </w:tcBorders>
          </w:tcPr>
          <w:p w14:paraId="5BCA70A6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Age (years), median (interquartile range)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noWrap/>
          </w:tcPr>
          <w:p w14:paraId="0050886B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77.5 (17.8)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noWrap/>
          </w:tcPr>
          <w:p w14:paraId="2C8E2ADE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81.3 (12.8)</w:t>
            </w:r>
          </w:p>
        </w:tc>
        <w:tc>
          <w:tcPr>
            <w:tcW w:w="1015" w:type="dxa"/>
            <w:tcBorders>
              <w:top w:val="single" w:sz="4" w:space="0" w:color="auto"/>
            </w:tcBorders>
            <w:noWrap/>
          </w:tcPr>
          <w:p w14:paraId="650F50C1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0.004</w:t>
            </w:r>
          </w:p>
        </w:tc>
      </w:tr>
      <w:tr w:rsidR="00FF0AE3" w:rsidRPr="00817C4B" w14:paraId="1B56920E" w14:textId="77777777">
        <w:trPr>
          <w:trHeight w:val="284"/>
          <w:jc w:val="center"/>
        </w:trPr>
        <w:tc>
          <w:tcPr>
            <w:tcW w:w="4115" w:type="dxa"/>
          </w:tcPr>
          <w:p w14:paraId="03CBA227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Sex: male</w:t>
            </w:r>
          </w:p>
        </w:tc>
        <w:tc>
          <w:tcPr>
            <w:tcW w:w="1241" w:type="dxa"/>
            <w:noWrap/>
          </w:tcPr>
          <w:p w14:paraId="36186678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122 (63.5)</w:t>
            </w:r>
          </w:p>
        </w:tc>
        <w:tc>
          <w:tcPr>
            <w:tcW w:w="1331" w:type="dxa"/>
            <w:noWrap/>
          </w:tcPr>
          <w:p w14:paraId="611FDB30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45 (69.2)</w:t>
            </w:r>
          </w:p>
        </w:tc>
        <w:tc>
          <w:tcPr>
            <w:tcW w:w="1015" w:type="dxa"/>
            <w:noWrap/>
          </w:tcPr>
          <w:p w14:paraId="1E28B939" w14:textId="77777777" w:rsidR="00FF0AE3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0.4</w:t>
            </w:r>
          </w:p>
        </w:tc>
      </w:tr>
      <w:tr w:rsidR="00FF0AE3" w:rsidRPr="00817C4B" w14:paraId="6680C8F8" w14:textId="77777777">
        <w:trPr>
          <w:trHeight w:val="284"/>
          <w:jc w:val="center"/>
        </w:trPr>
        <w:tc>
          <w:tcPr>
            <w:tcW w:w="4115" w:type="dxa"/>
          </w:tcPr>
          <w:p w14:paraId="632DEE76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Origin of bacteraemia: Community acquired</w:t>
            </w:r>
          </w:p>
        </w:tc>
        <w:tc>
          <w:tcPr>
            <w:tcW w:w="1241" w:type="dxa"/>
            <w:noWrap/>
          </w:tcPr>
          <w:p w14:paraId="74221ABA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71 (37.0)</w:t>
            </w:r>
          </w:p>
        </w:tc>
        <w:tc>
          <w:tcPr>
            <w:tcW w:w="1331" w:type="dxa"/>
            <w:noWrap/>
          </w:tcPr>
          <w:p w14:paraId="5B68470E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32 (49.2)</w:t>
            </w:r>
          </w:p>
        </w:tc>
        <w:tc>
          <w:tcPr>
            <w:tcW w:w="1015" w:type="dxa"/>
            <w:noWrap/>
          </w:tcPr>
          <w:p w14:paraId="4A7ADD18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0.08</w:t>
            </w:r>
          </w:p>
        </w:tc>
      </w:tr>
      <w:tr w:rsidR="00FF0AE3" w:rsidRPr="00817C4B" w14:paraId="35F964A6" w14:textId="77777777">
        <w:trPr>
          <w:trHeight w:val="284"/>
          <w:jc w:val="center"/>
        </w:trPr>
        <w:tc>
          <w:tcPr>
            <w:tcW w:w="4115" w:type="dxa"/>
          </w:tcPr>
          <w:p w14:paraId="75AAB778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proofErr w:type="spellStart"/>
            <w:proofErr w:type="gramStart"/>
            <w:r w:rsidRPr="00817C4B">
              <w:rPr>
                <w:rFonts w:ascii="Times New Roman" w:hAnsi="Times New Roman"/>
                <w:sz w:val="18"/>
                <w:lang w:val="en-GB"/>
              </w:rPr>
              <w:t>cCCI</w:t>
            </w:r>
            <w:r w:rsidR="005C128C">
              <w:rPr>
                <w:rFonts w:ascii="Times New Roman" w:hAnsi="Times New Roman"/>
                <w:sz w:val="18"/>
                <w:vertAlign w:val="superscript"/>
                <w:lang w:val="en-GB"/>
              </w:rPr>
              <w:t>a</w:t>
            </w:r>
            <w:proofErr w:type="spellEnd"/>
            <w:proofErr w:type="gramEnd"/>
            <w:r w:rsidRPr="00817C4B">
              <w:rPr>
                <w:rFonts w:ascii="Times New Roman" w:hAnsi="Times New Roman"/>
                <w:sz w:val="18"/>
                <w:lang w:val="en-GB"/>
              </w:rPr>
              <w:t>, median (interquartile range)</w:t>
            </w:r>
          </w:p>
        </w:tc>
        <w:tc>
          <w:tcPr>
            <w:tcW w:w="1241" w:type="dxa"/>
            <w:noWrap/>
          </w:tcPr>
          <w:p w14:paraId="314D6D95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 (3)</w:t>
            </w:r>
          </w:p>
        </w:tc>
        <w:tc>
          <w:tcPr>
            <w:tcW w:w="1331" w:type="dxa"/>
            <w:noWrap/>
          </w:tcPr>
          <w:p w14:paraId="0271B1B1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 (4)</w:t>
            </w:r>
          </w:p>
        </w:tc>
        <w:tc>
          <w:tcPr>
            <w:tcW w:w="1015" w:type="dxa"/>
            <w:noWrap/>
          </w:tcPr>
          <w:p w14:paraId="5EBA8E7E" w14:textId="77777777" w:rsidR="00FF0AE3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0.2</w:t>
            </w:r>
          </w:p>
        </w:tc>
      </w:tr>
      <w:tr w:rsidR="00FF0AE3" w:rsidRPr="00817C4B" w14:paraId="0B2A77E0" w14:textId="77777777">
        <w:trPr>
          <w:trHeight w:val="284"/>
          <w:jc w:val="center"/>
        </w:trPr>
        <w:tc>
          <w:tcPr>
            <w:tcW w:w="4115" w:type="dxa"/>
          </w:tcPr>
          <w:p w14:paraId="3B96FBDD" w14:textId="77777777" w:rsidR="00FF0AE3" w:rsidRPr="00817C4B" w:rsidRDefault="00FF0AE3" w:rsidP="00744E82">
            <w:pPr>
              <w:spacing w:line="480" w:lineRule="auto"/>
              <w:ind w:left="131"/>
              <w:rPr>
                <w:rFonts w:ascii="Times New Roman" w:hAnsi="Times New Roman"/>
                <w:sz w:val="18"/>
                <w:lang w:val="en-GB"/>
              </w:rPr>
            </w:pPr>
            <w:proofErr w:type="spellStart"/>
            <w:proofErr w:type="gramStart"/>
            <w:r w:rsidRPr="00817C4B">
              <w:rPr>
                <w:rFonts w:ascii="Times New Roman" w:hAnsi="Times New Roman"/>
                <w:sz w:val="18"/>
                <w:lang w:val="en-GB"/>
              </w:rPr>
              <w:t>cCCI</w:t>
            </w:r>
            <w:proofErr w:type="spellEnd"/>
            <w:proofErr w:type="gramEnd"/>
            <w:r w:rsidRPr="00817C4B">
              <w:rPr>
                <w:rFonts w:ascii="Times New Roman" w:hAnsi="Times New Roman"/>
                <w:sz w:val="18"/>
                <w:lang w:val="en-GB"/>
              </w:rPr>
              <w:t xml:space="preserve"> ≥ 3</w:t>
            </w:r>
          </w:p>
        </w:tc>
        <w:tc>
          <w:tcPr>
            <w:tcW w:w="1241" w:type="dxa"/>
            <w:noWrap/>
          </w:tcPr>
          <w:p w14:paraId="2A4912AC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119 (62.0)</w:t>
            </w:r>
          </w:p>
        </w:tc>
        <w:tc>
          <w:tcPr>
            <w:tcW w:w="1331" w:type="dxa"/>
            <w:noWrap/>
          </w:tcPr>
          <w:p w14:paraId="505E0B9A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42 (64.6)</w:t>
            </w:r>
          </w:p>
        </w:tc>
        <w:tc>
          <w:tcPr>
            <w:tcW w:w="1015" w:type="dxa"/>
            <w:noWrap/>
          </w:tcPr>
          <w:p w14:paraId="42EFF8D9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0.7</w:t>
            </w:r>
          </w:p>
        </w:tc>
      </w:tr>
      <w:tr w:rsidR="00FF0AE3" w:rsidRPr="00817C4B" w14:paraId="2C64BAA2" w14:textId="77777777">
        <w:trPr>
          <w:trHeight w:val="284"/>
          <w:jc w:val="center"/>
        </w:trPr>
        <w:tc>
          <w:tcPr>
            <w:tcW w:w="4115" w:type="dxa"/>
          </w:tcPr>
          <w:p w14:paraId="77457415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proofErr w:type="spellStart"/>
            <w:proofErr w:type="gramStart"/>
            <w:r w:rsidRPr="00817C4B">
              <w:rPr>
                <w:rFonts w:ascii="Times New Roman" w:hAnsi="Times New Roman"/>
                <w:sz w:val="18"/>
                <w:lang w:val="en-GB"/>
              </w:rPr>
              <w:t>uCCI</w:t>
            </w:r>
            <w:r w:rsidR="005C128C">
              <w:rPr>
                <w:rFonts w:ascii="Times New Roman" w:hAnsi="Times New Roman"/>
                <w:sz w:val="18"/>
                <w:vertAlign w:val="superscript"/>
                <w:lang w:val="en-GB"/>
              </w:rPr>
              <w:t>a</w:t>
            </w:r>
            <w:proofErr w:type="spellEnd"/>
            <w:proofErr w:type="gramEnd"/>
            <w:r w:rsidRPr="00817C4B">
              <w:rPr>
                <w:rFonts w:ascii="Times New Roman" w:hAnsi="Times New Roman"/>
                <w:sz w:val="18"/>
                <w:lang w:val="en-GB"/>
              </w:rPr>
              <w:t>, median (interquartile range)</w:t>
            </w:r>
          </w:p>
        </w:tc>
        <w:tc>
          <w:tcPr>
            <w:tcW w:w="1241" w:type="dxa"/>
            <w:noWrap/>
          </w:tcPr>
          <w:p w14:paraId="3E83542C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 (3)</w:t>
            </w:r>
          </w:p>
        </w:tc>
        <w:tc>
          <w:tcPr>
            <w:tcW w:w="1331" w:type="dxa"/>
            <w:noWrap/>
          </w:tcPr>
          <w:p w14:paraId="4F40F047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 (3)</w:t>
            </w:r>
          </w:p>
        </w:tc>
        <w:tc>
          <w:tcPr>
            <w:tcW w:w="1015" w:type="dxa"/>
            <w:noWrap/>
          </w:tcPr>
          <w:p w14:paraId="094EBAE6" w14:textId="77777777" w:rsidR="00FF0AE3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0.14</w:t>
            </w:r>
          </w:p>
        </w:tc>
      </w:tr>
      <w:tr w:rsidR="00FF0AE3" w:rsidRPr="00817C4B" w14:paraId="68187867" w14:textId="77777777">
        <w:trPr>
          <w:trHeight w:val="284"/>
          <w:jc w:val="center"/>
        </w:trPr>
        <w:tc>
          <w:tcPr>
            <w:tcW w:w="4115" w:type="dxa"/>
          </w:tcPr>
          <w:p w14:paraId="2F58B1B8" w14:textId="77777777" w:rsidR="00FF0AE3" w:rsidRPr="00817C4B" w:rsidRDefault="00FF0AE3" w:rsidP="00744E82">
            <w:pPr>
              <w:spacing w:line="480" w:lineRule="auto"/>
              <w:ind w:left="131"/>
              <w:rPr>
                <w:rFonts w:ascii="Times New Roman" w:hAnsi="Times New Roman"/>
                <w:sz w:val="18"/>
                <w:lang w:val="en-GB"/>
              </w:rPr>
            </w:pPr>
            <w:proofErr w:type="spellStart"/>
            <w:proofErr w:type="gramStart"/>
            <w:r w:rsidRPr="00817C4B">
              <w:rPr>
                <w:rFonts w:ascii="Times New Roman" w:hAnsi="Times New Roman"/>
                <w:sz w:val="18"/>
                <w:lang w:val="en-GB"/>
              </w:rPr>
              <w:t>uCCI</w:t>
            </w:r>
            <w:proofErr w:type="spellEnd"/>
            <w:proofErr w:type="gramEnd"/>
            <w:r w:rsidRPr="00817C4B">
              <w:rPr>
                <w:rFonts w:ascii="Times New Roman" w:hAnsi="Times New Roman"/>
                <w:sz w:val="18"/>
                <w:lang w:val="en-GB"/>
              </w:rPr>
              <w:t xml:space="preserve"> ≥ 4</w:t>
            </w:r>
          </w:p>
        </w:tc>
        <w:tc>
          <w:tcPr>
            <w:tcW w:w="1241" w:type="dxa"/>
            <w:noWrap/>
          </w:tcPr>
          <w:p w14:paraId="78A6A3A7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59 (30.7)</w:t>
            </w:r>
          </w:p>
        </w:tc>
        <w:tc>
          <w:tcPr>
            <w:tcW w:w="1331" w:type="dxa"/>
            <w:noWrap/>
          </w:tcPr>
          <w:p w14:paraId="2BE12645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30 (46.2)</w:t>
            </w:r>
          </w:p>
        </w:tc>
        <w:tc>
          <w:tcPr>
            <w:tcW w:w="1015" w:type="dxa"/>
            <w:noWrap/>
          </w:tcPr>
          <w:p w14:paraId="7785EE6B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0.02</w:t>
            </w:r>
          </w:p>
        </w:tc>
      </w:tr>
      <w:tr w:rsidR="00FF0AE3" w:rsidRPr="00817C4B" w14:paraId="4CFCD988" w14:textId="77777777">
        <w:trPr>
          <w:trHeight w:val="284"/>
          <w:jc w:val="center"/>
        </w:trPr>
        <w:tc>
          <w:tcPr>
            <w:tcW w:w="4115" w:type="dxa"/>
          </w:tcPr>
          <w:p w14:paraId="0DCFF93D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Previous invasive procedures</w:t>
            </w:r>
          </w:p>
        </w:tc>
        <w:tc>
          <w:tcPr>
            <w:tcW w:w="1241" w:type="dxa"/>
            <w:noWrap/>
          </w:tcPr>
          <w:p w14:paraId="7E994943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119 (62.3)</w:t>
            </w:r>
          </w:p>
        </w:tc>
        <w:tc>
          <w:tcPr>
            <w:tcW w:w="1331" w:type="dxa"/>
            <w:noWrap/>
          </w:tcPr>
          <w:p w14:paraId="599C80B5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37 (56.9)</w:t>
            </w:r>
          </w:p>
        </w:tc>
        <w:tc>
          <w:tcPr>
            <w:tcW w:w="1015" w:type="dxa"/>
            <w:noWrap/>
          </w:tcPr>
          <w:p w14:paraId="640272D9" w14:textId="77777777" w:rsidR="00FF0AE3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0.4</w:t>
            </w:r>
          </w:p>
        </w:tc>
      </w:tr>
      <w:tr w:rsidR="00FF0AE3" w:rsidRPr="00817C4B" w14:paraId="7988DA2F" w14:textId="77777777">
        <w:trPr>
          <w:trHeight w:val="284"/>
          <w:jc w:val="center"/>
        </w:trPr>
        <w:tc>
          <w:tcPr>
            <w:tcW w:w="4115" w:type="dxa"/>
          </w:tcPr>
          <w:p w14:paraId="1B32030F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Vascular catheter</w:t>
            </w:r>
          </w:p>
        </w:tc>
        <w:tc>
          <w:tcPr>
            <w:tcW w:w="1241" w:type="dxa"/>
            <w:noWrap/>
          </w:tcPr>
          <w:p w14:paraId="68AC2951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112 (58.3)</w:t>
            </w:r>
          </w:p>
        </w:tc>
        <w:tc>
          <w:tcPr>
            <w:tcW w:w="1331" w:type="dxa"/>
            <w:noWrap/>
          </w:tcPr>
          <w:p w14:paraId="2FBA0495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36 (55.4)</w:t>
            </w:r>
          </w:p>
        </w:tc>
        <w:tc>
          <w:tcPr>
            <w:tcW w:w="1015" w:type="dxa"/>
            <w:noWrap/>
          </w:tcPr>
          <w:p w14:paraId="0E4EA126" w14:textId="77777777" w:rsidR="00FF0AE3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0.7</w:t>
            </w:r>
          </w:p>
        </w:tc>
      </w:tr>
      <w:tr w:rsidR="00FF0AE3" w:rsidRPr="00817C4B" w14:paraId="77A6B82B" w14:textId="77777777">
        <w:trPr>
          <w:trHeight w:val="284"/>
          <w:jc w:val="center"/>
        </w:trPr>
        <w:tc>
          <w:tcPr>
            <w:tcW w:w="4115" w:type="dxa"/>
          </w:tcPr>
          <w:p w14:paraId="122743CC" w14:textId="77777777" w:rsidR="00FF0AE3" w:rsidRPr="00817C4B" w:rsidRDefault="00FF0AE3" w:rsidP="00744E82">
            <w:pPr>
              <w:spacing w:line="480" w:lineRule="auto"/>
              <w:ind w:left="131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Central vascular catheter</w:t>
            </w:r>
          </w:p>
        </w:tc>
        <w:tc>
          <w:tcPr>
            <w:tcW w:w="1241" w:type="dxa"/>
            <w:noWrap/>
          </w:tcPr>
          <w:p w14:paraId="0760B35E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63 (32.8)</w:t>
            </w:r>
          </w:p>
        </w:tc>
        <w:tc>
          <w:tcPr>
            <w:tcW w:w="1331" w:type="dxa"/>
            <w:noWrap/>
          </w:tcPr>
          <w:p w14:paraId="23CDD0DA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14 (21.5)</w:t>
            </w:r>
          </w:p>
        </w:tc>
        <w:tc>
          <w:tcPr>
            <w:tcW w:w="1015" w:type="dxa"/>
            <w:noWrap/>
          </w:tcPr>
          <w:p w14:paraId="29D1FB69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0.0</w:t>
            </w:r>
            <w:r w:rsidR="007A31BD">
              <w:rPr>
                <w:rFonts w:ascii="Times New Roman" w:hAnsi="Times New Roman"/>
                <w:sz w:val="18"/>
                <w:lang w:val="en-GB"/>
              </w:rPr>
              <w:t>9</w:t>
            </w:r>
          </w:p>
        </w:tc>
      </w:tr>
      <w:tr w:rsidR="00FF0AE3" w:rsidRPr="00817C4B" w14:paraId="21AF0194" w14:textId="77777777">
        <w:trPr>
          <w:trHeight w:val="284"/>
          <w:jc w:val="center"/>
        </w:trPr>
        <w:tc>
          <w:tcPr>
            <w:tcW w:w="4115" w:type="dxa"/>
          </w:tcPr>
          <w:p w14:paraId="51F43F55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Previous urinary bladder catheter</w:t>
            </w:r>
          </w:p>
        </w:tc>
        <w:tc>
          <w:tcPr>
            <w:tcW w:w="1241" w:type="dxa"/>
            <w:noWrap/>
          </w:tcPr>
          <w:p w14:paraId="222E8782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75 (39.1)</w:t>
            </w:r>
          </w:p>
        </w:tc>
        <w:tc>
          <w:tcPr>
            <w:tcW w:w="1331" w:type="dxa"/>
            <w:noWrap/>
          </w:tcPr>
          <w:p w14:paraId="6E1141B8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31 (47.7)</w:t>
            </w:r>
          </w:p>
        </w:tc>
        <w:tc>
          <w:tcPr>
            <w:tcW w:w="1015" w:type="dxa"/>
            <w:noWrap/>
          </w:tcPr>
          <w:p w14:paraId="2713123A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0.222</w:t>
            </w:r>
          </w:p>
        </w:tc>
      </w:tr>
      <w:tr w:rsidR="00FF0AE3" w:rsidRPr="00817C4B" w14:paraId="081BFEDB" w14:textId="77777777">
        <w:trPr>
          <w:trHeight w:val="284"/>
          <w:jc w:val="center"/>
        </w:trPr>
        <w:tc>
          <w:tcPr>
            <w:tcW w:w="4115" w:type="dxa"/>
          </w:tcPr>
          <w:p w14:paraId="51DC61AF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Previous admission (30 days)</w:t>
            </w:r>
          </w:p>
        </w:tc>
        <w:tc>
          <w:tcPr>
            <w:tcW w:w="1241" w:type="dxa"/>
            <w:noWrap/>
          </w:tcPr>
          <w:p w14:paraId="0E9C4507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67 (34.9)</w:t>
            </w:r>
          </w:p>
        </w:tc>
        <w:tc>
          <w:tcPr>
            <w:tcW w:w="1331" w:type="dxa"/>
            <w:noWrap/>
          </w:tcPr>
          <w:p w14:paraId="1C10D7D7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20 (30.8)</w:t>
            </w:r>
          </w:p>
        </w:tc>
        <w:tc>
          <w:tcPr>
            <w:tcW w:w="1015" w:type="dxa"/>
            <w:noWrap/>
          </w:tcPr>
          <w:p w14:paraId="4D3512B8" w14:textId="77777777" w:rsidR="00FF0AE3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FF0AE3" w:rsidRPr="00817C4B" w14:paraId="55E455D1" w14:textId="77777777">
        <w:trPr>
          <w:trHeight w:val="284"/>
          <w:jc w:val="center"/>
        </w:trPr>
        <w:tc>
          <w:tcPr>
            <w:tcW w:w="4115" w:type="dxa"/>
          </w:tcPr>
          <w:p w14:paraId="350CBB27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Previous antibiotic treatment (30 days)</w:t>
            </w:r>
          </w:p>
        </w:tc>
        <w:tc>
          <w:tcPr>
            <w:tcW w:w="1241" w:type="dxa"/>
            <w:noWrap/>
          </w:tcPr>
          <w:p w14:paraId="4474855C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61 (31.8)</w:t>
            </w:r>
          </w:p>
        </w:tc>
        <w:tc>
          <w:tcPr>
            <w:tcW w:w="1331" w:type="dxa"/>
            <w:noWrap/>
          </w:tcPr>
          <w:p w14:paraId="452CEB1F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22 (33.8)</w:t>
            </w:r>
          </w:p>
        </w:tc>
        <w:tc>
          <w:tcPr>
            <w:tcW w:w="1015" w:type="dxa"/>
            <w:noWrap/>
          </w:tcPr>
          <w:p w14:paraId="6744CFCA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</w:t>
            </w:r>
            <w:r w:rsidR="007A31BD">
              <w:rPr>
                <w:rFonts w:ascii="Times New Roman" w:hAnsi="Times New Roman"/>
                <w:sz w:val="18"/>
                <w:lang w:val="en-GB"/>
              </w:rPr>
              <w:t>8</w:t>
            </w:r>
          </w:p>
        </w:tc>
      </w:tr>
      <w:tr w:rsidR="00FF0AE3" w:rsidRPr="00817C4B" w14:paraId="7D087B5B" w14:textId="77777777">
        <w:trPr>
          <w:trHeight w:val="284"/>
          <w:jc w:val="center"/>
        </w:trPr>
        <w:tc>
          <w:tcPr>
            <w:tcW w:w="4115" w:type="dxa"/>
          </w:tcPr>
          <w:p w14:paraId="33BD202C" w14:textId="77777777" w:rsidR="00FF0AE3" w:rsidRPr="00817C4B" w:rsidRDefault="00830D4C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Immunosuppressant</w:t>
            </w:r>
            <w:r w:rsidR="00FF0AE3" w:rsidRPr="00817C4B">
              <w:rPr>
                <w:rFonts w:ascii="Times New Roman" w:hAnsi="Times New Roman"/>
                <w:sz w:val="18"/>
                <w:lang w:val="en-GB"/>
              </w:rPr>
              <w:t xml:space="preserve"> treatment</w:t>
            </w:r>
          </w:p>
        </w:tc>
        <w:tc>
          <w:tcPr>
            <w:tcW w:w="1241" w:type="dxa"/>
            <w:noWrap/>
          </w:tcPr>
          <w:p w14:paraId="79880B60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41 (21.4)</w:t>
            </w:r>
          </w:p>
        </w:tc>
        <w:tc>
          <w:tcPr>
            <w:tcW w:w="1331" w:type="dxa"/>
            <w:noWrap/>
          </w:tcPr>
          <w:p w14:paraId="73296872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15 (23.1)</w:t>
            </w:r>
          </w:p>
        </w:tc>
        <w:tc>
          <w:tcPr>
            <w:tcW w:w="1015" w:type="dxa"/>
            <w:noWrap/>
          </w:tcPr>
          <w:p w14:paraId="1698BFF3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</w:t>
            </w:r>
            <w:r w:rsidR="007A31BD">
              <w:rPr>
                <w:rFonts w:ascii="Times New Roman" w:hAnsi="Times New Roman"/>
                <w:sz w:val="18"/>
                <w:lang w:val="en-GB"/>
              </w:rPr>
              <w:t>8</w:t>
            </w:r>
          </w:p>
        </w:tc>
      </w:tr>
      <w:tr w:rsidR="00FF0AE3" w:rsidRPr="00817C4B" w14:paraId="0ACCB2D3" w14:textId="77777777">
        <w:trPr>
          <w:trHeight w:val="284"/>
          <w:jc w:val="center"/>
        </w:trPr>
        <w:tc>
          <w:tcPr>
            <w:tcW w:w="4115" w:type="dxa"/>
          </w:tcPr>
          <w:p w14:paraId="49714719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Previous surgery</w:t>
            </w:r>
          </w:p>
        </w:tc>
        <w:tc>
          <w:tcPr>
            <w:tcW w:w="1241" w:type="dxa"/>
            <w:noWrap/>
          </w:tcPr>
          <w:p w14:paraId="19C1596F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34 (17.7)</w:t>
            </w:r>
          </w:p>
        </w:tc>
        <w:tc>
          <w:tcPr>
            <w:tcW w:w="1331" w:type="dxa"/>
            <w:noWrap/>
          </w:tcPr>
          <w:p w14:paraId="2990B883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9 (13.8)</w:t>
            </w:r>
          </w:p>
        </w:tc>
        <w:tc>
          <w:tcPr>
            <w:tcW w:w="1015" w:type="dxa"/>
            <w:noWrap/>
          </w:tcPr>
          <w:p w14:paraId="3003547B" w14:textId="77777777" w:rsidR="00FF0AE3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0.5</w:t>
            </w:r>
          </w:p>
        </w:tc>
      </w:tr>
      <w:tr w:rsidR="00FF0AE3" w:rsidRPr="00817C4B" w14:paraId="4B3AF018" w14:textId="77777777">
        <w:trPr>
          <w:trHeight w:val="284"/>
          <w:jc w:val="center"/>
        </w:trPr>
        <w:tc>
          <w:tcPr>
            <w:tcW w:w="4115" w:type="dxa"/>
          </w:tcPr>
          <w:p w14:paraId="69F50EB5" w14:textId="77777777" w:rsidR="00FF0AE3" w:rsidRPr="00817C4B" w:rsidRDefault="00FF0AE3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Neutropenia</w:t>
            </w:r>
          </w:p>
        </w:tc>
        <w:tc>
          <w:tcPr>
            <w:tcW w:w="1241" w:type="dxa"/>
            <w:noWrap/>
          </w:tcPr>
          <w:p w14:paraId="79422F96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7 (3.6)</w:t>
            </w:r>
          </w:p>
        </w:tc>
        <w:tc>
          <w:tcPr>
            <w:tcW w:w="1331" w:type="dxa"/>
            <w:noWrap/>
          </w:tcPr>
          <w:p w14:paraId="7B2874AA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4 (6.2)</w:t>
            </w:r>
          </w:p>
        </w:tc>
        <w:tc>
          <w:tcPr>
            <w:tcW w:w="1015" w:type="dxa"/>
            <w:noWrap/>
          </w:tcPr>
          <w:p w14:paraId="5A10A29B" w14:textId="77777777" w:rsidR="00FF0AE3" w:rsidRPr="00817C4B" w:rsidRDefault="00FF0AE3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</w:t>
            </w:r>
            <w:r w:rsidR="007A31BD">
              <w:rPr>
                <w:rFonts w:ascii="Times New Roman" w:hAnsi="Times New Roman"/>
                <w:sz w:val="18"/>
                <w:lang w:val="en-GB"/>
              </w:rPr>
              <w:t>5</w:t>
            </w:r>
          </w:p>
        </w:tc>
      </w:tr>
      <w:tr w:rsidR="00744E82" w:rsidRPr="00817C4B" w14:paraId="280521C1" w14:textId="77777777">
        <w:trPr>
          <w:trHeight w:val="284"/>
          <w:jc w:val="center"/>
        </w:trPr>
        <w:tc>
          <w:tcPr>
            <w:tcW w:w="4115" w:type="dxa"/>
          </w:tcPr>
          <w:p w14:paraId="2F19B61E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Focus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: </w:t>
            </w:r>
            <w:r w:rsidRPr="00817C4B">
              <w:rPr>
                <w:rFonts w:ascii="Times New Roman" w:hAnsi="Times New Roman"/>
                <w:sz w:val="18"/>
                <w:lang w:val="en-GB"/>
              </w:rPr>
              <w:t>Pulmonary</w:t>
            </w:r>
          </w:p>
        </w:tc>
        <w:tc>
          <w:tcPr>
            <w:tcW w:w="1241" w:type="dxa"/>
            <w:noWrap/>
          </w:tcPr>
          <w:p w14:paraId="086C57DF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28 (14.6)</w:t>
            </w:r>
          </w:p>
        </w:tc>
        <w:tc>
          <w:tcPr>
            <w:tcW w:w="1331" w:type="dxa"/>
            <w:noWrap/>
          </w:tcPr>
          <w:p w14:paraId="3F73B79D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18 (27.7)</w:t>
            </w:r>
          </w:p>
        </w:tc>
        <w:tc>
          <w:tcPr>
            <w:tcW w:w="1015" w:type="dxa"/>
            <w:noWrap/>
          </w:tcPr>
          <w:p w14:paraId="5557E550" w14:textId="77777777" w:rsidR="00744E82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0.02</w:t>
            </w:r>
          </w:p>
        </w:tc>
      </w:tr>
      <w:tr w:rsidR="00744E82" w:rsidRPr="00817C4B" w14:paraId="33A6F474" w14:textId="77777777">
        <w:trPr>
          <w:trHeight w:val="284"/>
          <w:jc w:val="center"/>
        </w:trPr>
        <w:tc>
          <w:tcPr>
            <w:tcW w:w="4115" w:type="dxa"/>
          </w:tcPr>
          <w:p w14:paraId="67ECADF8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Shock at presentation</w:t>
            </w:r>
          </w:p>
        </w:tc>
        <w:tc>
          <w:tcPr>
            <w:tcW w:w="1241" w:type="dxa"/>
            <w:noWrap/>
          </w:tcPr>
          <w:p w14:paraId="7DDB0085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31 (16.1)</w:t>
            </w:r>
          </w:p>
        </w:tc>
        <w:tc>
          <w:tcPr>
            <w:tcW w:w="1331" w:type="dxa"/>
            <w:noWrap/>
          </w:tcPr>
          <w:p w14:paraId="55AFF111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33 (50.8)</w:t>
            </w:r>
          </w:p>
        </w:tc>
        <w:tc>
          <w:tcPr>
            <w:tcW w:w="1015" w:type="dxa"/>
            <w:noWrap/>
          </w:tcPr>
          <w:p w14:paraId="59BFF1AA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&lt; 0.0001</w:t>
            </w:r>
          </w:p>
        </w:tc>
      </w:tr>
      <w:tr w:rsidR="00744E82" w:rsidRPr="00817C4B" w14:paraId="2EA380DB" w14:textId="77777777">
        <w:trPr>
          <w:trHeight w:val="284"/>
          <w:jc w:val="center"/>
        </w:trPr>
        <w:tc>
          <w:tcPr>
            <w:tcW w:w="4115" w:type="dxa"/>
          </w:tcPr>
          <w:p w14:paraId="26FCDCFC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DIC at presentation</w:t>
            </w:r>
          </w:p>
        </w:tc>
        <w:tc>
          <w:tcPr>
            <w:tcW w:w="1241" w:type="dxa"/>
            <w:noWrap/>
          </w:tcPr>
          <w:p w14:paraId="4DB67707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19 (9.9)</w:t>
            </w:r>
          </w:p>
        </w:tc>
        <w:tc>
          <w:tcPr>
            <w:tcW w:w="1331" w:type="dxa"/>
            <w:noWrap/>
          </w:tcPr>
          <w:p w14:paraId="6C012C52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17 (26.2)</w:t>
            </w:r>
          </w:p>
        </w:tc>
        <w:tc>
          <w:tcPr>
            <w:tcW w:w="1015" w:type="dxa"/>
            <w:noWrap/>
          </w:tcPr>
          <w:p w14:paraId="040E2B65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0.001</w:t>
            </w:r>
          </w:p>
        </w:tc>
      </w:tr>
      <w:tr w:rsidR="00744E82" w:rsidRPr="00817C4B" w14:paraId="4145C738" w14:textId="77777777">
        <w:trPr>
          <w:trHeight w:val="284"/>
          <w:jc w:val="center"/>
        </w:trPr>
        <w:tc>
          <w:tcPr>
            <w:tcW w:w="4115" w:type="dxa"/>
          </w:tcPr>
          <w:p w14:paraId="5193301E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ARDS at presentation</w:t>
            </w:r>
          </w:p>
        </w:tc>
        <w:tc>
          <w:tcPr>
            <w:tcW w:w="1241" w:type="dxa"/>
            <w:noWrap/>
          </w:tcPr>
          <w:p w14:paraId="16A9D195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23 (12.0)</w:t>
            </w:r>
          </w:p>
        </w:tc>
        <w:tc>
          <w:tcPr>
            <w:tcW w:w="1331" w:type="dxa"/>
            <w:noWrap/>
          </w:tcPr>
          <w:p w14:paraId="0BD9FD13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26 (40.0)</w:t>
            </w:r>
          </w:p>
        </w:tc>
        <w:tc>
          <w:tcPr>
            <w:tcW w:w="1015" w:type="dxa"/>
            <w:noWrap/>
          </w:tcPr>
          <w:p w14:paraId="44CE815E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&lt; 0.0001</w:t>
            </w:r>
          </w:p>
        </w:tc>
      </w:tr>
      <w:tr w:rsidR="00744E82" w:rsidRPr="00817C4B" w14:paraId="57B86795" w14:textId="77777777">
        <w:trPr>
          <w:trHeight w:val="284"/>
          <w:jc w:val="center"/>
        </w:trPr>
        <w:tc>
          <w:tcPr>
            <w:tcW w:w="4115" w:type="dxa"/>
          </w:tcPr>
          <w:p w14:paraId="2CF8818B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Pitt Bacteraemia Score, median (interquartile range)</w:t>
            </w:r>
          </w:p>
        </w:tc>
        <w:tc>
          <w:tcPr>
            <w:tcW w:w="1241" w:type="dxa"/>
            <w:noWrap/>
          </w:tcPr>
          <w:p w14:paraId="548E6EF0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 (3)</w:t>
            </w:r>
          </w:p>
        </w:tc>
        <w:tc>
          <w:tcPr>
            <w:tcW w:w="1331" w:type="dxa"/>
            <w:noWrap/>
          </w:tcPr>
          <w:p w14:paraId="7742C4ED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 (4)</w:t>
            </w:r>
          </w:p>
        </w:tc>
        <w:tc>
          <w:tcPr>
            <w:tcW w:w="1015" w:type="dxa"/>
            <w:noWrap/>
          </w:tcPr>
          <w:p w14:paraId="5789ACD6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&lt; 0.0001</w:t>
            </w:r>
          </w:p>
        </w:tc>
      </w:tr>
      <w:tr w:rsidR="00744E82" w:rsidRPr="00817C4B" w14:paraId="3B6B4606" w14:textId="77777777">
        <w:trPr>
          <w:trHeight w:val="284"/>
          <w:jc w:val="center"/>
        </w:trPr>
        <w:tc>
          <w:tcPr>
            <w:tcW w:w="4115" w:type="dxa"/>
          </w:tcPr>
          <w:p w14:paraId="586A90CD" w14:textId="77777777" w:rsidR="00744E82" w:rsidRPr="00817C4B" w:rsidRDefault="00744E82" w:rsidP="00744E82">
            <w:pPr>
              <w:spacing w:line="480" w:lineRule="auto"/>
              <w:ind w:left="131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Pitt Bacteraemia Score: ≥ 2</w:t>
            </w:r>
          </w:p>
        </w:tc>
        <w:tc>
          <w:tcPr>
            <w:tcW w:w="1241" w:type="dxa"/>
            <w:noWrap/>
          </w:tcPr>
          <w:p w14:paraId="0B41E1DE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61 (31.9)</w:t>
            </w:r>
          </w:p>
        </w:tc>
        <w:tc>
          <w:tcPr>
            <w:tcW w:w="1331" w:type="dxa"/>
            <w:noWrap/>
          </w:tcPr>
          <w:p w14:paraId="7982A982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39 (60.0)</w:t>
            </w:r>
          </w:p>
        </w:tc>
        <w:tc>
          <w:tcPr>
            <w:tcW w:w="1015" w:type="dxa"/>
            <w:noWrap/>
          </w:tcPr>
          <w:p w14:paraId="24ADD258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&lt; 0.0001</w:t>
            </w:r>
          </w:p>
        </w:tc>
      </w:tr>
      <w:tr w:rsidR="00744E82" w:rsidRPr="00817C4B" w14:paraId="2D7678DC" w14:textId="77777777">
        <w:trPr>
          <w:trHeight w:val="284"/>
          <w:jc w:val="center"/>
        </w:trPr>
        <w:tc>
          <w:tcPr>
            <w:tcW w:w="4115" w:type="dxa"/>
          </w:tcPr>
          <w:p w14:paraId="1D6A15AB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Embolic phenomena</w:t>
            </w:r>
          </w:p>
        </w:tc>
        <w:tc>
          <w:tcPr>
            <w:tcW w:w="1241" w:type="dxa"/>
            <w:noWrap/>
          </w:tcPr>
          <w:p w14:paraId="09CE1186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27 (14.1)</w:t>
            </w:r>
          </w:p>
        </w:tc>
        <w:tc>
          <w:tcPr>
            <w:tcW w:w="1331" w:type="dxa"/>
            <w:noWrap/>
          </w:tcPr>
          <w:p w14:paraId="4182F156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9 (13.8)</w:t>
            </w:r>
          </w:p>
        </w:tc>
        <w:tc>
          <w:tcPr>
            <w:tcW w:w="1015" w:type="dxa"/>
            <w:noWrap/>
          </w:tcPr>
          <w:p w14:paraId="577137CC" w14:textId="77777777" w:rsidR="00744E82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</w:tr>
      <w:tr w:rsidR="00744E82" w:rsidRPr="00817C4B" w14:paraId="2B390E7B" w14:textId="77777777">
        <w:trPr>
          <w:trHeight w:val="284"/>
          <w:jc w:val="center"/>
        </w:trPr>
        <w:tc>
          <w:tcPr>
            <w:tcW w:w="4115" w:type="dxa"/>
          </w:tcPr>
          <w:p w14:paraId="35074B0B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Persistent bacteraemia</w:t>
            </w:r>
          </w:p>
        </w:tc>
        <w:tc>
          <w:tcPr>
            <w:tcW w:w="1241" w:type="dxa"/>
            <w:noWrap/>
          </w:tcPr>
          <w:p w14:paraId="73D6A488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31 (16.1)</w:t>
            </w:r>
          </w:p>
        </w:tc>
        <w:tc>
          <w:tcPr>
            <w:tcW w:w="1331" w:type="dxa"/>
            <w:noWrap/>
          </w:tcPr>
          <w:p w14:paraId="0C72F6D0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18 (27.7)</w:t>
            </w:r>
          </w:p>
        </w:tc>
        <w:tc>
          <w:tcPr>
            <w:tcW w:w="1015" w:type="dxa"/>
            <w:noWrap/>
          </w:tcPr>
          <w:p w14:paraId="3173315A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0.04</w:t>
            </w:r>
          </w:p>
        </w:tc>
      </w:tr>
      <w:tr w:rsidR="00744E82" w:rsidRPr="00817C4B" w14:paraId="4F390620" w14:textId="77777777">
        <w:trPr>
          <w:trHeight w:val="284"/>
          <w:jc w:val="center"/>
        </w:trPr>
        <w:tc>
          <w:tcPr>
            <w:tcW w:w="4115" w:type="dxa"/>
          </w:tcPr>
          <w:p w14:paraId="46ED54C8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Appropriate empirical antibiotic treatment</w:t>
            </w:r>
          </w:p>
        </w:tc>
        <w:tc>
          <w:tcPr>
            <w:tcW w:w="1241" w:type="dxa"/>
            <w:noWrap/>
          </w:tcPr>
          <w:p w14:paraId="19DA5D2B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138 (71.9)</w:t>
            </w:r>
          </w:p>
        </w:tc>
        <w:tc>
          <w:tcPr>
            <w:tcW w:w="1331" w:type="dxa"/>
            <w:noWrap/>
          </w:tcPr>
          <w:p w14:paraId="6934EC4C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42 (64.6)</w:t>
            </w:r>
          </w:p>
        </w:tc>
        <w:tc>
          <w:tcPr>
            <w:tcW w:w="1015" w:type="dxa"/>
            <w:noWrap/>
          </w:tcPr>
          <w:p w14:paraId="2E5A09DC" w14:textId="77777777" w:rsidR="00744E82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0.3</w:t>
            </w:r>
          </w:p>
        </w:tc>
      </w:tr>
      <w:tr w:rsidR="00744E82" w:rsidRPr="00817C4B" w14:paraId="54C9364D" w14:textId="77777777">
        <w:trPr>
          <w:trHeight w:val="284"/>
          <w:jc w:val="center"/>
        </w:trPr>
        <w:tc>
          <w:tcPr>
            <w:tcW w:w="4115" w:type="dxa"/>
          </w:tcPr>
          <w:p w14:paraId="59ACE539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 xml:space="preserve">Methicillin resistant </w:t>
            </w:r>
            <w:proofErr w:type="spellStart"/>
            <w:r w:rsidRPr="00817C4B">
              <w:rPr>
                <w:rFonts w:ascii="Times New Roman" w:hAnsi="Times New Roman"/>
                <w:i/>
                <w:iCs/>
                <w:sz w:val="18"/>
                <w:lang w:val="en-GB"/>
              </w:rPr>
              <w:t>S.aureus</w:t>
            </w:r>
            <w:proofErr w:type="spellEnd"/>
          </w:p>
        </w:tc>
        <w:tc>
          <w:tcPr>
            <w:tcW w:w="1241" w:type="dxa"/>
            <w:noWrap/>
          </w:tcPr>
          <w:p w14:paraId="58E28F40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55 (28.6)</w:t>
            </w:r>
          </w:p>
        </w:tc>
        <w:tc>
          <w:tcPr>
            <w:tcW w:w="1331" w:type="dxa"/>
            <w:noWrap/>
          </w:tcPr>
          <w:p w14:paraId="069E7866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24 (37.5)</w:t>
            </w:r>
          </w:p>
        </w:tc>
        <w:tc>
          <w:tcPr>
            <w:tcW w:w="1015" w:type="dxa"/>
            <w:noWrap/>
          </w:tcPr>
          <w:p w14:paraId="087D94FC" w14:textId="77777777" w:rsidR="00744E82" w:rsidRPr="00817C4B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0.2</w:t>
            </w:r>
          </w:p>
        </w:tc>
      </w:tr>
      <w:tr w:rsidR="00744E82" w:rsidRPr="00817C4B" w14:paraId="75EC6A52" w14:textId="77777777">
        <w:trPr>
          <w:trHeight w:val="284"/>
          <w:jc w:val="center"/>
        </w:trPr>
        <w:tc>
          <w:tcPr>
            <w:tcW w:w="4115" w:type="dxa"/>
          </w:tcPr>
          <w:p w14:paraId="46350F00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proofErr w:type="spellStart"/>
            <w:r w:rsidRPr="00817C4B">
              <w:rPr>
                <w:rFonts w:ascii="Times New Roman" w:hAnsi="Times New Roman"/>
                <w:sz w:val="18"/>
                <w:lang w:val="en-GB"/>
              </w:rPr>
              <w:t>Vancomycin</w:t>
            </w:r>
            <w:proofErr w:type="spellEnd"/>
            <w:r w:rsidRPr="00817C4B">
              <w:rPr>
                <w:rFonts w:ascii="Times New Roman" w:hAnsi="Times New Roman"/>
                <w:sz w:val="18"/>
                <w:lang w:val="en-GB"/>
              </w:rPr>
              <w:t xml:space="preserve"> MIC &gt; 1</w:t>
            </w:r>
          </w:p>
        </w:tc>
        <w:tc>
          <w:tcPr>
            <w:tcW w:w="1241" w:type="dxa"/>
            <w:noWrap/>
          </w:tcPr>
          <w:p w14:paraId="7C8D4378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29 (30.5)</w:t>
            </w:r>
          </w:p>
        </w:tc>
        <w:tc>
          <w:tcPr>
            <w:tcW w:w="1331" w:type="dxa"/>
            <w:noWrap/>
          </w:tcPr>
          <w:p w14:paraId="526255F1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10 (27.8)</w:t>
            </w:r>
          </w:p>
        </w:tc>
        <w:tc>
          <w:tcPr>
            <w:tcW w:w="1015" w:type="dxa"/>
            <w:noWrap/>
          </w:tcPr>
          <w:p w14:paraId="2187E86D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</w:t>
            </w:r>
            <w:r w:rsidR="007A31BD">
              <w:rPr>
                <w:rFonts w:ascii="Times New Roman" w:hAnsi="Times New Roman"/>
                <w:sz w:val="18"/>
                <w:lang w:val="en-GB"/>
              </w:rPr>
              <w:t>8</w:t>
            </w:r>
          </w:p>
        </w:tc>
      </w:tr>
      <w:tr w:rsidR="00744E82" w:rsidRPr="00817C4B" w14:paraId="54871B02" w14:textId="77777777">
        <w:trPr>
          <w:trHeight w:val="284"/>
          <w:jc w:val="center"/>
        </w:trPr>
        <w:tc>
          <w:tcPr>
            <w:tcW w:w="4115" w:type="dxa"/>
          </w:tcPr>
          <w:p w14:paraId="09B7CBFF" w14:textId="77777777" w:rsidR="00744E82" w:rsidRPr="00817C4B" w:rsidRDefault="00744E82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ICU admission during follow-up</w:t>
            </w:r>
          </w:p>
        </w:tc>
        <w:tc>
          <w:tcPr>
            <w:tcW w:w="1241" w:type="dxa"/>
            <w:noWrap/>
          </w:tcPr>
          <w:p w14:paraId="6B19A105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24 (12.5)</w:t>
            </w:r>
          </w:p>
        </w:tc>
        <w:tc>
          <w:tcPr>
            <w:tcW w:w="1331" w:type="dxa"/>
            <w:noWrap/>
          </w:tcPr>
          <w:p w14:paraId="51431D2C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9 (14.1)</w:t>
            </w:r>
          </w:p>
        </w:tc>
        <w:tc>
          <w:tcPr>
            <w:tcW w:w="1015" w:type="dxa"/>
            <w:noWrap/>
          </w:tcPr>
          <w:p w14:paraId="16C3119B" w14:textId="77777777" w:rsidR="00744E82" w:rsidRPr="00817C4B" w:rsidRDefault="00744E82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0.7</w:t>
            </w:r>
          </w:p>
        </w:tc>
      </w:tr>
      <w:tr w:rsidR="001F54F0" w:rsidRPr="001D7CEC" w14:paraId="6CEC25CE" w14:textId="77777777">
        <w:trPr>
          <w:trHeight w:val="284"/>
          <w:jc w:val="center"/>
        </w:trPr>
        <w:tc>
          <w:tcPr>
            <w:tcW w:w="4115" w:type="dxa"/>
          </w:tcPr>
          <w:p w14:paraId="5E24024D" w14:textId="77777777" w:rsidR="001F54F0" w:rsidRPr="00817C4B" w:rsidRDefault="001F54F0" w:rsidP="00744E82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Mechanical ventilation during follow-up</w:t>
            </w:r>
          </w:p>
        </w:tc>
        <w:tc>
          <w:tcPr>
            <w:tcW w:w="1241" w:type="dxa"/>
            <w:noWrap/>
          </w:tcPr>
          <w:p w14:paraId="2679375D" w14:textId="77777777" w:rsidR="001F54F0" w:rsidRPr="00817C4B" w:rsidRDefault="001F54F0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19 (9.9)</w:t>
            </w:r>
          </w:p>
        </w:tc>
        <w:tc>
          <w:tcPr>
            <w:tcW w:w="1331" w:type="dxa"/>
            <w:noWrap/>
          </w:tcPr>
          <w:p w14:paraId="134DBA23" w14:textId="77777777" w:rsidR="001F54F0" w:rsidRPr="00817C4B" w:rsidRDefault="001F54F0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17C4B">
              <w:rPr>
                <w:rFonts w:ascii="Times New Roman" w:hAnsi="Times New Roman"/>
                <w:sz w:val="18"/>
                <w:lang w:val="en-GB"/>
              </w:rPr>
              <w:t>9 (14.1)</w:t>
            </w:r>
          </w:p>
        </w:tc>
        <w:tc>
          <w:tcPr>
            <w:tcW w:w="1015" w:type="dxa"/>
            <w:noWrap/>
          </w:tcPr>
          <w:p w14:paraId="27EA91E7" w14:textId="77777777" w:rsidR="001F54F0" w:rsidRPr="001D7CEC" w:rsidRDefault="007A31BD" w:rsidP="00744E82">
            <w:pPr>
              <w:spacing w:line="480" w:lineRule="auto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0.4</w:t>
            </w:r>
          </w:p>
        </w:tc>
      </w:tr>
      <w:tr w:rsidR="001F54F0" w:rsidRPr="001D7CEC" w14:paraId="70F86DA9" w14:textId="77777777">
        <w:trPr>
          <w:trHeight w:val="284"/>
          <w:jc w:val="center"/>
        </w:trPr>
        <w:tc>
          <w:tcPr>
            <w:tcW w:w="7702" w:type="dxa"/>
            <w:gridSpan w:val="4"/>
          </w:tcPr>
          <w:p w14:paraId="3A733657" w14:textId="77777777" w:rsidR="001F54F0" w:rsidRPr="00817C4B" w:rsidRDefault="005C128C" w:rsidP="005C128C">
            <w:pPr>
              <w:spacing w:line="480" w:lineRule="auto"/>
              <w:rPr>
                <w:rFonts w:ascii="Times New Roman" w:hAnsi="Times New Roman"/>
                <w:sz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vertAlign w:val="superscript"/>
                <w:lang w:val="en-GB"/>
              </w:rPr>
              <w:t>a</w:t>
            </w:r>
            <w:proofErr w:type="gramEnd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 xml:space="preserve"> To calculate CCI the following comorbid conditions were mutually exclusive: diabetes with chronic complications and diabetes without chronic complications; mild liver disease and moderate or severe liver disease; and any malignancy and metastatic solid tumour. </w:t>
            </w:r>
            <w:r w:rsidR="001F54F0" w:rsidRPr="001D7CEC">
              <w:rPr>
                <w:rFonts w:ascii="Times New Roman" w:hAnsi="Times New Roman"/>
                <w:sz w:val="18"/>
                <w:lang w:val="en-GB"/>
              </w:rPr>
              <w:br/>
              <w:t xml:space="preserve">Abbreviations: </w:t>
            </w:r>
            <w:proofErr w:type="spellStart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>cCCI</w:t>
            </w:r>
            <w:proofErr w:type="spellEnd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 xml:space="preserve">= classical </w:t>
            </w:r>
            <w:proofErr w:type="spellStart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>Charlson</w:t>
            </w:r>
            <w:proofErr w:type="spellEnd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 xml:space="preserve"> comorbidity index; </w:t>
            </w:r>
            <w:proofErr w:type="spellStart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>uCCI</w:t>
            </w:r>
            <w:proofErr w:type="spellEnd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 xml:space="preserve">= updated </w:t>
            </w:r>
            <w:proofErr w:type="spellStart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>Charlson</w:t>
            </w:r>
            <w:proofErr w:type="spellEnd"/>
            <w:r w:rsidR="001F54F0" w:rsidRPr="001D7CEC">
              <w:rPr>
                <w:rFonts w:ascii="Times New Roman" w:hAnsi="Times New Roman"/>
                <w:sz w:val="18"/>
                <w:lang w:val="en-GB"/>
              </w:rPr>
              <w:t xml:space="preserve"> comorbidity index. DIC= disseminated intravascular coagulation. ARDS= acute respiratory distress syndrome. MIC= minimum inhibitory concentration.</w:t>
            </w:r>
            <w:r w:rsidR="004F0301">
              <w:rPr>
                <w:rFonts w:ascii="Times New Roman" w:hAnsi="Times New Roman"/>
                <w:sz w:val="18"/>
                <w:lang w:val="en-GB"/>
              </w:rPr>
              <w:t xml:space="preserve"> </w:t>
            </w:r>
            <w:r w:rsidRPr="001D7CEC">
              <w:rPr>
                <w:rFonts w:ascii="Times New Roman" w:hAnsi="Times New Roman"/>
                <w:sz w:val="18"/>
                <w:lang w:val="en-GB"/>
              </w:rPr>
              <w:t xml:space="preserve">ICU= intensive care unit. </w:t>
            </w:r>
          </w:p>
        </w:tc>
      </w:tr>
    </w:tbl>
    <w:p w14:paraId="0593E63B" w14:textId="77777777" w:rsidR="00FF0AE3" w:rsidRDefault="00FF0AE3" w:rsidP="009A3885">
      <w:pPr>
        <w:spacing w:line="480" w:lineRule="auto"/>
        <w:rPr>
          <w:rFonts w:ascii="Times New Roman" w:hAnsi="Times New Roman"/>
          <w:noProof/>
          <w:sz w:val="18"/>
          <w:lang w:val="en-GB"/>
        </w:rPr>
      </w:pPr>
    </w:p>
    <w:p w14:paraId="15F42666" w14:textId="77777777" w:rsidR="00EE2BA1" w:rsidRDefault="00FF0AE3" w:rsidP="00FF0AE3">
      <w:pPr>
        <w:spacing w:line="480" w:lineRule="auto"/>
        <w:rPr>
          <w:rFonts w:ascii="Times New Roman" w:hAnsi="Times New Roman"/>
          <w:noProof/>
          <w:sz w:val="18"/>
          <w:lang w:val="en-GB"/>
        </w:rPr>
      </w:pPr>
      <w:r w:rsidRPr="001D7CEC">
        <w:rPr>
          <w:rFonts w:ascii="Times New Roman" w:hAnsi="Times New Roman"/>
          <w:sz w:val="18"/>
          <w:lang w:val="en-GB"/>
        </w:rPr>
        <w:t xml:space="preserve"> </w:t>
      </w:r>
      <w:bookmarkStart w:id="0" w:name="_GoBack"/>
      <w:bookmarkEnd w:id="0"/>
    </w:p>
    <w:sectPr w:rsidR="00EE2BA1" w:rsidSect="00E6659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41E6E"/>
    <w:multiLevelType w:val="hybridMultilevel"/>
    <w:tmpl w:val="ED16F2EC"/>
    <w:lvl w:ilvl="0" w:tplc="CB20416A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07085"/>
    <w:rsid w:val="00001549"/>
    <w:rsid w:val="00075834"/>
    <w:rsid w:val="00075AE7"/>
    <w:rsid w:val="000C1120"/>
    <w:rsid w:val="000C523C"/>
    <w:rsid w:val="000E19CB"/>
    <w:rsid w:val="000E6147"/>
    <w:rsid w:val="000E7337"/>
    <w:rsid w:val="000F4D5F"/>
    <w:rsid w:val="001050C8"/>
    <w:rsid w:val="001C6431"/>
    <w:rsid w:val="001F54F0"/>
    <w:rsid w:val="00206BFD"/>
    <w:rsid w:val="002171F4"/>
    <w:rsid w:val="0024320F"/>
    <w:rsid w:val="00253377"/>
    <w:rsid w:val="002B322E"/>
    <w:rsid w:val="002E0CB1"/>
    <w:rsid w:val="00434BA6"/>
    <w:rsid w:val="004435FC"/>
    <w:rsid w:val="004624D6"/>
    <w:rsid w:val="0049156E"/>
    <w:rsid w:val="00496790"/>
    <w:rsid w:val="004A28F8"/>
    <w:rsid w:val="004F0301"/>
    <w:rsid w:val="00506A30"/>
    <w:rsid w:val="00542217"/>
    <w:rsid w:val="005A3533"/>
    <w:rsid w:val="005C128C"/>
    <w:rsid w:val="0060611B"/>
    <w:rsid w:val="00632A9C"/>
    <w:rsid w:val="006C2C66"/>
    <w:rsid w:val="0070050A"/>
    <w:rsid w:val="00732A93"/>
    <w:rsid w:val="00744E82"/>
    <w:rsid w:val="007A31BD"/>
    <w:rsid w:val="00807085"/>
    <w:rsid w:val="00817C4B"/>
    <w:rsid w:val="00830D4C"/>
    <w:rsid w:val="00837079"/>
    <w:rsid w:val="0092038E"/>
    <w:rsid w:val="009A3885"/>
    <w:rsid w:val="009B644F"/>
    <w:rsid w:val="00A46999"/>
    <w:rsid w:val="00A74EA2"/>
    <w:rsid w:val="00B0174B"/>
    <w:rsid w:val="00B133ED"/>
    <w:rsid w:val="00B71D14"/>
    <w:rsid w:val="00BF145E"/>
    <w:rsid w:val="00BF407F"/>
    <w:rsid w:val="00C0552C"/>
    <w:rsid w:val="00C53F06"/>
    <w:rsid w:val="00D2305E"/>
    <w:rsid w:val="00D639DC"/>
    <w:rsid w:val="00D730DE"/>
    <w:rsid w:val="00DC039E"/>
    <w:rsid w:val="00E6659B"/>
    <w:rsid w:val="00E938D6"/>
    <w:rsid w:val="00E948B4"/>
    <w:rsid w:val="00EC3B5A"/>
    <w:rsid w:val="00EE2BA1"/>
    <w:rsid w:val="00F107F8"/>
    <w:rsid w:val="00F9277A"/>
    <w:rsid w:val="00FF0A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399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FollowedHyperlink" w:uiPriority="99"/>
    <w:lsdException w:name="Normal (Web)" w:uiPriority="99"/>
    <w:lsdException w:name="Balloon Text" w:uiPriority="99"/>
  </w:latentStyles>
  <w:style w:type="paragraph" w:default="1" w:styleId="Normal">
    <w:name w:val="Normal"/>
    <w:qFormat/>
    <w:rsid w:val="007754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938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link w:val="EndNoteBibliographyCar"/>
    <w:rsid w:val="00FF0AE3"/>
    <w:pPr>
      <w:spacing w:line="480" w:lineRule="auto"/>
    </w:pPr>
    <w:rPr>
      <w:rFonts w:ascii="Times New Roman" w:hAnsi="Times New Roman"/>
      <w:noProof/>
      <w:szCs w:val="22"/>
      <w:lang w:val="en-US"/>
    </w:rPr>
  </w:style>
  <w:style w:type="character" w:customStyle="1" w:styleId="EndNoteBibliographyCar">
    <w:name w:val="EndNote Bibliography Car"/>
    <w:basedOn w:val="Fuentedeprrafopredeter"/>
    <w:link w:val="EndNoteBibliography"/>
    <w:rsid w:val="00FF0AE3"/>
    <w:rPr>
      <w:rFonts w:ascii="Times New Roman" w:hAnsi="Times New Roman"/>
      <w:noProof/>
      <w:szCs w:val="22"/>
      <w:lang w:val="en-US"/>
    </w:rPr>
  </w:style>
  <w:style w:type="character" w:styleId="Refdecomentario">
    <w:name w:val="annotation reference"/>
    <w:basedOn w:val="Fuentedeprrafopredeter"/>
    <w:rsid w:val="00FF0AE3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FF0AE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EndNoteBibliographyTitle">
    <w:name w:val="EndNote Bibliography Title"/>
    <w:basedOn w:val="Normal"/>
    <w:rsid w:val="00FF0AE3"/>
    <w:pPr>
      <w:spacing w:after="0" w:line="276" w:lineRule="auto"/>
      <w:jc w:val="center"/>
    </w:pPr>
    <w:rPr>
      <w:rFonts w:ascii="Times New Roman" w:hAnsi="Times New Roman"/>
      <w:szCs w:val="22"/>
      <w:lang w:val="en-US"/>
    </w:rPr>
  </w:style>
  <w:style w:type="paragraph" w:styleId="Textocomentario">
    <w:name w:val="annotation text"/>
    <w:basedOn w:val="Normal"/>
    <w:link w:val="TextocomentarioCar"/>
    <w:rsid w:val="00FF0AE3"/>
    <w:rPr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FF0AE3"/>
    <w:rPr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F0AE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FF0AE3"/>
    <w:rPr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rsid w:val="00FF0AE3"/>
    <w:pPr>
      <w:spacing w:after="0"/>
    </w:pPr>
    <w:rPr>
      <w:rFonts w:ascii="Lucida Grande" w:hAnsi="Lucida Grande"/>
      <w:sz w:val="18"/>
      <w:szCs w:val="18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F0AE3"/>
    <w:rPr>
      <w:rFonts w:ascii="Lucida Grande" w:hAnsi="Lucida Grande"/>
      <w:sz w:val="18"/>
      <w:szCs w:val="18"/>
      <w:lang w:val="es-ES"/>
    </w:rPr>
  </w:style>
  <w:style w:type="character" w:customStyle="1" w:styleId="EncabezadoCar">
    <w:name w:val="Encabezado Car"/>
    <w:basedOn w:val="Fuentedeprrafopredeter"/>
    <w:link w:val="Encabezado"/>
    <w:rsid w:val="00FF0AE3"/>
  </w:style>
  <w:style w:type="paragraph" w:styleId="Encabezado">
    <w:name w:val="header"/>
    <w:basedOn w:val="Normal"/>
    <w:link w:val="EncabezadoCar"/>
    <w:rsid w:val="00FF0AE3"/>
    <w:pPr>
      <w:tabs>
        <w:tab w:val="center" w:pos="4252"/>
        <w:tab w:val="right" w:pos="8504"/>
      </w:tabs>
      <w:spacing w:after="0"/>
    </w:pPr>
  </w:style>
  <w:style w:type="character" w:customStyle="1" w:styleId="HeaderChar1">
    <w:name w:val="Header Char1"/>
    <w:basedOn w:val="Fuentedeprrafopredeter"/>
    <w:rsid w:val="00FF0AE3"/>
  </w:style>
  <w:style w:type="character" w:customStyle="1" w:styleId="PiedepginaCar">
    <w:name w:val="Pie de página Car"/>
    <w:basedOn w:val="Fuentedeprrafopredeter"/>
    <w:link w:val="Piedepgina"/>
    <w:rsid w:val="00FF0AE3"/>
  </w:style>
  <w:style w:type="paragraph" w:styleId="Piedepgina">
    <w:name w:val="footer"/>
    <w:basedOn w:val="Normal"/>
    <w:link w:val="PiedepginaCar"/>
    <w:rsid w:val="00FF0AE3"/>
    <w:pPr>
      <w:tabs>
        <w:tab w:val="center" w:pos="4252"/>
        <w:tab w:val="right" w:pos="8504"/>
      </w:tabs>
      <w:spacing w:after="0"/>
    </w:pPr>
  </w:style>
  <w:style w:type="character" w:customStyle="1" w:styleId="FooterChar1">
    <w:name w:val="Footer Char1"/>
    <w:basedOn w:val="Fuentedeprrafopredeter"/>
    <w:rsid w:val="00FF0AE3"/>
  </w:style>
  <w:style w:type="character" w:styleId="Hipervnculo">
    <w:name w:val="Hyperlink"/>
    <w:basedOn w:val="Fuentedeprrafopredeter"/>
    <w:uiPriority w:val="99"/>
    <w:rsid w:val="00FF0AE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rsid w:val="00FF0AE3"/>
    <w:rPr>
      <w:color w:val="800080" w:themeColor="followedHyperlink"/>
      <w:u w:val="single"/>
    </w:rPr>
  </w:style>
  <w:style w:type="paragraph" w:customStyle="1" w:styleId="authors">
    <w:name w:val="authors"/>
    <w:basedOn w:val="Normal"/>
    <w:rsid w:val="00FF0AE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unhideWhenUsed/>
    <w:rsid w:val="00FF0AE3"/>
  </w:style>
  <w:style w:type="paragraph" w:styleId="Prrafodelista">
    <w:name w:val="List Paragraph"/>
    <w:basedOn w:val="Normal"/>
    <w:rsid w:val="00FF0AE3"/>
    <w:pPr>
      <w:spacing w:line="276" w:lineRule="auto"/>
      <w:ind w:left="720"/>
      <w:contextualSpacing/>
    </w:pPr>
    <w:rPr>
      <w:sz w:val="22"/>
      <w:szCs w:val="22"/>
      <w:lang w:val="es-ES"/>
    </w:rPr>
  </w:style>
  <w:style w:type="character" w:styleId="Nmerodelnea">
    <w:name w:val="line number"/>
    <w:basedOn w:val="Fuentedeprrafopredeter"/>
    <w:unhideWhenUsed/>
    <w:rsid w:val="00FF0AE3"/>
  </w:style>
  <w:style w:type="paragraph" w:customStyle="1" w:styleId="font5">
    <w:name w:val="font5"/>
    <w:basedOn w:val="Normal"/>
    <w:rsid w:val="00FF0AE3"/>
    <w:pPr>
      <w:spacing w:beforeLines="1" w:afterLines="1"/>
    </w:pPr>
    <w:rPr>
      <w:rFonts w:ascii="Arial" w:hAnsi="Arial"/>
      <w:color w:val="000000"/>
    </w:rPr>
  </w:style>
  <w:style w:type="paragraph" w:customStyle="1" w:styleId="font6">
    <w:name w:val="font6"/>
    <w:basedOn w:val="Normal"/>
    <w:rsid w:val="00FF0AE3"/>
    <w:pPr>
      <w:spacing w:beforeLines="1" w:afterLines="1"/>
    </w:pPr>
    <w:rPr>
      <w:rFonts w:ascii="Arial" w:hAnsi="Arial"/>
      <w:color w:val="000000"/>
    </w:rPr>
  </w:style>
  <w:style w:type="paragraph" w:customStyle="1" w:styleId="font7">
    <w:name w:val="font7"/>
    <w:basedOn w:val="Normal"/>
    <w:rsid w:val="00FF0AE3"/>
    <w:pPr>
      <w:spacing w:beforeLines="1" w:afterLines="1"/>
    </w:pPr>
    <w:rPr>
      <w:rFonts w:ascii="Verdana" w:hAnsi="Verdana"/>
      <w:sz w:val="16"/>
      <w:szCs w:val="16"/>
    </w:rPr>
  </w:style>
  <w:style w:type="paragraph" w:customStyle="1" w:styleId="font8">
    <w:name w:val="font8"/>
    <w:basedOn w:val="Normal"/>
    <w:rsid w:val="00FF0AE3"/>
    <w:pPr>
      <w:spacing w:beforeLines="1" w:afterLines="1"/>
    </w:pPr>
    <w:rPr>
      <w:rFonts w:ascii="Arial" w:hAnsi="Arial"/>
    </w:rPr>
  </w:style>
  <w:style w:type="paragraph" w:customStyle="1" w:styleId="font9">
    <w:name w:val="font9"/>
    <w:basedOn w:val="Normal"/>
    <w:rsid w:val="00FF0AE3"/>
    <w:pPr>
      <w:spacing w:beforeLines="1" w:afterLines="1"/>
    </w:pPr>
    <w:rPr>
      <w:rFonts w:ascii="Arial" w:hAnsi="Arial"/>
      <w:i/>
      <w:iCs/>
    </w:rPr>
  </w:style>
  <w:style w:type="paragraph" w:customStyle="1" w:styleId="font10">
    <w:name w:val="font10"/>
    <w:basedOn w:val="Normal"/>
    <w:rsid w:val="00FF0AE3"/>
    <w:pPr>
      <w:spacing w:beforeLines="1" w:afterLines="1"/>
    </w:pPr>
    <w:rPr>
      <w:rFonts w:ascii="Arial" w:hAnsi="Arial"/>
    </w:rPr>
  </w:style>
  <w:style w:type="paragraph" w:customStyle="1" w:styleId="xl24">
    <w:name w:val="xl24"/>
    <w:basedOn w:val="Normal"/>
    <w:rsid w:val="00FF0AE3"/>
    <w:pPr>
      <w:spacing w:beforeLines="1" w:afterLines="1"/>
      <w:ind w:firstLineChars="100" w:firstLine="100"/>
      <w:textAlignment w:val="top"/>
    </w:pPr>
    <w:rPr>
      <w:rFonts w:ascii="Times" w:hAnsi="Times"/>
      <w:color w:val="000000"/>
    </w:rPr>
  </w:style>
  <w:style w:type="paragraph" w:customStyle="1" w:styleId="xl25">
    <w:name w:val="xl25"/>
    <w:basedOn w:val="Normal"/>
    <w:rsid w:val="00FF0AE3"/>
    <w:pPr>
      <w:spacing w:beforeLines="1" w:afterLines="1"/>
      <w:ind w:firstLineChars="100" w:firstLine="100"/>
      <w:textAlignment w:val="center"/>
    </w:pPr>
    <w:rPr>
      <w:rFonts w:ascii="Times" w:hAnsi="Times"/>
      <w:color w:val="000000"/>
    </w:rPr>
  </w:style>
  <w:style w:type="paragraph" w:customStyle="1" w:styleId="xl26">
    <w:name w:val="xl26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</w:rPr>
  </w:style>
  <w:style w:type="paragraph" w:customStyle="1" w:styleId="xl27">
    <w:name w:val="xl27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  <w:color w:val="000000"/>
    </w:rPr>
  </w:style>
  <w:style w:type="paragraph" w:customStyle="1" w:styleId="xl28">
    <w:name w:val="xl28"/>
    <w:basedOn w:val="Normal"/>
    <w:rsid w:val="00FF0AE3"/>
    <w:pPr>
      <w:spacing w:beforeLines="1" w:afterLines="1"/>
      <w:textAlignment w:val="center"/>
    </w:pPr>
    <w:rPr>
      <w:rFonts w:ascii="Times" w:hAnsi="Times"/>
      <w:color w:val="000000"/>
    </w:rPr>
  </w:style>
  <w:style w:type="paragraph" w:customStyle="1" w:styleId="xl29">
    <w:name w:val="xl29"/>
    <w:basedOn w:val="Normal"/>
    <w:rsid w:val="00FF0AE3"/>
    <w:pPr>
      <w:spacing w:beforeLines="1" w:afterLines="1"/>
      <w:textAlignment w:val="center"/>
    </w:pPr>
    <w:rPr>
      <w:rFonts w:ascii="Times" w:hAnsi="Times"/>
    </w:rPr>
  </w:style>
  <w:style w:type="paragraph" w:customStyle="1" w:styleId="xl30">
    <w:name w:val="xl30"/>
    <w:basedOn w:val="Normal"/>
    <w:rsid w:val="00FF0AE3"/>
    <w:pPr>
      <w:spacing w:beforeLines="1" w:afterLines="1"/>
      <w:ind w:firstLineChars="200" w:firstLine="200"/>
      <w:textAlignment w:val="top"/>
    </w:pPr>
    <w:rPr>
      <w:rFonts w:ascii="Times" w:hAnsi="Times"/>
      <w:color w:val="000000"/>
    </w:rPr>
  </w:style>
  <w:style w:type="paragraph" w:customStyle="1" w:styleId="xl31">
    <w:name w:val="xl31"/>
    <w:basedOn w:val="Normal"/>
    <w:rsid w:val="00FF0AE3"/>
    <w:pPr>
      <w:spacing w:beforeLines="1" w:afterLines="1"/>
      <w:textAlignment w:val="center"/>
    </w:pPr>
    <w:rPr>
      <w:rFonts w:ascii="Times" w:hAnsi="Times"/>
    </w:rPr>
  </w:style>
  <w:style w:type="paragraph" w:customStyle="1" w:styleId="xl32">
    <w:name w:val="xl32"/>
    <w:basedOn w:val="Normal"/>
    <w:rsid w:val="00FF0AE3"/>
    <w:pPr>
      <w:spacing w:beforeLines="1" w:afterLines="1"/>
      <w:textAlignment w:val="center"/>
    </w:pPr>
    <w:rPr>
      <w:rFonts w:ascii="Times" w:hAnsi="Times"/>
    </w:rPr>
  </w:style>
  <w:style w:type="paragraph" w:customStyle="1" w:styleId="xl33">
    <w:name w:val="xl33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  <w:i/>
      <w:iCs/>
      <w:color w:val="000000"/>
    </w:rPr>
  </w:style>
  <w:style w:type="paragraph" w:customStyle="1" w:styleId="xl34">
    <w:name w:val="xl34"/>
    <w:basedOn w:val="Normal"/>
    <w:rsid w:val="00FF0AE3"/>
    <w:pPr>
      <w:spacing w:beforeLines="1" w:afterLines="1"/>
      <w:jc w:val="center"/>
      <w:textAlignment w:val="center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3</Pages>
  <Words>397</Words>
  <Characters>2185</Characters>
  <Application>Microsoft Macintosh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Guillemo Ternavasio</dc:creator>
  <cp:keywords/>
  <cp:lastModifiedBy>Miguel Marcos</cp:lastModifiedBy>
  <cp:revision>51</cp:revision>
  <dcterms:created xsi:type="dcterms:W3CDTF">2017-07-05T21:20:00Z</dcterms:created>
  <dcterms:modified xsi:type="dcterms:W3CDTF">2018-07-06T22:39:00Z</dcterms:modified>
</cp:coreProperties>
</file>