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C523C" w:rsidRPr="0060611B" w:rsidRDefault="000C523C" w:rsidP="009A3885">
      <w:pPr>
        <w:spacing w:line="480" w:lineRule="auto"/>
        <w:rPr>
          <w:rFonts w:ascii="Times New Roman" w:hAnsi="Times New Roman"/>
        </w:rPr>
      </w:pPr>
      <w:proofErr w:type="spellStart"/>
      <w:r w:rsidRPr="0060611B">
        <w:rPr>
          <w:rFonts w:ascii="Times New Roman" w:hAnsi="Times New Roman"/>
        </w:rPr>
        <w:t>Epidemiology</w:t>
      </w:r>
      <w:proofErr w:type="spellEnd"/>
      <w:r w:rsidRPr="0060611B">
        <w:rPr>
          <w:rFonts w:ascii="Times New Roman" w:hAnsi="Times New Roman"/>
        </w:rPr>
        <w:t xml:space="preserve"> </w:t>
      </w:r>
      <w:proofErr w:type="spellStart"/>
      <w:r w:rsidRPr="0060611B">
        <w:rPr>
          <w:rFonts w:ascii="Times New Roman" w:hAnsi="Times New Roman"/>
        </w:rPr>
        <w:t>and</w:t>
      </w:r>
      <w:proofErr w:type="spellEnd"/>
      <w:r w:rsidRPr="0060611B">
        <w:rPr>
          <w:rFonts w:ascii="Times New Roman" w:hAnsi="Times New Roman"/>
        </w:rPr>
        <w:t xml:space="preserve"> </w:t>
      </w:r>
      <w:proofErr w:type="spellStart"/>
      <w:r w:rsidRPr="0060611B">
        <w:rPr>
          <w:rFonts w:ascii="Times New Roman" w:hAnsi="Times New Roman"/>
        </w:rPr>
        <w:t>Infection</w:t>
      </w:r>
      <w:proofErr w:type="spellEnd"/>
    </w:p>
    <w:p w:rsidR="00253377" w:rsidRPr="0060611B" w:rsidRDefault="00253377" w:rsidP="009A3885">
      <w:pPr>
        <w:suppressLineNumbers/>
        <w:suppressAutoHyphens/>
        <w:spacing w:before="240" w:after="240" w:line="480" w:lineRule="auto"/>
        <w:rPr>
          <w:rFonts w:ascii="Times New Roman" w:hAnsi="Times New Roman"/>
          <w:noProof/>
          <w:lang w:val="en-GB"/>
        </w:rPr>
      </w:pPr>
      <w:r w:rsidRPr="0060611B">
        <w:rPr>
          <w:rFonts w:ascii="Times New Roman" w:hAnsi="Times New Roman"/>
          <w:noProof/>
          <w:lang w:val="en-GB"/>
        </w:rPr>
        <w:t xml:space="preserve">The updated Charlson comorbidity index is a useful predictor of mortality in patients with </w:t>
      </w:r>
      <w:r w:rsidRPr="0060611B">
        <w:rPr>
          <w:rFonts w:ascii="Times New Roman" w:hAnsi="Times New Roman"/>
          <w:i/>
          <w:noProof/>
          <w:lang w:val="en-GB"/>
        </w:rPr>
        <w:t>Staphylococcus aureus</w:t>
      </w:r>
      <w:r w:rsidRPr="0060611B">
        <w:rPr>
          <w:rFonts w:ascii="Times New Roman" w:hAnsi="Times New Roman"/>
          <w:noProof/>
          <w:lang w:val="en-GB"/>
        </w:rPr>
        <w:t xml:space="preserve"> bacteraemia.</w:t>
      </w:r>
    </w:p>
    <w:p w:rsidR="00253377" w:rsidRPr="0060611B" w:rsidRDefault="00253377" w:rsidP="009A3885">
      <w:pPr>
        <w:suppressAutoHyphens/>
        <w:spacing w:before="240" w:after="240" w:line="480" w:lineRule="auto"/>
        <w:rPr>
          <w:rFonts w:ascii="Times New Roman" w:hAnsi="Times New Roman"/>
          <w:noProof/>
        </w:rPr>
      </w:pPr>
      <w:r w:rsidRPr="0060611B">
        <w:rPr>
          <w:rFonts w:ascii="Times New Roman" w:hAnsi="Times New Roman"/>
          <w:noProof/>
        </w:rPr>
        <w:t>H. G. Ternavasio-de la Vega, F. Castaño-Romero, S. Ragozzino, R. Sánchez González, M. P. Vaquero-Herrero, M. Siller-Ruiz, G. Spalter-Glicberg, C. Ramírez-Baum, S. Rodríguez-Rodríguez, J. E. García-Sánchez, I. García-García, M. Marcos.</w:t>
      </w:r>
    </w:p>
    <w:p w:rsidR="000C523C" w:rsidRPr="0060611B" w:rsidRDefault="00BF145E" w:rsidP="009A3885">
      <w:pPr>
        <w:spacing w:line="480" w:lineRule="auto"/>
        <w:rPr>
          <w:rFonts w:ascii="Times New Roman" w:hAnsi="Times New Roman"/>
        </w:rPr>
      </w:pPr>
      <w:r w:rsidRPr="0060611B">
        <w:rPr>
          <w:rFonts w:ascii="Times New Roman" w:hAnsi="Times New Roman"/>
        </w:rPr>
        <w:br w:type="page"/>
      </w:r>
      <w:proofErr w:type="spellStart"/>
      <w:r w:rsidR="000C523C" w:rsidRPr="0060611B">
        <w:rPr>
          <w:rFonts w:ascii="Times New Roman" w:hAnsi="Times New Roman"/>
        </w:rPr>
        <w:t>Supplementary</w:t>
      </w:r>
      <w:proofErr w:type="spellEnd"/>
      <w:r w:rsidR="000C523C" w:rsidRPr="0060611B">
        <w:rPr>
          <w:rFonts w:ascii="Times New Roman" w:hAnsi="Times New Roman"/>
        </w:rPr>
        <w:t xml:space="preserve"> Material</w:t>
      </w:r>
    </w:p>
    <w:tbl>
      <w:tblPr>
        <w:tblStyle w:val="TableGrid"/>
        <w:tblW w:w="9234"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174"/>
        <w:gridCol w:w="6060"/>
      </w:tblGrid>
      <w:tr w:rsidR="004624D6" w:rsidRPr="0060611B">
        <w:tc>
          <w:tcPr>
            <w:tcW w:w="9234" w:type="dxa"/>
            <w:gridSpan w:val="2"/>
            <w:tcBorders>
              <w:bottom w:val="single" w:sz="4" w:space="0" w:color="auto"/>
            </w:tcBorders>
          </w:tcPr>
          <w:p w:rsidR="004624D6" w:rsidRPr="0060611B" w:rsidRDefault="004624D6" w:rsidP="009A3885">
            <w:pPr>
              <w:spacing w:line="480" w:lineRule="auto"/>
              <w:rPr>
                <w:rFonts w:ascii="Times New Roman" w:hAnsi="Times New Roman"/>
                <w:noProof/>
                <w:sz w:val="18"/>
                <w:lang w:val="en-GB"/>
              </w:rPr>
            </w:pPr>
            <w:r w:rsidRPr="0060611B">
              <w:rPr>
                <w:rFonts w:ascii="Times New Roman" w:hAnsi="Times New Roman"/>
                <w:noProof/>
                <w:sz w:val="18"/>
                <w:lang w:val="en-GB"/>
              </w:rPr>
              <w:t xml:space="preserve">Supplementary table </w:t>
            </w:r>
            <w:r w:rsidR="00001549" w:rsidRPr="0060611B">
              <w:rPr>
                <w:rFonts w:ascii="Times New Roman" w:hAnsi="Times New Roman"/>
                <w:noProof/>
                <w:sz w:val="18"/>
                <w:lang w:val="en-GB"/>
              </w:rPr>
              <w:t>S</w:t>
            </w:r>
            <w:r w:rsidRPr="0060611B">
              <w:rPr>
                <w:rFonts w:ascii="Times New Roman" w:hAnsi="Times New Roman"/>
                <w:noProof/>
                <w:sz w:val="18"/>
                <w:lang w:val="en-GB"/>
              </w:rPr>
              <w:t>1. Definition of comorbid conditions include</w:t>
            </w:r>
            <w:r w:rsidR="002B322E" w:rsidRPr="0060611B">
              <w:rPr>
                <w:rFonts w:ascii="Times New Roman" w:hAnsi="Times New Roman"/>
                <w:noProof/>
                <w:sz w:val="18"/>
                <w:lang w:val="en-GB"/>
              </w:rPr>
              <w:t>d</w:t>
            </w:r>
            <w:r w:rsidRPr="0060611B">
              <w:rPr>
                <w:rFonts w:ascii="Times New Roman" w:hAnsi="Times New Roman"/>
                <w:noProof/>
                <w:sz w:val="18"/>
                <w:lang w:val="en-GB"/>
              </w:rPr>
              <w:t xml:space="preserve"> in Charlson comorbidty index</w:t>
            </w:r>
          </w:p>
        </w:tc>
      </w:tr>
      <w:tr w:rsidR="00E938D6" w:rsidRPr="0060611B">
        <w:tc>
          <w:tcPr>
            <w:tcW w:w="3174" w:type="dxa"/>
            <w:tcBorders>
              <w:top w:val="single" w:sz="4" w:space="0" w:color="auto"/>
              <w:bottom w:val="single" w:sz="4" w:space="0" w:color="auto"/>
            </w:tcBorders>
          </w:tcPr>
          <w:p w:rsidR="00E938D6" w:rsidRPr="0060611B" w:rsidRDefault="004624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Condition</w:t>
            </w:r>
          </w:p>
        </w:tc>
        <w:tc>
          <w:tcPr>
            <w:tcW w:w="6060" w:type="dxa"/>
            <w:tcBorders>
              <w:top w:val="single" w:sz="4" w:space="0" w:color="auto"/>
              <w:bottom w:val="single" w:sz="4" w:space="0" w:color="auto"/>
            </w:tcBorders>
          </w:tcPr>
          <w:p w:rsidR="00E938D6" w:rsidRPr="0060611B" w:rsidRDefault="004624D6" w:rsidP="009A3885">
            <w:pPr>
              <w:spacing w:line="480" w:lineRule="auto"/>
              <w:rPr>
                <w:rFonts w:ascii="Times New Roman" w:hAnsi="Times New Roman"/>
                <w:noProof/>
                <w:sz w:val="18"/>
                <w:lang w:val="en-GB"/>
              </w:rPr>
            </w:pPr>
            <w:r w:rsidRPr="0060611B">
              <w:rPr>
                <w:rFonts w:ascii="Times New Roman" w:hAnsi="Times New Roman"/>
                <w:noProof/>
                <w:sz w:val="18"/>
                <w:lang w:val="en-GB"/>
              </w:rPr>
              <w:t>Definition</w:t>
            </w:r>
          </w:p>
        </w:tc>
      </w:tr>
      <w:tr w:rsidR="00E938D6" w:rsidRPr="0060611B">
        <w:tc>
          <w:tcPr>
            <w:tcW w:w="3174" w:type="dxa"/>
            <w:tcBorders>
              <w:top w:val="single" w:sz="4" w:space="0" w:color="auto"/>
            </w:tcBorders>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Myocardial infarction</w:t>
            </w:r>
          </w:p>
        </w:tc>
        <w:tc>
          <w:tcPr>
            <w:tcW w:w="6060" w:type="dxa"/>
            <w:tcBorders>
              <w:top w:val="single" w:sz="4" w:space="0" w:color="auto"/>
            </w:tcBorders>
          </w:tcPr>
          <w:p w:rsidR="00E938D6" w:rsidRPr="0060611B" w:rsidRDefault="00E6659B" w:rsidP="009A3885">
            <w:pPr>
              <w:spacing w:line="480" w:lineRule="auto"/>
              <w:rPr>
                <w:rFonts w:ascii="Times New Roman" w:hAnsi="Times New Roman"/>
                <w:noProof/>
                <w:sz w:val="18"/>
                <w:lang w:val="en-GB"/>
              </w:rPr>
            </w:pPr>
            <w:r w:rsidRPr="0060611B">
              <w:rPr>
                <w:rFonts w:ascii="Times New Roman" w:hAnsi="Times New Roman"/>
                <w:noProof/>
                <w:sz w:val="18"/>
                <w:lang w:val="en-GB"/>
              </w:rPr>
              <w:t>P</w:t>
            </w:r>
            <w:r w:rsidR="00E938D6" w:rsidRPr="0060611B">
              <w:rPr>
                <w:rFonts w:ascii="Times New Roman" w:hAnsi="Times New Roman"/>
                <w:noProof/>
                <w:sz w:val="18"/>
                <w:lang w:val="en-GB"/>
              </w:rPr>
              <w:t xml:space="preserve">atients with one or more definite or probable myocardial </w:t>
            </w:r>
            <w:r w:rsidR="001C6431" w:rsidRPr="0060611B">
              <w:rPr>
                <w:rFonts w:ascii="Times New Roman" w:hAnsi="Times New Roman"/>
                <w:noProof/>
                <w:sz w:val="18"/>
                <w:lang w:val="en-GB"/>
              </w:rPr>
              <w:t>infarction</w:t>
            </w:r>
            <w:r w:rsidR="00E938D6" w:rsidRPr="0060611B">
              <w:rPr>
                <w:rFonts w:ascii="Times New Roman" w:hAnsi="Times New Roman"/>
                <w:noProof/>
                <w:sz w:val="18"/>
                <w:lang w:val="en-GB"/>
              </w:rPr>
              <w:t>; these patientes had been hospitalizad and had electrocardiographic and/or enzyme changes</w:t>
            </w:r>
            <w:r w:rsidRPr="0060611B">
              <w:rPr>
                <w:rFonts w:ascii="Times New Roman" w:hAnsi="Times New Roman"/>
                <w:noProof/>
                <w:sz w:val="18"/>
                <w:lang w:val="en-GB"/>
              </w:rPr>
              <w:t>. Patientes with electrocardiographic changes along were not desig</w:t>
            </w:r>
            <w:r w:rsidR="00F107F8" w:rsidRPr="0060611B">
              <w:rPr>
                <w:rFonts w:ascii="Times New Roman" w:hAnsi="Times New Roman"/>
                <w:noProof/>
                <w:sz w:val="18"/>
                <w:lang w:val="en-GB"/>
              </w:rPr>
              <w:t>nated as having had an inf</w:t>
            </w:r>
            <w:r w:rsidRPr="0060611B">
              <w:rPr>
                <w:rFonts w:ascii="Times New Roman" w:hAnsi="Times New Roman"/>
                <w:noProof/>
                <w:sz w:val="18"/>
                <w:lang w:val="en-GB"/>
              </w:rPr>
              <w:t>arction</w:t>
            </w:r>
            <w:r w:rsidR="00EC3B5A"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Congestive heart failure</w:t>
            </w:r>
          </w:p>
        </w:tc>
        <w:tc>
          <w:tcPr>
            <w:tcW w:w="6060" w:type="dxa"/>
          </w:tcPr>
          <w:p w:rsidR="00E938D6" w:rsidRPr="0060611B" w:rsidRDefault="00E6659B" w:rsidP="009A3885">
            <w:pPr>
              <w:spacing w:line="480" w:lineRule="auto"/>
              <w:rPr>
                <w:rFonts w:ascii="Times New Roman" w:hAnsi="Times New Roman"/>
                <w:noProof/>
                <w:sz w:val="18"/>
                <w:lang w:val="en-GB"/>
              </w:rPr>
            </w:pPr>
            <w:r w:rsidRPr="0060611B">
              <w:rPr>
                <w:rFonts w:ascii="Times New Roman" w:hAnsi="Times New Roman"/>
                <w:noProof/>
                <w:sz w:val="18"/>
                <w:lang w:val="en-GB"/>
              </w:rPr>
              <w:t xml:space="preserve">Patients who have had exertional or paroxysmal nocturnal dyspnea and who have responded symptomatically (or on physical examination) to digitals, diuretics, or afterload reducing agents. It does not include patients who are on medication but have had no </w:t>
            </w:r>
            <w:r w:rsidR="00732A93" w:rsidRPr="0060611B">
              <w:rPr>
                <w:rFonts w:ascii="Times New Roman" w:hAnsi="Times New Roman"/>
                <w:noProof/>
                <w:sz w:val="18"/>
                <w:lang w:val="en-GB"/>
              </w:rPr>
              <w:t xml:space="preserve">symptomatic response and no evidence of improvement of physical signs. </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Peripheral vascular disease</w:t>
            </w:r>
          </w:p>
        </w:tc>
        <w:tc>
          <w:tcPr>
            <w:tcW w:w="6060" w:type="dxa"/>
          </w:tcPr>
          <w:p w:rsidR="00E938D6" w:rsidRPr="0060611B" w:rsidRDefault="00732A93"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intermittent claudication or those who had a bypass for arterial insufficiency, those with gangrene or acute arterial insufficiency, and those with untreated</w:t>
            </w:r>
            <w:r w:rsidR="001C6431" w:rsidRPr="0060611B">
              <w:rPr>
                <w:rFonts w:ascii="Times New Roman" w:hAnsi="Times New Roman"/>
                <w:noProof/>
                <w:sz w:val="18"/>
                <w:lang w:val="en-GB"/>
              </w:rPr>
              <w:t xml:space="preserve"> thoracic or abdominal aneurism</w:t>
            </w:r>
            <w:r w:rsidRPr="0060611B">
              <w:rPr>
                <w:rFonts w:ascii="Times New Roman" w:hAnsi="Times New Roman"/>
                <w:noProof/>
                <w:sz w:val="18"/>
                <w:lang w:val="en-GB"/>
              </w:rPr>
              <w:t xml:space="preserve"> (6 cm or more). </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Cerebrovascular disease</w:t>
            </w:r>
          </w:p>
        </w:tc>
        <w:tc>
          <w:tcPr>
            <w:tcW w:w="6060" w:type="dxa"/>
          </w:tcPr>
          <w:p w:rsidR="00E938D6" w:rsidRPr="0060611B" w:rsidRDefault="00732A93"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a history of a cerebrovascular accident with minor or no residual and transient</w:t>
            </w:r>
            <w:r w:rsidR="00C0552C" w:rsidRPr="0060611B">
              <w:rPr>
                <w:rFonts w:ascii="Times New Roman" w:hAnsi="Times New Roman"/>
                <w:noProof/>
                <w:sz w:val="18"/>
                <w:lang w:val="en-GB"/>
              </w:rPr>
              <w:t xml:space="preserve"> ischemic attacks</w:t>
            </w:r>
            <w:r w:rsidR="00EC3B5A"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Dementia</w:t>
            </w:r>
          </w:p>
        </w:tc>
        <w:tc>
          <w:tcPr>
            <w:tcW w:w="6060" w:type="dxa"/>
          </w:tcPr>
          <w:p w:rsidR="00E938D6" w:rsidRPr="0060611B" w:rsidRDefault="000C1120"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chronic cognitive deficit</w:t>
            </w:r>
            <w:r w:rsidR="00EC3B5A"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Chronic pulmonary disease</w:t>
            </w:r>
          </w:p>
        </w:tc>
        <w:tc>
          <w:tcPr>
            <w:tcW w:w="6060" w:type="dxa"/>
          </w:tcPr>
          <w:p w:rsidR="00E938D6" w:rsidRPr="0060611B" w:rsidRDefault="00EC3B5A"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who are dyspneic with slight activity, with or without treatment and those who are dyspneic with moderate activity despite treatment. Also includes patients who are dyspneic at rest, despite treatment, those who require constant oxygen, those with CO</w:t>
            </w:r>
            <w:r w:rsidRPr="0060611B">
              <w:rPr>
                <w:rFonts w:ascii="Times New Roman" w:hAnsi="Times New Roman"/>
                <w:noProof/>
                <w:sz w:val="18"/>
                <w:vertAlign w:val="subscript"/>
                <w:lang w:val="en-GB"/>
              </w:rPr>
              <w:t>2</w:t>
            </w:r>
            <w:r w:rsidRPr="0060611B">
              <w:rPr>
                <w:rFonts w:ascii="Times New Roman" w:hAnsi="Times New Roman"/>
                <w:noProof/>
                <w:sz w:val="18"/>
                <w:lang w:val="en-GB"/>
              </w:rPr>
              <w:t xml:space="preserve"> retention and those with baseline PO</w:t>
            </w:r>
            <w:r w:rsidRPr="0060611B">
              <w:rPr>
                <w:rFonts w:ascii="Times New Roman" w:hAnsi="Times New Roman"/>
                <w:noProof/>
                <w:sz w:val="18"/>
                <w:vertAlign w:val="subscript"/>
                <w:lang w:val="en-GB"/>
              </w:rPr>
              <w:t>2</w:t>
            </w:r>
            <w:r w:rsidRPr="0060611B">
              <w:rPr>
                <w:rFonts w:ascii="Times New Roman" w:hAnsi="Times New Roman"/>
                <w:noProof/>
                <w:sz w:val="18"/>
                <w:lang w:val="en-GB"/>
              </w:rPr>
              <w:t xml:space="preserve"> below 50 torr.</w:t>
            </w:r>
          </w:p>
        </w:tc>
      </w:tr>
      <w:tr w:rsidR="00E938D6" w:rsidRPr="0060611B">
        <w:tc>
          <w:tcPr>
            <w:tcW w:w="3174" w:type="dxa"/>
          </w:tcPr>
          <w:p w:rsidR="00E938D6" w:rsidRPr="0060611B" w:rsidRDefault="004A28F8"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Rheumatologic</w:t>
            </w:r>
            <w:r w:rsidR="00E938D6" w:rsidRPr="0060611B">
              <w:rPr>
                <w:rFonts w:ascii="Times New Roman" w:hAnsi="Times New Roman"/>
                <w:noProof/>
                <w:sz w:val="18"/>
                <w:szCs w:val="20"/>
                <w:lang w:val="en-GB"/>
              </w:rPr>
              <w:t xml:space="preserve"> disease</w:t>
            </w:r>
          </w:p>
        </w:tc>
        <w:tc>
          <w:tcPr>
            <w:tcW w:w="6060" w:type="dxa"/>
          </w:tcPr>
          <w:p w:rsidR="00E938D6" w:rsidRPr="0060611B" w:rsidRDefault="00F9277A"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systemic lupus erythematous, polymyositis, mixed connective tissue disease, polymyalgia reumática, and moderate to severe rheumatoid arthritis</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Peptic ulcer disease</w:t>
            </w:r>
          </w:p>
        </w:tc>
        <w:tc>
          <w:tcPr>
            <w:tcW w:w="6060" w:type="dxa"/>
          </w:tcPr>
          <w:p w:rsidR="00E938D6" w:rsidRPr="0060611B" w:rsidRDefault="000C1120"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who have required treatment for ulcer disease, including those who have bled from ulcers</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Mild liver disease</w:t>
            </w:r>
          </w:p>
        </w:tc>
        <w:tc>
          <w:tcPr>
            <w:tcW w:w="6060" w:type="dxa"/>
          </w:tcPr>
          <w:p w:rsidR="00E938D6" w:rsidRPr="0060611B" w:rsidRDefault="0049156E"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chronic hepatitis or cirrhosis without portal hypertension.</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Diabetes without chronic complication</w:t>
            </w:r>
          </w:p>
        </w:tc>
        <w:tc>
          <w:tcPr>
            <w:tcW w:w="6060" w:type="dxa"/>
          </w:tcPr>
          <w:p w:rsidR="00E938D6" w:rsidRPr="0060611B" w:rsidRDefault="00496790"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who had previous hospitalizations for ketoacidosis, hyperosmolar coma, or control and those</w:t>
            </w:r>
            <w:r w:rsidR="00EC3B5A" w:rsidRPr="0060611B">
              <w:rPr>
                <w:rFonts w:ascii="Times New Roman" w:hAnsi="Times New Roman"/>
                <w:noProof/>
                <w:sz w:val="18"/>
                <w:lang w:val="en-GB"/>
              </w:rPr>
              <w:t xml:space="preserve"> with juvenile onset or brittle diabetics. Also includes all other diabetes treated with insulin or oral hypoglicemics, but not diet alone.</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Diabetes with chronic complication</w:t>
            </w:r>
          </w:p>
        </w:tc>
        <w:tc>
          <w:tcPr>
            <w:tcW w:w="6060" w:type="dxa"/>
          </w:tcPr>
          <w:p w:rsidR="00E938D6" w:rsidRPr="0060611B" w:rsidRDefault="00EC3B5A"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retinopathy, neuropathy, or nephropaty.</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Hemiplegia or paraplegia</w:t>
            </w:r>
          </w:p>
        </w:tc>
        <w:tc>
          <w:tcPr>
            <w:tcW w:w="6060" w:type="dxa"/>
          </w:tcPr>
          <w:p w:rsidR="00E938D6" w:rsidRPr="0060611B" w:rsidRDefault="00C0552C" w:rsidP="009A3885">
            <w:pPr>
              <w:spacing w:line="480" w:lineRule="auto"/>
              <w:rPr>
                <w:rFonts w:ascii="Times New Roman" w:hAnsi="Times New Roman"/>
                <w:noProof/>
                <w:sz w:val="18"/>
                <w:lang w:val="en-GB"/>
              </w:rPr>
            </w:pPr>
            <w:r w:rsidRPr="0060611B">
              <w:rPr>
                <w:rFonts w:ascii="Times New Roman" w:hAnsi="Times New Roman"/>
                <w:noProof/>
                <w:sz w:val="18"/>
                <w:lang w:val="en-GB"/>
              </w:rPr>
              <w:t xml:space="preserve">Patients with the dense hemiplegia or paraplegia, whetever it occurred as a result of a cerebrovascular </w:t>
            </w:r>
            <w:r w:rsidR="00F107F8" w:rsidRPr="0060611B">
              <w:rPr>
                <w:rFonts w:ascii="Times New Roman" w:hAnsi="Times New Roman"/>
                <w:noProof/>
                <w:sz w:val="18"/>
                <w:lang w:val="en-GB"/>
              </w:rPr>
              <w:t>accident or</w:t>
            </w:r>
            <w:r w:rsidRPr="0060611B">
              <w:rPr>
                <w:rFonts w:ascii="Times New Roman" w:hAnsi="Times New Roman"/>
                <w:noProof/>
                <w:sz w:val="18"/>
                <w:lang w:val="en-GB"/>
              </w:rPr>
              <w:t xml:space="preserve"> other condition</w:t>
            </w:r>
            <w:r w:rsidR="004624D6"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Renal disease</w:t>
            </w:r>
          </w:p>
        </w:tc>
        <w:tc>
          <w:tcPr>
            <w:tcW w:w="6060" w:type="dxa"/>
          </w:tcPr>
          <w:p w:rsidR="00E938D6" w:rsidRPr="0060611B" w:rsidRDefault="00D730DE"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serum creatinine</w:t>
            </w:r>
            <w:r w:rsidR="000E6147" w:rsidRPr="0060611B">
              <w:rPr>
                <w:rFonts w:ascii="Times New Roman" w:hAnsi="Times New Roman"/>
                <w:noProof/>
                <w:sz w:val="18"/>
                <w:lang w:val="en-GB"/>
              </w:rPr>
              <w:t xml:space="preserve"> &gt; 2 m</w:t>
            </w:r>
            <w:r w:rsidRPr="0060611B">
              <w:rPr>
                <w:rFonts w:ascii="Times New Roman" w:hAnsi="Times New Roman"/>
                <w:noProof/>
                <w:sz w:val="18"/>
                <w:lang w:val="en-GB"/>
              </w:rPr>
              <w:t>g% or patients</w:t>
            </w:r>
            <w:r w:rsidR="000E6147" w:rsidRPr="0060611B">
              <w:rPr>
                <w:rFonts w:ascii="Times New Roman" w:hAnsi="Times New Roman"/>
                <w:noProof/>
                <w:sz w:val="18"/>
                <w:lang w:val="en-GB"/>
              </w:rPr>
              <w:t xml:space="preserve"> on dialysis, those who had a transplant, and those with uremia. </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Any malignancy without metastasis</w:t>
            </w:r>
          </w:p>
        </w:tc>
        <w:tc>
          <w:tcPr>
            <w:tcW w:w="6060" w:type="dxa"/>
          </w:tcPr>
          <w:p w:rsidR="00E938D6" w:rsidRPr="0060611B" w:rsidRDefault="004A28F8"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solid tumors without documented metastases, but initially treated in the las</w:t>
            </w:r>
            <w:r w:rsidR="005A3533" w:rsidRPr="0060611B">
              <w:rPr>
                <w:rFonts w:ascii="Times New Roman" w:hAnsi="Times New Roman"/>
                <w:noProof/>
                <w:sz w:val="18"/>
                <w:lang w:val="en-GB"/>
              </w:rPr>
              <w:t>t</w:t>
            </w:r>
            <w:r w:rsidRPr="0060611B">
              <w:rPr>
                <w:rFonts w:ascii="Times New Roman" w:hAnsi="Times New Roman"/>
                <w:noProof/>
                <w:sz w:val="18"/>
                <w:lang w:val="en-GB"/>
              </w:rPr>
              <w:t xml:space="preserve"> five years</w:t>
            </w:r>
            <w:r w:rsidR="001C6431" w:rsidRPr="0060611B">
              <w:rPr>
                <w:rFonts w:ascii="Times New Roman" w:hAnsi="Times New Roman"/>
                <w:noProof/>
                <w:sz w:val="18"/>
                <w:lang w:val="en-GB"/>
              </w:rPr>
              <w:t>, including breast, colon, lung</w:t>
            </w:r>
            <w:r w:rsidRPr="0060611B">
              <w:rPr>
                <w:rFonts w:ascii="Times New Roman" w:hAnsi="Times New Roman"/>
                <w:noProof/>
                <w:sz w:val="18"/>
                <w:lang w:val="en-GB"/>
              </w:rPr>
              <w:t xml:space="preserve"> and a variety of other tumors</w:t>
            </w:r>
            <w:r w:rsidR="004624D6"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Leukemia</w:t>
            </w:r>
          </w:p>
        </w:tc>
        <w:tc>
          <w:tcPr>
            <w:tcW w:w="6060" w:type="dxa"/>
          </w:tcPr>
          <w:p w:rsidR="00E938D6" w:rsidRPr="0060611B" w:rsidRDefault="00434BA6"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acute and chronic myelogenous leukemia, acute and chronic lymphocytic leukemia,</w:t>
            </w:r>
            <w:r w:rsidR="00C53F06" w:rsidRPr="0060611B">
              <w:rPr>
                <w:rFonts w:ascii="Times New Roman" w:hAnsi="Times New Roman"/>
                <w:noProof/>
                <w:sz w:val="18"/>
                <w:lang w:val="en-GB"/>
              </w:rPr>
              <w:t xml:space="preserve"> and polycythemia vera</w:t>
            </w:r>
            <w:r w:rsidR="004624D6"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Lymphoma</w:t>
            </w:r>
          </w:p>
        </w:tc>
        <w:tc>
          <w:tcPr>
            <w:tcW w:w="6060" w:type="dxa"/>
          </w:tcPr>
          <w:p w:rsidR="00E938D6" w:rsidRPr="0060611B" w:rsidRDefault="00434BA6"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Hodgkings lymphoma, Waldestrom’s macroglobulinemia, myeloma, and other lymphomas</w:t>
            </w:r>
            <w:r w:rsidR="004624D6"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Moderate or severe liver disease</w:t>
            </w:r>
          </w:p>
        </w:tc>
        <w:tc>
          <w:tcPr>
            <w:tcW w:w="6060" w:type="dxa"/>
          </w:tcPr>
          <w:p w:rsidR="00E938D6" w:rsidRPr="0060611B" w:rsidRDefault="002171F4" w:rsidP="009A3885">
            <w:pPr>
              <w:spacing w:line="480" w:lineRule="auto"/>
              <w:rPr>
                <w:rFonts w:ascii="Times New Roman" w:hAnsi="Times New Roman"/>
                <w:noProof/>
                <w:sz w:val="18"/>
                <w:lang w:val="en-GB"/>
              </w:rPr>
            </w:pPr>
            <w:r w:rsidRPr="0060611B">
              <w:rPr>
                <w:rFonts w:ascii="Times New Roman" w:hAnsi="Times New Roman"/>
                <w:noProof/>
                <w:sz w:val="18"/>
                <w:lang w:val="en-GB"/>
              </w:rPr>
              <w:t xml:space="preserve">Patients with </w:t>
            </w:r>
            <w:r w:rsidR="001C6431" w:rsidRPr="0060611B">
              <w:rPr>
                <w:rFonts w:ascii="Times New Roman" w:hAnsi="Times New Roman"/>
                <w:noProof/>
                <w:sz w:val="18"/>
                <w:lang w:val="en-GB"/>
              </w:rPr>
              <w:t>cirroh</w:t>
            </w:r>
            <w:r w:rsidR="0049156E" w:rsidRPr="0060611B">
              <w:rPr>
                <w:rFonts w:ascii="Times New Roman" w:hAnsi="Times New Roman"/>
                <w:noProof/>
                <w:sz w:val="18"/>
                <w:lang w:val="en-GB"/>
              </w:rPr>
              <w:t>sis</w:t>
            </w:r>
            <w:r w:rsidRPr="0060611B">
              <w:rPr>
                <w:rFonts w:ascii="Times New Roman" w:hAnsi="Times New Roman"/>
                <w:noProof/>
                <w:sz w:val="18"/>
                <w:lang w:val="en-GB"/>
              </w:rPr>
              <w:t xml:space="preserve"> with portal </w:t>
            </w:r>
            <w:r w:rsidR="0049156E" w:rsidRPr="0060611B">
              <w:rPr>
                <w:rFonts w:ascii="Times New Roman" w:hAnsi="Times New Roman"/>
                <w:noProof/>
                <w:sz w:val="18"/>
                <w:lang w:val="en-GB"/>
              </w:rPr>
              <w:t>hypertension</w:t>
            </w:r>
            <w:r w:rsidRPr="0060611B">
              <w:rPr>
                <w:rFonts w:ascii="Times New Roman" w:hAnsi="Times New Roman"/>
                <w:noProof/>
                <w:sz w:val="18"/>
                <w:lang w:val="en-GB"/>
              </w:rPr>
              <w:t xml:space="preserve"> with or whithout a history of variceal bleeding</w:t>
            </w:r>
            <w:r w:rsidR="004624D6" w:rsidRPr="0060611B">
              <w:rPr>
                <w:rFonts w:ascii="Times New Roman" w:hAnsi="Times New Roman"/>
                <w:noProof/>
                <w:sz w:val="18"/>
                <w:lang w:val="en-GB"/>
              </w:rPr>
              <w:t>.</w:t>
            </w:r>
          </w:p>
        </w:tc>
      </w:tr>
      <w:tr w:rsidR="00E938D6" w:rsidRPr="0060611B">
        <w:tc>
          <w:tcPr>
            <w:tcW w:w="3174" w:type="dxa"/>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Metastatic solid tumour</w:t>
            </w:r>
          </w:p>
        </w:tc>
        <w:tc>
          <w:tcPr>
            <w:tcW w:w="6060" w:type="dxa"/>
          </w:tcPr>
          <w:p w:rsidR="00E938D6" w:rsidRPr="0060611B" w:rsidRDefault="001C6431" w:rsidP="009A3885">
            <w:pPr>
              <w:spacing w:line="480" w:lineRule="auto"/>
              <w:rPr>
                <w:rFonts w:ascii="Times New Roman" w:hAnsi="Times New Roman"/>
                <w:noProof/>
                <w:sz w:val="18"/>
                <w:lang w:val="en-GB"/>
              </w:rPr>
            </w:pPr>
            <w:r w:rsidRPr="0060611B">
              <w:rPr>
                <w:rFonts w:ascii="Times New Roman" w:hAnsi="Times New Roman"/>
                <w:noProof/>
                <w:sz w:val="18"/>
                <w:lang w:val="en-GB"/>
              </w:rPr>
              <w:t>Patients with metastátic</w:t>
            </w:r>
            <w:r w:rsidR="004A28F8" w:rsidRPr="0060611B">
              <w:rPr>
                <w:rFonts w:ascii="Times New Roman" w:hAnsi="Times New Roman"/>
                <w:noProof/>
                <w:sz w:val="18"/>
                <w:lang w:val="en-GB"/>
              </w:rPr>
              <w:t xml:space="preserve"> solid tumors, including breast, lung, colon and other tumors</w:t>
            </w:r>
            <w:r w:rsidR="004624D6" w:rsidRPr="0060611B">
              <w:rPr>
                <w:rFonts w:ascii="Times New Roman" w:hAnsi="Times New Roman"/>
                <w:noProof/>
                <w:sz w:val="18"/>
                <w:lang w:val="en-GB"/>
              </w:rPr>
              <w:t>.</w:t>
            </w:r>
          </w:p>
        </w:tc>
      </w:tr>
      <w:tr w:rsidR="00E938D6" w:rsidRPr="0060611B">
        <w:tc>
          <w:tcPr>
            <w:tcW w:w="3174" w:type="dxa"/>
            <w:tcBorders>
              <w:bottom w:val="single" w:sz="4" w:space="0" w:color="auto"/>
            </w:tcBorders>
          </w:tcPr>
          <w:p w:rsidR="00E938D6" w:rsidRPr="0060611B" w:rsidRDefault="00E938D6" w:rsidP="009A3885">
            <w:pPr>
              <w:spacing w:line="480" w:lineRule="auto"/>
              <w:rPr>
                <w:rFonts w:ascii="Times New Roman" w:hAnsi="Times New Roman"/>
                <w:noProof/>
                <w:sz w:val="18"/>
                <w:szCs w:val="20"/>
                <w:lang w:val="en-GB"/>
              </w:rPr>
            </w:pPr>
            <w:r w:rsidRPr="0060611B">
              <w:rPr>
                <w:rFonts w:ascii="Times New Roman" w:hAnsi="Times New Roman"/>
                <w:noProof/>
                <w:sz w:val="18"/>
                <w:szCs w:val="20"/>
                <w:lang w:val="en-GB"/>
              </w:rPr>
              <w:t>A</w:t>
            </w:r>
            <w:r w:rsidR="004624D6" w:rsidRPr="0060611B">
              <w:rPr>
                <w:rFonts w:ascii="Times New Roman" w:hAnsi="Times New Roman"/>
                <w:noProof/>
                <w:sz w:val="18"/>
                <w:szCs w:val="20"/>
                <w:lang w:val="en-GB"/>
              </w:rPr>
              <w:t>cquired i</w:t>
            </w:r>
            <w:r w:rsidR="0070050A" w:rsidRPr="0060611B">
              <w:rPr>
                <w:rFonts w:ascii="Times New Roman" w:hAnsi="Times New Roman"/>
                <w:noProof/>
                <w:sz w:val="18"/>
                <w:szCs w:val="20"/>
                <w:lang w:val="en-GB"/>
              </w:rPr>
              <w:t>mmune deficiency syndrome</w:t>
            </w:r>
          </w:p>
        </w:tc>
        <w:tc>
          <w:tcPr>
            <w:tcW w:w="6060" w:type="dxa"/>
            <w:tcBorders>
              <w:bottom w:val="single" w:sz="4" w:space="0" w:color="auto"/>
            </w:tcBorders>
          </w:tcPr>
          <w:p w:rsidR="00E938D6" w:rsidRPr="0060611B" w:rsidRDefault="0070050A" w:rsidP="009A3885">
            <w:pPr>
              <w:spacing w:line="480" w:lineRule="auto"/>
              <w:rPr>
                <w:rFonts w:ascii="Times New Roman" w:hAnsi="Times New Roman"/>
                <w:noProof/>
                <w:sz w:val="18"/>
                <w:lang w:val="en-GB"/>
              </w:rPr>
            </w:pPr>
            <w:r w:rsidRPr="0060611B">
              <w:rPr>
                <w:rFonts w:ascii="Times New Roman" w:hAnsi="Times New Roman"/>
                <w:noProof/>
                <w:sz w:val="18"/>
                <w:lang w:val="en-GB"/>
              </w:rPr>
              <w:t xml:space="preserve">Patients with define or probable </w:t>
            </w:r>
            <w:r w:rsidR="001C6431" w:rsidRPr="0060611B">
              <w:rPr>
                <w:rFonts w:ascii="Times New Roman" w:hAnsi="Times New Roman"/>
                <w:noProof/>
                <w:sz w:val="18"/>
                <w:lang w:val="en-GB"/>
              </w:rPr>
              <w:t xml:space="preserve">acquired immune </w:t>
            </w:r>
            <w:r w:rsidR="004624D6" w:rsidRPr="0060611B">
              <w:rPr>
                <w:rFonts w:ascii="Times New Roman" w:hAnsi="Times New Roman"/>
                <w:noProof/>
                <w:sz w:val="18"/>
                <w:lang w:val="en-GB"/>
              </w:rPr>
              <w:t>deficiency syndrome</w:t>
            </w:r>
            <w:r w:rsidRPr="0060611B">
              <w:rPr>
                <w:rFonts w:ascii="Times New Roman" w:hAnsi="Times New Roman"/>
                <w:noProof/>
                <w:sz w:val="18"/>
                <w:lang w:val="en-GB"/>
              </w:rPr>
              <w:t>.</w:t>
            </w:r>
            <w:r w:rsidR="001C6431" w:rsidRPr="0060611B">
              <w:rPr>
                <w:rFonts w:ascii="Times New Roman" w:hAnsi="Times New Roman"/>
                <w:noProof/>
                <w:sz w:val="18"/>
                <w:lang w:val="en-GB"/>
              </w:rPr>
              <w:t xml:space="preserve"> Patients with only human immune </w:t>
            </w:r>
            <w:r w:rsidR="004624D6" w:rsidRPr="0060611B">
              <w:rPr>
                <w:rFonts w:ascii="Times New Roman" w:hAnsi="Times New Roman"/>
                <w:noProof/>
                <w:sz w:val="18"/>
                <w:lang w:val="en-GB"/>
              </w:rPr>
              <w:t>defiency virus</w:t>
            </w:r>
            <w:r w:rsidR="00F107F8" w:rsidRPr="0060611B">
              <w:rPr>
                <w:rFonts w:ascii="Times New Roman" w:hAnsi="Times New Roman"/>
                <w:noProof/>
                <w:sz w:val="18"/>
                <w:lang w:val="en-GB"/>
              </w:rPr>
              <w:t xml:space="preserve"> infection </w:t>
            </w:r>
            <w:r w:rsidR="001C6431" w:rsidRPr="0060611B">
              <w:rPr>
                <w:rFonts w:ascii="Times New Roman" w:hAnsi="Times New Roman"/>
                <w:noProof/>
                <w:sz w:val="18"/>
                <w:lang w:val="en-GB"/>
              </w:rPr>
              <w:t xml:space="preserve">but asymptomatic </w:t>
            </w:r>
            <w:r w:rsidR="00F107F8" w:rsidRPr="0060611B">
              <w:rPr>
                <w:rFonts w:ascii="Times New Roman" w:hAnsi="Times New Roman"/>
                <w:noProof/>
                <w:sz w:val="18"/>
                <w:lang w:val="en-GB"/>
              </w:rPr>
              <w:t xml:space="preserve">were not designated as having </w:t>
            </w:r>
            <w:r w:rsidR="004624D6" w:rsidRPr="0060611B">
              <w:rPr>
                <w:rFonts w:ascii="Times New Roman" w:hAnsi="Times New Roman"/>
                <w:noProof/>
                <w:sz w:val="18"/>
                <w:lang w:val="en-GB"/>
              </w:rPr>
              <w:t>acquired immune deficiency syndrome.</w:t>
            </w:r>
          </w:p>
        </w:tc>
      </w:tr>
    </w:tbl>
    <w:p w:rsidR="000E19CB" w:rsidRPr="0060611B" w:rsidRDefault="00E6659B" w:rsidP="009A3885">
      <w:pPr>
        <w:spacing w:line="480" w:lineRule="auto"/>
        <w:rPr>
          <w:rFonts w:ascii="Times New Roman" w:hAnsi="Times New Roman"/>
        </w:rPr>
      </w:pPr>
      <w:r w:rsidRPr="0060611B">
        <w:rPr>
          <w:rFonts w:ascii="Times New Roman" w:hAnsi="Times New Roman"/>
          <w:noProof/>
          <w:lang w:val="en-GB"/>
        </w:rPr>
        <w:t> </w:t>
      </w:r>
    </w:p>
    <w:sectPr w:rsidR="000E19CB" w:rsidRPr="0060611B" w:rsidSect="00E6659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7"/>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07085"/>
    <w:rsid w:val="00001549"/>
    <w:rsid w:val="00075834"/>
    <w:rsid w:val="00075AE7"/>
    <w:rsid w:val="000C1120"/>
    <w:rsid w:val="000C523C"/>
    <w:rsid w:val="000E19CB"/>
    <w:rsid w:val="000E6147"/>
    <w:rsid w:val="000E7337"/>
    <w:rsid w:val="001050C8"/>
    <w:rsid w:val="001C6431"/>
    <w:rsid w:val="002171F4"/>
    <w:rsid w:val="0024320F"/>
    <w:rsid w:val="00253377"/>
    <w:rsid w:val="002B322E"/>
    <w:rsid w:val="00434BA6"/>
    <w:rsid w:val="004624D6"/>
    <w:rsid w:val="0049156E"/>
    <w:rsid w:val="00496790"/>
    <w:rsid w:val="004A28F8"/>
    <w:rsid w:val="005A3533"/>
    <w:rsid w:val="0060611B"/>
    <w:rsid w:val="006C2C66"/>
    <w:rsid w:val="0070050A"/>
    <w:rsid w:val="00732A93"/>
    <w:rsid w:val="00807085"/>
    <w:rsid w:val="009A3885"/>
    <w:rsid w:val="00BF145E"/>
    <w:rsid w:val="00C0552C"/>
    <w:rsid w:val="00C53F06"/>
    <w:rsid w:val="00D730DE"/>
    <w:rsid w:val="00E6659B"/>
    <w:rsid w:val="00E938D6"/>
    <w:rsid w:val="00EC3B5A"/>
    <w:rsid w:val="00F107F8"/>
    <w:rsid w:val="00F9277A"/>
  </w:rsids>
  <m:mathPr>
    <m:mathFont m:val="Georgia"/>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7754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938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4699978">
      <w:bodyDiv w:val="1"/>
      <w:marLeft w:val="0"/>
      <w:marRight w:val="0"/>
      <w:marTop w:val="0"/>
      <w:marBottom w:val="0"/>
      <w:divBdr>
        <w:top w:val="none" w:sz="0" w:space="0" w:color="auto"/>
        <w:left w:val="none" w:sz="0" w:space="0" w:color="auto"/>
        <w:bottom w:val="none" w:sz="0" w:space="0" w:color="auto"/>
        <w:right w:val="none" w:sz="0" w:space="0" w:color="auto"/>
      </w:divBdr>
      <w:divsChild>
        <w:div w:id="562058490">
          <w:marLeft w:val="0"/>
          <w:marRight w:val="0"/>
          <w:marTop w:val="0"/>
          <w:marBottom w:val="0"/>
          <w:divBdr>
            <w:top w:val="none" w:sz="0" w:space="0" w:color="auto"/>
            <w:left w:val="none" w:sz="0" w:space="0" w:color="auto"/>
            <w:bottom w:val="none" w:sz="0" w:space="0" w:color="auto"/>
            <w:right w:val="none" w:sz="0" w:space="0" w:color="auto"/>
          </w:divBdr>
          <w:divsChild>
            <w:div w:id="1750417607">
              <w:marLeft w:val="0"/>
              <w:marRight w:val="0"/>
              <w:marTop w:val="0"/>
              <w:marBottom w:val="0"/>
              <w:divBdr>
                <w:top w:val="none" w:sz="0" w:space="0" w:color="auto"/>
                <w:left w:val="none" w:sz="0" w:space="0" w:color="auto"/>
                <w:bottom w:val="none" w:sz="0" w:space="0" w:color="auto"/>
                <w:right w:val="none" w:sz="0" w:space="0" w:color="auto"/>
              </w:divBdr>
              <w:divsChild>
                <w:div w:id="1932926657">
                  <w:marLeft w:val="0"/>
                  <w:marRight w:val="0"/>
                  <w:marTop w:val="0"/>
                  <w:marBottom w:val="0"/>
                  <w:divBdr>
                    <w:top w:val="none" w:sz="0" w:space="0" w:color="auto"/>
                    <w:left w:val="none" w:sz="0" w:space="0" w:color="auto"/>
                    <w:bottom w:val="none" w:sz="0" w:space="0" w:color="auto"/>
                    <w:right w:val="none" w:sz="0" w:space="0" w:color="auto"/>
                  </w:divBdr>
                  <w:divsChild>
                    <w:div w:id="206336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1159</TotalTime>
  <Pages>3</Pages>
  <Words>575</Words>
  <Characters>3222</Characters>
  <Application>Microsoft Word 12.1.0</Application>
  <DocSecurity>0</DocSecurity>
  <Lines>53</Lines>
  <Paragraphs>11</Paragraphs>
  <ScaleCrop>false</ScaleCrop>
  <LinksUpToDate>false</LinksUpToDate>
  <CharactersWithSpaces>4027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Guillemo Ternavasio</dc:creator>
  <cp:keywords/>
  <cp:lastModifiedBy>Hugo Guillemo Ternavasio</cp:lastModifiedBy>
  <cp:revision>28</cp:revision>
  <dcterms:created xsi:type="dcterms:W3CDTF">2017-07-05T21:20:00Z</dcterms:created>
  <dcterms:modified xsi:type="dcterms:W3CDTF">2017-12-09T10:18:00Z</dcterms:modified>
</cp:coreProperties>
</file>