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65" w:rsidRDefault="00946965" w:rsidP="00946965">
      <w:pPr>
        <w:pStyle w:val="Heading2"/>
        <w:rPr>
          <w:i/>
        </w:rPr>
      </w:pPr>
      <w:r>
        <w:rPr>
          <w:i/>
        </w:rPr>
        <w:t>Epidemiology and Infection</w:t>
      </w:r>
      <w:r w:rsidRPr="00946965">
        <w:rPr>
          <w:i/>
        </w:rPr>
        <w:t xml:space="preserve"> </w:t>
      </w:r>
    </w:p>
    <w:p w:rsidR="00946965" w:rsidRDefault="00946965" w:rsidP="00946965">
      <w:pPr>
        <w:pStyle w:val="Heading2"/>
        <w:rPr>
          <w:i/>
        </w:rPr>
      </w:pPr>
    </w:p>
    <w:p w:rsidR="00946965" w:rsidRDefault="00946965" w:rsidP="00946965">
      <w:pPr>
        <w:pStyle w:val="Heading2"/>
      </w:pPr>
      <w:r w:rsidRPr="00946965">
        <w:t>Childhood infections and common carotid intima media thickness in adolescence</w:t>
      </w:r>
      <w:r>
        <w:t xml:space="preserve"> </w:t>
      </w:r>
    </w:p>
    <w:p w:rsidR="00946965" w:rsidRPr="00946965" w:rsidRDefault="00946965" w:rsidP="00946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6965" w:rsidRDefault="00946965" w:rsidP="00946965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A. C. Prins-van Ginkel, P. C. J. </w:t>
      </w:r>
      <w:proofErr w:type="spellStart"/>
      <w:r w:rsidRPr="00F5679C">
        <w:rPr>
          <w:rFonts w:ascii="Times New Roman" w:hAnsi="Times New Roman" w:cs="Times New Roman"/>
          <w:sz w:val="24"/>
          <w:szCs w:val="24"/>
          <w:lang w:val="nl-NL"/>
        </w:rPr>
        <w:t>Bruijning</w:t>
      </w:r>
      <w:proofErr w:type="spellEnd"/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-Verhagen, A. H. </w:t>
      </w:r>
      <w:proofErr w:type="spellStart"/>
      <w:r w:rsidRPr="00F5679C">
        <w:rPr>
          <w:rFonts w:ascii="Times New Roman" w:hAnsi="Times New Roman" w:cs="Times New Roman"/>
          <w:sz w:val="24"/>
          <w:szCs w:val="24"/>
          <w:lang w:val="nl-NL"/>
        </w:rPr>
        <w:t>Wijga</w:t>
      </w:r>
      <w:proofErr w:type="spellEnd"/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, M. L. Bots, </w:t>
      </w:r>
      <w:r>
        <w:rPr>
          <w:rFonts w:ascii="Times New Roman" w:hAnsi="Times New Roman" w:cs="Times New Roman"/>
          <w:sz w:val="24"/>
          <w:szCs w:val="24"/>
          <w:lang w:val="nl-NL"/>
        </w:rPr>
        <w:t>U.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F5679C">
        <w:rPr>
          <w:rFonts w:ascii="Times New Roman" w:hAnsi="Times New Roman" w:cs="Times New Roman"/>
          <w:sz w:val="24"/>
          <w:szCs w:val="24"/>
          <w:lang w:val="nl-NL"/>
        </w:rPr>
        <w:t>Gehring</w:t>
      </w:r>
      <w:proofErr w:type="spellEnd"/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NL"/>
        </w:rPr>
        <w:t>W.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van der Hoek, </w:t>
      </w:r>
      <w:r>
        <w:rPr>
          <w:rFonts w:ascii="Times New Roman" w:hAnsi="Times New Roman" w:cs="Times New Roman"/>
          <w:sz w:val="24"/>
          <w:szCs w:val="24"/>
          <w:lang w:val="nl-NL"/>
        </w:rPr>
        <w:t>G.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H. Koppelman,</w:t>
      </w:r>
      <w:r w:rsidRPr="00F5679C" w:rsidDel="00F5679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L.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van Rossem, C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S.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>P.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M. </w:t>
      </w:r>
      <w:proofErr w:type="spellStart"/>
      <w:r w:rsidRPr="00F5679C">
        <w:rPr>
          <w:rFonts w:ascii="Times New Roman" w:hAnsi="Times New Roman" w:cs="Times New Roman"/>
          <w:sz w:val="24"/>
          <w:szCs w:val="24"/>
          <w:lang w:val="nl-NL"/>
        </w:rPr>
        <w:t>Uiterwaal</w:t>
      </w:r>
      <w:proofErr w:type="spellEnd"/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l-NL"/>
        </w:rPr>
        <w:t>H.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A. Smit, </w:t>
      </w:r>
      <w:r>
        <w:rPr>
          <w:rFonts w:ascii="Times New Roman" w:hAnsi="Times New Roman" w:cs="Times New Roman"/>
          <w:sz w:val="24"/>
          <w:szCs w:val="24"/>
          <w:lang w:val="nl-NL"/>
        </w:rPr>
        <w:t>M.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5679C">
        <w:rPr>
          <w:rFonts w:ascii="Times New Roman" w:hAnsi="Times New Roman" w:cs="Times New Roman"/>
          <w:sz w:val="24"/>
          <w:szCs w:val="24"/>
          <w:lang w:val="nl-NL"/>
        </w:rPr>
        <w:t>B. van der Sande</w:t>
      </w:r>
    </w:p>
    <w:p w:rsidR="006D41AB" w:rsidRDefault="006D41AB" w:rsidP="00946965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:rsidR="006D41AB" w:rsidRDefault="00DE65B8" w:rsidP="00DE65B8">
      <w:pPr>
        <w:pStyle w:val="Heading3"/>
        <w:rPr>
          <w:lang w:val="nl-NL"/>
        </w:rPr>
      </w:pPr>
      <w:proofErr w:type="spellStart"/>
      <w:r>
        <w:rPr>
          <w:lang w:val="nl-NL"/>
        </w:rPr>
        <w:t>Supplementary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Material</w:t>
      </w:r>
      <w:proofErr w:type="spellEnd"/>
    </w:p>
    <w:p w:rsidR="00521A41" w:rsidRPr="00A94C0C" w:rsidRDefault="00521A41" w:rsidP="00521A41">
      <w:pPr>
        <w:pStyle w:val="NoSpacing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4941"/>
      </w:tblGrid>
      <w:tr w:rsidR="00521A41" w:rsidRPr="00E51EF0" w:rsidTr="00521A41">
        <w:trPr>
          <w:trHeight w:val="300"/>
        </w:trPr>
        <w:tc>
          <w:tcPr>
            <w:tcW w:w="69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94C0C">
              <w:rPr>
                <w:rFonts w:ascii="Times New Roman" w:hAnsi="Times New Roman" w:cs="Times New Roman"/>
                <w:b/>
                <w:sz w:val="24"/>
                <w:szCs w:val="24"/>
              </w:rPr>
              <w:t>Supplementary Table</w:t>
            </w:r>
            <w:r w:rsidRPr="00A94C0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b/>
                <w:color w:val="000000"/>
              </w:rPr>
              <w:t>ICPC code</w:t>
            </w:r>
          </w:p>
        </w:tc>
        <w:tc>
          <w:tcPr>
            <w:tcW w:w="4941" w:type="dxa"/>
            <w:shd w:val="clear" w:color="auto" w:fill="auto"/>
            <w:noWrap/>
            <w:vAlign w:val="bottom"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b/>
                <w:color w:val="000000"/>
              </w:rPr>
              <w:t>Diagnosis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A03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Fever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Measles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A72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Chickenpox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A74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Rubella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A76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 xml:space="preserve">Viral 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exanthem</w:t>
            </w:r>
            <w:proofErr w:type="spellEnd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 xml:space="preserve"> other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A76/A77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 xml:space="preserve">Viral disease other [with 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exanthem</w:t>
            </w:r>
            <w:proofErr w:type="spellEnd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]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A77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Viral disease other/NOS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A78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Infectious disease other/NOS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B70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Lymphadenitis acute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D70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Gastrointestinal infection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D70/D73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Gastrointestinal [presumed] infection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D71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Mumps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D73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Gastroenteritis presumed infection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H71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Acute otitis media/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myringitis</w:t>
            </w:r>
            <w:proofErr w:type="spellEnd"/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H71/H72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Otitis media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H72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Serous otitis media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H74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Chronic otitis media/ear infection other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L70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Infections musculoskeletal system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N07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Convulsion/seizure (including fever-)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N71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Meningitis/encephalitis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Whooping cough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R72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Strep throat/scarlet fever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R72/R76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Strep throat/scarlet fever/tonsillitis acute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R74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Upper respiratory infection acute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R75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Sinusitis acute/chronic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R76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Tonsillitis acute/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peritonsillar</w:t>
            </w:r>
            <w:proofErr w:type="spellEnd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 xml:space="preserve"> abscess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R77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Laryngitis/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tracheitis</w:t>
            </w:r>
            <w:proofErr w:type="spellEnd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 xml:space="preserve"> acute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R78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Acute bronchitis/bronchiolitis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R78/R80/R81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Acute bronchitis/bronchiolitis/influenza/pneumonia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R80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Influenza [ex. R81]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R81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Pneumonia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R82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Pleurisy/pleural effusion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R83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Respiratory infection other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S70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Herpes zoster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Herpes simplex [ex. F85,X90,Y72]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S84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Impetigo/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impetiginization</w:t>
            </w:r>
            <w:proofErr w:type="spellEnd"/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U70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Acute pyelonephritis/</w:t>
            </w: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pyelitis</w:t>
            </w:r>
            <w:proofErr w:type="spellEnd"/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U71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Cystitis/urinary infection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Y74</w:t>
            </w:r>
          </w:p>
        </w:tc>
        <w:tc>
          <w:tcPr>
            <w:tcW w:w="4941" w:type="dxa"/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Orchitis</w:t>
            </w:r>
            <w:proofErr w:type="spellEnd"/>
            <w:r w:rsidRPr="00E51EF0">
              <w:rPr>
                <w:rFonts w:ascii="Times New Roman" w:eastAsia="Times New Roman" w:hAnsi="Times New Roman" w:cs="Times New Roman"/>
                <w:color w:val="000000"/>
              </w:rPr>
              <w:t>/epididymitis</w:t>
            </w:r>
          </w:p>
        </w:tc>
      </w:tr>
      <w:tr w:rsidR="00521A41" w:rsidRPr="00E51EF0" w:rsidTr="00D6663C">
        <w:trPr>
          <w:trHeight w:val="300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41" w:rsidRPr="00E51EF0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E51EF0">
              <w:rPr>
                <w:rFonts w:ascii="Times New Roman" w:eastAsia="Times New Roman" w:hAnsi="Times New Roman" w:cs="Times New Roman"/>
                <w:color w:val="000000"/>
              </w:rPr>
              <w:t>Viral infection NOS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521A41" w:rsidRPr="00E51EF0" w:rsidTr="00D6663C">
        <w:trPr>
          <w:trHeight w:val="300"/>
        </w:trPr>
        <w:tc>
          <w:tcPr>
            <w:tcW w:w="69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A41" w:rsidRPr="000D5357" w:rsidRDefault="00521A41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ICPC: International Classification of Primary Care;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NOS: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Not otherwise specified.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>
              <w:t xml:space="preserve"> </w:t>
            </w:r>
            <w:r w:rsidRPr="00A9787E">
              <w:rPr>
                <w:rFonts w:ascii="Times New Roman" w:eastAsia="Times New Roman" w:hAnsi="Times New Roman" w:cs="Times New Roman"/>
                <w:color w:val="000000"/>
              </w:rPr>
              <w:t>For the convenience of the participating GP</w:t>
            </w:r>
            <w:proofErr w:type="gramEnd"/>
            <w:r w:rsidRPr="00A9787E">
              <w:rPr>
                <w:rFonts w:ascii="Times New Roman" w:eastAsia="Times New Roman" w:hAnsi="Times New Roman" w:cs="Times New Roman"/>
                <w:color w:val="000000"/>
              </w:rPr>
              <w:t xml:space="preserve"> some infectious disease diagnoses were combined on the questi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onnaires.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Pr="000D5357">
              <w:rPr>
                <w:rFonts w:ascii="Times New Roman" w:eastAsia="Times New Roman" w:hAnsi="Times New Roman" w:cs="Times New Roman"/>
                <w:color w:val="000000"/>
              </w:rPr>
              <w:t>he diagnosis viral infection not otherwise specified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(NOS)</w:t>
            </w:r>
            <w:r w:rsidRPr="000D53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D5357">
              <w:rPr>
                <w:rFonts w:ascii="Times New Roman" w:eastAsia="Times New Roman" w:hAnsi="Times New Roman" w:cs="Times New Roman"/>
                <w:color w:val="000000"/>
              </w:rPr>
              <w:t>was added</w:t>
            </w:r>
            <w:proofErr w:type="gramEnd"/>
            <w:r w:rsidRPr="000D5357">
              <w:rPr>
                <w:rFonts w:ascii="Times New Roman" w:eastAsia="Times New Roman" w:hAnsi="Times New Roman" w:cs="Times New Roman"/>
                <w:color w:val="000000"/>
              </w:rPr>
              <w:t xml:space="preserve"> to the questionnaire as a potential diagnosis.</w:t>
            </w:r>
          </w:p>
        </w:tc>
      </w:tr>
    </w:tbl>
    <w:p w:rsidR="00521A41" w:rsidRPr="007D49C6" w:rsidRDefault="00521A41" w:rsidP="00521A41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495"/>
        <w:gridCol w:w="1984"/>
        <w:gridCol w:w="1985"/>
      </w:tblGrid>
      <w:tr w:rsidR="00521A41" w:rsidRPr="008A521C" w:rsidTr="00D6663C">
        <w:trPr>
          <w:trHeight w:val="34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Supplementary Table 2</w:t>
            </w:r>
            <w:r w:rsidRPr="008A521C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.</w:t>
            </w:r>
            <w:proofErr w:type="gramEnd"/>
            <w:r w:rsidRPr="008A521C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</w:t>
            </w:r>
            <w:r w:rsidRPr="008A521C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Characteristics of </w:t>
            </w:r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participants invited for the common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carotid intima media thickness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</w:t>
            </w:r>
            <w:r w:rsidR="00181299">
              <w:rPr>
                <w:rFonts w:ascii="Times New Roman" w:eastAsia="Times New Roman" w:hAnsi="Times New Roman" w:cs="Times New Roman"/>
                <w:bCs/>
                <w:kern w:val="24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kern w:val="24"/>
              </w:rPr>
              <w:t>IMT) measurement at age 16.</w:t>
            </w:r>
          </w:p>
        </w:tc>
      </w:tr>
      <w:tr w:rsidR="00521A41" w:rsidRPr="008A521C" w:rsidTr="00D6663C">
        <w:trPr>
          <w:trHeight w:val="295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</w:rPr>
            </w:pPr>
            <w:r w:rsidRPr="008A521C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Eligible study population</w:t>
            </w:r>
          </w:p>
        </w:tc>
      </w:tr>
      <w:tr w:rsidR="00521A41" w:rsidRPr="008A521C" w:rsidTr="00D6663C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kern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kern w:val="24"/>
              </w:rPr>
              <w:t>N</w:t>
            </w:r>
          </w:p>
        </w:tc>
      </w:tr>
      <w:tr w:rsidR="00521A41" w:rsidRPr="008A521C" w:rsidTr="00D6663C">
        <w:trPr>
          <w:trHeight w:val="295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kern w:val="24"/>
              </w:rPr>
              <w:t>Complete parent-reported data on the first 4 years of life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93.6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1153</w:t>
            </w:r>
          </w:p>
        </w:tc>
      </w:tr>
      <w:tr w:rsidR="00521A41" w:rsidRPr="008A521C" w:rsidTr="00D6663C">
        <w:trPr>
          <w:trHeight w:val="295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kern w:val="24"/>
              </w:rPr>
              <w:t>Complete GP data on the first 4 years of life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25.2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  <w:t>Sex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1232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Male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Female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46.3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  <w:t>Overweight mother before pregnancy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1146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83.2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Yes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16.8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  <w:t>Parental education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1219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Low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High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  <w:t>Allergic mother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Calibri" w:hAnsi="Times New Roman" w:cs="Times New Roman"/>
                <w:color w:val="1C1C1C"/>
                <w:kern w:val="24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1232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Calibri" w:hAnsi="Times New Roman" w:cs="Times New Roman"/>
                <w:color w:val="1C1C1C"/>
                <w:kern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1C1C1C"/>
                <w:kern w:val="24"/>
                <w:lang w:val="nl-NL"/>
              </w:rPr>
              <w:t>73.9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Yes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Calibri" w:hAnsi="Times New Roman" w:cs="Times New Roman"/>
                <w:color w:val="1C1C1C"/>
                <w:kern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1C1C1C"/>
                <w:kern w:val="24"/>
                <w:lang w:val="nl-NL"/>
              </w:rPr>
              <w:t>26.1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</w:rPr>
            </w:pPr>
            <w:r w:rsidRPr="008A521C"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  <w:t>Exposure to any smoking indoors first four years of life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Yes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/>
                <w:bCs/>
                <w:color w:val="1C1C1C"/>
                <w:kern w:val="24"/>
              </w:rPr>
              <w:t>Breastfeeding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1213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No breastfeeding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lastRenderedPageBreak/>
              <w:tab/>
            </w:r>
            <w:r w:rsidRPr="008A521C">
              <w:rPr>
                <w:rFonts w:ascii="Times New Roman" w:hAnsi="Times New Roman" w:cs="Times New Roman"/>
              </w:rPr>
              <w:t>≤16 weeks of breastfeeding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48.9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ab/>
              <w:t>&gt;16 weeks of breastfeeding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36.4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521C">
              <w:rPr>
                <w:rFonts w:ascii="Times New Roman" w:eastAsia="Times New Roman" w:hAnsi="Times New Roman" w:cs="Times New Roman"/>
              </w:rPr>
              <w:t>Mean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</w:t>
            </w:r>
            <w:r w:rsidRPr="008A521C"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Birth weight 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 (1228)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A41" w:rsidRPr="008A521C" w:rsidRDefault="00897F4C" w:rsidP="00D666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C</w:t>
            </w:r>
            <w:r w:rsidR="00521A41"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 xml:space="preserve">IMT in </w:t>
            </w:r>
            <w:proofErr w:type="spellStart"/>
            <w:r w:rsidR="00521A41"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μm</w:t>
            </w:r>
            <w:proofErr w:type="spellEnd"/>
            <w:r w:rsidR="00521A41"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 xml:space="preserve"> age 16 years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1.90 (420)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 xml:space="preserve">Total cholesterol </w:t>
            </w:r>
            <w:proofErr w:type="spellStart"/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mmol</w:t>
            </w:r>
            <w:proofErr w:type="spellEnd"/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/L age 16 years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3.85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 (447)</w:t>
            </w:r>
          </w:p>
        </w:tc>
      </w:tr>
      <w:tr w:rsidR="00521A41" w:rsidRPr="008A521C" w:rsidTr="00D6663C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</w:pP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 xml:space="preserve">HDL cholesterol </w:t>
            </w:r>
            <w:proofErr w:type="spellStart"/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mmol</w:t>
            </w:r>
            <w:proofErr w:type="spellEnd"/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/L age 16 years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kern w:val="24"/>
              </w:rPr>
              <w:t>1.35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A41" w:rsidRPr="008A521C" w:rsidRDefault="00521A41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 (447)</w:t>
            </w:r>
          </w:p>
        </w:tc>
      </w:tr>
      <w:tr w:rsidR="00521A41" w:rsidRPr="008A521C" w:rsidTr="00D6663C">
        <w:trPr>
          <w:trHeight w:val="289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A41" w:rsidRPr="008A521C" w:rsidRDefault="00521A41" w:rsidP="00D6663C">
            <w:pPr>
              <w:rPr>
                <w:rFonts w:ascii="Times New Roman" w:eastAsia="Times New Roman" w:hAnsi="Times New Roman" w:cs="Times New Roman"/>
                <w:color w:val="1C1C1C"/>
                <w:kern w:val="24"/>
              </w:rPr>
            </w:pPr>
            <w:proofErr w:type="gramStart"/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GP: general practitioner; IMT: intima media thickness of common carotid artery; MI: multiple imputation; S</w:t>
            </w:r>
            <w: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E</w:t>
            </w: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 xml:space="preserve">: standard </w:t>
            </w:r>
            <w:r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error</w:t>
            </w:r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>.</w:t>
            </w:r>
            <w:proofErr w:type="gramEnd"/>
            <w:r w:rsidRPr="008A521C">
              <w:rPr>
                <w:rFonts w:ascii="Times New Roman" w:eastAsia="Times New Roman" w:hAnsi="Times New Roman" w:cs="Times New Roman"/>
                <w:bCs/>
                <w:color w:val="1C1C1C"/>
                <w:kern w:val="24"/>
              </w:rPr>
              <w:t xml:space="preserve"> </w:t>
            </w:r>
          </w:p>
        </w:tc>
      </w:tr>
    </w:tbl>
    <w:p w:rsidR="003145A2" w:rsidRDefault="003145A2" w:rsidP="00946965">
      <w:pPr>
        <w:pStyle w:val="Heading2"/>
      </w:pP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64"/>
        <w:gridCol w:w="1772"/>
      </w:tblGrid>
      <w:tr w:rsidR="002A4B25" w:rsidRPr="00C05B85" w:rsidTr="00D6663C">
        <w:trPr>
          <w:trHeight w:val="558"/>
        </w:trPr>
        <w:tc>
          <w:tcPr>
            <w:tcW w:w="7905" w:type="dxa"/>
            <w:gridSpan w:val="3"/>
            <w:tcBorders>
              <w:bottom w:val="single" w:sz="4" w:space="0" w:color="auto"/>
            </w:tcBorders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Supplementary Table 3</w:t>
            </w:r>
            <w:r w:rsidRPr="00C05B85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.</w:t>
            </w:r>
            <w:proofErr w:type="gramEnd"/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Difference in </w:t>
            </w:r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common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carotid intima media thickness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</w:t>
            </w:r>
            <w:r w:rsidR="00D24C87">
              <w:rPr>
                <w:rFonts w:ascii="Times New Roman" w:eastAsia="Times New Roman" w:hAnsi="Times New Roman" w:cs="Times New Roman"/>
                <w:bCs/>
                <w:kern w:val="24"/>
              </w:rPr>
              <w:t>C</w:t>
            </w: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>IMT</w:t>
            </w:r>
            <w:r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at age 16 years between exposed and reference group after multiple imputation and with total and HDL cholesterol in the model.</w:t>
            </w:r>
          </w:p>
        </w:tc>
      </w:tr>
      <w:tr w:rsidR="002A4B25" w:rsidRPr="00C05B85" w:rsidTr="00D6663C">
        <w:trPr>
          <w:trHeight w:val="28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/>
              </w:rPr>
            </w:pPr>
            <w:r w:rsidRPr="00C05B85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Determinant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∆ </w:t>
            </w:r>
            <w:r w:rsidR="00E02D32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C</w:t>
            </w:r>
            <w:r w:rsidRPr="00C05B85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IMT </w:t>
            </w:r>
            <w:proofErr w:type="spellStart"/>
            <w:r w:rsidRPr="00C05B85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μm</w:t>
            </w:r>
            <w:proofErr w:type="spellEnd"/>
            <w:r w:rsidRPr="00C05B85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(95% CI)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  <w:tcBorders>
              <w:top w:val="single" w:sz="4" w:space="0" w:color="auto"/>
            </w:tcBorders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>GP diagnosed infections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0-1 infection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Ref.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2-3 infections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4.4 (-9.7-18.6)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4-6 infections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-1.9 (-16.7-12.9)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≥7 infections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5.4 (-9.8-20.6)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>Antibiotic prescriptions</w:t>
            </w:r>
          </w:p>
        </w:tc>
        <w:tc>
          <w:tcPr>
            <w:tcW w:w="2764" w:type="dxa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0 prescriptions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Ref.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1 prescription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-7.8 (-21.1-5.4)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2 prescriptions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7.4 (-9.3-24.1)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ab/>
              <w:t>≥3 prescriptions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8.6 (-5.0-22.2)</w:t>
            </w:r>
          </w:p>
        </w:tc>
      </w:tr>
      <w:tr w:rsidR="002A4B25" w:rsidRPr="00C05B85" w:rsidTr="00D6663C">
        <w:trPr>
          <w:trHeight w:val="174"/>
        </w:trPr>
        <w:tc>
          <w:tcPr>
            <w:tcW w:w="3369" w:type="dxa"/>
            <w:hideMark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>Parent-reported infections</w:t>
            </w:r>
          </w:p>
        </w:tc>
        <w:tc>
          <w:tcPr>
            <w:tcW w:w="2764" w:type="dxa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4B25" w:rsidRPr="00C05B85" w:rsidTr="00D6663C">
        <w:trPr>
          <w:trHeight w:val="289"/>
        </w:trPr>
        <w:tc>
          <w:tcPr>
            <w:tcW w:w="3369" w:type="dxa"/>
            <w:hideMark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ab/>
              <w:t>0-2.5 infections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Ref.</w:t>
            </w:r>
          </w:p>
        </w:tc>
      </w:tr>
      <w:tr w:rsidR="002A4B25" w:rsidRPr="00C05B85" w:rsidTr="00D6663C">
        <w:trPr>
          <w:trHeight w:val="289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ab/>
              <w:t>3-5 infections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-9.7 (-22.8-3.3)</w:t>
            </w:r>
          </w:p>
        </w:tc>
      </w:tr>
      <w:tr w:rsidR="002A4B25" w:rsidRPr="00C05B85" w:rsidTr="00D6663C">
        <w:trPr>
          <w:trHeight w:val="289"/>
        </w:trPr>
        <w:tc>
          <w:tcPr>
            <w:tcW w:w="3369" w:type="dxa"/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ab/>
              <w:t>6-7 infections</w:t>
            </w:r>
          </w:p>
        </w:tc>
        <w:tc>
          <w:tcPr>
            <w:tcW w:w="4536" w:type="dxa"/>
            <w:gridSpan w:val="2"/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0.5 (-13.3-14.3)</w:t>
            </w:r>
          </w:p>
        </w:tc>
      </w:tr>
      <w:tr w:rsidR="002A4B25" w:rsidRPr="00C05B85" w:rsidTr="00D6663C">
        <w:trPr>
          <w:trHeight w:val="289"/>
        </w:trPr>
        <w:tc>
          <w:tcPr>
            <w:tcW w:w="3369" w:type="dxa"/>
            <w:tcBorders>
              <w:bottom w:val="single" w:sz="4" w:space="0" w:color="auto"/>
            </w:tcBorders>
          </w:tcPr>
          <w:p w:rsidR="002A4B25" w:rsidRPr="00C05B85" w:rsidRDefault="002A4B25" w:rsidP="00D6663C">
            <w:pPr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ab/>
            </w:r>
            <w:r w:rsidRPr="00C05B85">
              <w:rPr>
                <w:rFonts w:ascii="Times New Roman" w:eastAsia="Times New Roman" w:hAnsi="Times New Roman" w:cs="Times New Roman"/>
                <w:bCs/>
                <w:kern w:val="24"/>
              </w:rPr>
              <w:t>≥8 infections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A4B25" w:rsidRPr="00C05B85" w:rsidRDefault="002A4B25" w:rsidP="00D66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</w:rPr>
              <w:t>10.9 (-2.1-23.8)</w:t>
            </w:r>
          </w:p>
        </w:tc>
      </w:tr>
      <w:tr w:rsidR="002A4B25" w:rsidRPr="00C05B85" w:rsidTr="00D6663C">
        <w:trPr>
          <w:trHeight w:val="215"/>
        </w:trPr>
        <w:tc>
          <w:tcPr>
            <w:tcW w:w="7905" w:type="dxa"/>
            <w:gridSpan w:val="3"/>
            <w:tcBorders>
              <w:top w:val="single" w:sz="4" w:space="0" w:color="auto"/>
            </w:tcBorders>
          </w:tcPr>
          <w:p w:rsidR="002A4B25" w:rsidRPr="00C05B85" w:rsidRDefault="002A4B25" w:rsidP="00D6663C">
            <w:pPr>
              <w:rPr>
                <w:rFonts w:ascii="Times New Roman" w:hAnsi="Times New Roman" w:cs="Times New Roman"/>
              </w:rPr>
            </w:pPr>
            <w:r w:rsidRPr="00C05B85">
              <w:rPr>
                <w:rFonts w:ascii="Times New Roman" w:eastAsia="Times New Roman" w:hAnsi="Times New Roman" w:cs="Times New Roman"/>
                <w:kern w:val="24"/>
              </w:rPr>
              <w:t xml:space="preserve">Models adjusted for gender, education of parents, birthweight, overweight of the mother before pregnancy, breastfeeding, allergy of the mother, indoor smoke exposure, </w:t>
            </w:r>
            <w:proofErr w:type="gramStart"/>
            <w:r w:rsidRPr="00C05B85">
              <w:rPr>
                <w:rFonts w:ascii="Times New Roman" w:eastAsia="Times New Roman" w:hAnsi="Times New Roman" w:cs="Times New Roman"/>
                <w:kern w:val="24"/>
              </w:rPr>
              <w:t>high</w:t>
            </w:r>
            <w:proofErr w:type="gramEnd"/>
            <w:r w:rsidRPr="00C05B85">
              <w:rPr>
                <w:rFonts w:ascii="Times New Roman" w:eastAsia="Times New Roman" w:hAnsi="Times New Roman" w:cs="Times New Roman"/>
                <w:kern w:val="24"/>
              </w:rPr>
              <w:t xml:space="preserve">-density lipoprotein (HDL) and total cholesterol. </w:t>
            </w:r>
            <w:proofErr w:type="gramStart"/>
            <w:r w:rsidRPr="00C05B85">
              <w:rPr>
                <w:rFonts w:ascii="Times New Roman" w:eastAsia="Times New Roman" w:hAnsi="Times New Roman" w:cs="Times New Roman"/>
                <w:kern w:val="24"/>
              </w:rPr>
              <w:t>GP: general practitioner; IMT: intima media thickness; MI: multiple imputation.</w:t>
            </w:r>
            <w:proofErr w:type="gramEnd"/>
          </w:p>
        </w:tc>
      </w:tr>
    </w:tbl>
    <w:p w:rsidR="00521A41" w:rsidRDefault="00521A41" w:rsidP="00521A41"/>
    <w:tbl>
      <w:tblPr>
        <w:tblW w:w="5080" w:type="dxa"/>
        <w:tblInd w:w="93" w:type="dxa"/>
        <w:tblLook w:val="04A0" w:firstRow="1" w:lastRow="0" w:firstColumn="1" w:lastColumn="0" w:noHBand="0" w:noVBand="1"/>
      </w:tblPr>
      <w:tblGrid>
        <w:gridCol w:w="2320"/>
        <w:gridCol w:w="1920"/>
        <w:gridCol w:w="840"/>
      </w:tblGrid>
      <w:tr w:rsidR="00695457" w:rsidRPr="00CE5560" w:rsidTr="00D6663C">
        <w:trPr>
          <w:trHeight w:val="255"/>
        </w:trPr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457" w:rsidRPr="00CE5560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E5560">
              <w:rPr>
                <w:rFonts w:ascii="Times New Roman" w:hAnsi="Times New Roman" w:cs="Times New Roman"/>
                <w:b/>
                <w:sz w:val="20"/>
                <w:szCs w:val="20"/>
              </w:rPr>
              <w:t>Supplementary table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CE5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CE5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5560">
              <w:rPr>
                <w:rFonts w:ascii="Times New Roman" w:hAnsi="Times New Roman" w:cs="Times New Roman"/>
                <w:sz w:val="20"/>
                <w:szCs w:val="20"/>
              </w:rPr>
              <w:t>Mean p-values of interaction terms of the 10 multiple imputation datasets</w:t>
            </w:r>
          </w:p>
        </w:tc>
      </w:tr>
      <w:tr w:rsidR="00695457" w:rsidRPr="00CE5560" w:rsidTr="00D6663C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457" w:rsidRPr="00CE5560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60">
              <w:rPr>
                <w:rFonts w:ascii="Times New Roman" w:hAnsi="Times New Roman" w:cs="Times New Roman"/>
                <w:sz w:val="20"/>
                <w:szCs w:val="20"/>
              </w:rPr>
              <w:t>Exposure variable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457" w:rsidRPr="00CE5560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Confounder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457" w:rsidRPr="00CE5560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 diagnosed infections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Parental education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0.08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Breastfeeding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overweight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Allergic mother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Smoke exposure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Antibiotic prescriptions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Parental education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0.02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Breastfeeding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overweight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Allergic mother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</w:t>
            </w:r>
            <w:r w:rsidRPr="00832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Smoke exposure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reported infections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Parental education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Breastfeeding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overweight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Allergic mother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695457" w:rsidRPr="00832D96" w:rsidTr="00D6663C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2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Smoke exposure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57" w:rsidRPr="00832D96" w:rsidRDefault="00695457" w:rsidP="00D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695457" w:rsidRPr="00832D96" w:rsidTr="00D6663C">
        <w:trPr>
          <w:trHeight w:val="255"/>
        </w:trPr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457" w:rsidRPr="00832D96" w:rsidRDefault="00695457" w:rsidP="00D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GP: general practitioner; Bold indicates p-values below 0.10.</w:t>
            </w:r>
          </w:p>
        </w:tc>
      </w:tr>
    </w:tbl>
    <w:p w:rsidR="002A4B25" w:rsidRDefault="002A4B25" w:rsidP="00521A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55B68" w:rsidTr="00455B68">
        <w:tc>
          <w:tcPr>
            <w:tcW w:w="9576" w:type="dxa"/>
          </w:tcPr>
          <w:p w:rsidR="00455B68" w:rsidRPr="00455B68" w:rsidRDefault="00455B68" w:rsidP="0052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Supplementary Figure 1.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72D5">
              <w:rPr>
                <w:rFonts w:ascii="Times New Roman" w:hAnsi="Times New Roman" w:cs="Times New Roman"/>
              </w:rPr>
              <w:t>Directed acyclic graph (</w:t>
            </w:r>
            <w:r>
              <w:rPr>
                <w:rFonts w:ascii="Times New Roman" w:hAnsi="Times New Roman" w:cs="Times New Roman"/>
              </w:rPr>
              <w:t>DAG</w:t>
            </w:r>
            <w:r w:rsidR="00BA72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of the confounders for the association between infections in early childhood and IMT in adolescence.</w:t>
            </w:r>
            <w:proofErr w:type="gramEnd"/>
          </w:p>
        </w:tc>
      </w:tr>
      <w:tr w:rsidR="00455B68" w:rsidTr="00455B68">
        <w:tc>
          <w:tcPr>
            <w:tcW w:w="9576" w:type="dxa"/>
          </w:tcPr>
          <w:p w:rsidR="00455B68" w:rsidRDefault="00D36998" w:rsidP="00521A41">
            <w:r>
              <w:rPr>
                <w:noProof/>
              </w:rPr>
              <w:drawing>
                <wp:inline distT="0" distB="0" distL="0" distR="0" wp14:anchorId="2AE7240C">
                  <wp:extent cx="5796501" cy="31921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192" cy="3194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C26" w:rsidTr="00455B68">
        <w:tc>
          <w:tcPr>
            <w:tcW w:w="9576" w:type="dxa"/>
          </w:tcPr>
          <w:p w:rsidR="00F17C26" w:rsidRPr="004C50CA" w:rsidRDefault="00F17C26" w:rsidP="00C94040">
            <w:pPr>
              <w:rPr>
                <w:rFonts w:ascii="Times New Roman" w:hAnsi="Times New Roman" w:cs="Times New Roman"/>
                <w:noProof/>
              </w:rPr>
            </w:pPr>
            <w:r w:rsidRPr="004C50CA">
              <w:rPr>
                <w:rFonts w:ascii="Times New Roman" w:hAnsi="Times New Roman" w:cs="Times New Roman"/>
                <w:noProof/>
              </w:rPr>
              <w:t xml:space="preserve">Confounders were selected based on previous studies investigating the association between infections and </w:t>
            </w:r>
            <w:r w:rsidR="004C50CA">
              <w:rPr>
                <w:rFonts w:ascii="Times New Roman" w:hAnsi="Times New Roman" w:cs="Times New Roman"/>
                <w:noProof/>
              </w:rPr>
              <w:t>common intima media thickness (CIMT)</w:t>
            </w:r>
            <w:r w:rsidRPr="004C50CA">
              <w:rPr>
                <w:rFonts w:ascii="Times New Roman" w:hAnsi="Times New Roman" w:cs="Times New Roman"/>
                <w:noProof/>
              </w:rPr>
              <w:t>.</w:t>
            </w:r>
            <w:r w:rsidR="004C50CA">
              <w:rPr>
                <w:rFonts w:ascii="Times New Roman" w:hAnsi="Times New Roman" w:cs="Times New Roman"/>
                <w:noProof/>
              </w:rPr>
              <w:t xml:space="preserve"> The primary exposure and outcome are in red.</w:t>
            </w:r>
            <w:r w:rsidR="007F5D9F" w:rsidRPr="004C50CA">
              <w:rPr>
                <w:rFonts w:ascii="Times New Roman" w:hAnsi="Times New Roman" w:cs="Times New Roman"/>
                <w:noProof/>
              </w:rPr>
              <w:t xml:space="preserve"> </w:t>
            </w:r>
            <w:r w:rsidR="00D36998">
              <w:rPr>
                <w:rFonts w:ascii="Times New Roman" w:hAnsi="Times New Roman" w:cs="Times New Roman"/>
                <w:noProof/>
              </w:rPr>
              <w:t xml:space="preserve">The dashed line indicates (potential) </w:t>
            </w:r>
            <w:r w:rsidR="00C94040">
              <w:rPr>
                <w:rFonts w:ascii="Times New Roman" w:hAnsi="Times New Roman" w:cs="Times New Roman"/>
                <w:noProof/>
              </w:rPr>
              <w:t>effect modification</w:t>
            </w:r>
            <w:bookmarkStart w:id="0" w:name="_GoBack"/>
            <w:bookmarkEnd w:id="0"/>
            <w:r w:rsidR="00D36998"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:rsidR="00455B68" w:rsidRPr="00521A41" w:rsidRDefault="00455B68" w:rsidP="00521A41"/>
    <w:sectPr w:rsidR="00455B68" w:rsidRPr="00521A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17"/>
    <w:rsid w:val="00075169"/>
    <w:rsid w:val="00181299"/>
    <w:rsid w:val="002A4B25"/>
    <w:rsid w:val="003145A2"/>
    <w:rsid w:val="00455B68"/>
    <w:rsid w:val="004C50CA"/>
    <w:rsid w:val="004F43A2"/>
    <w:rsid w:val="00521A41"/>
    <w:rsid w:val="00695457"/>
    <w:rsid w:val="006D41AB"/>
    <w:rsid w:val="006F6617"/>
    <w:rsid w:val="007914E4"/>
    <w:rsid w:val="007F5D9F"/>
    <w:rsid w:val="00897F4C"/>
    <w:rsid w:val="00946965"/>
    <w:rsid w:val="009D23BE"/>
    <w:rsid w:val="009D4651"/>
    <w:rsid w:val="00BA72D5"/>
    <w:rsid w:val="00C94040"/>
    <w:rsid w:val="00CB08E5"/>
    <w:rsid w:val="00D24C87"/>
    <w:rsid w:val="00D36998"/>
    <w:rsid w:val="00DE65B8"/>
    <w:rsid w:val="00E02D32"/>
    <w:rsid w:val="00F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9469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6965"/>
  </w:style>
  <w:style w:type="character" w:customStyle="1" w:styleId="Heading3Char">
    <w:name w:val="Heading 3 Char"/>
    <w:basedOn w:val="DefaultParagraphFont"/>
    <w:link w:val="Heading3"/>
    <w:uiPriority w:val="9"/>
    <w:rsid w:val="00DE65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2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94696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6965"/>
  </w:style>
  <w:style w:type="character" w:customStyle="1" w:styleId="Heading3Char">
    <w:name w:val="Heading 3 Char"/>
    <w:basedOn w:val="DefaultParagraphFont"/>
    <w:link w:val="Heading3"/>
    <w:uiPriority w:val="9"/>
    <w:rsid w:val="00DE65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2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53E030A5</Template>
  <TotalTime>16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Annemarijn van Ginkel</dc:creator>
  <cp:lastModifiedBy>Annemarijn van Ginkel</cp:lastModifiedBy>
  <cp:revision>13</cp:revision>
  <dcterms:created xsi:type="dcterms:W3CDTF">2018-09-03T09:43:00Z</dcterms:created>
  <dcterms:modified xsi:type="dcterms:W3CDTF">2018-09-03T10:05:00Z</dcterms:modified>
</cp:coreProperties>
</file>