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67" w:rsidRPr="002C1D67" w:rsidRDefault="002C1D67">
      <w:pPr>
        <w:rPr>
          <w:rFonts w:ascii="Arial" w:hAnsi="Arial" w:cs="Arial"/>
          <w:i/>
          <w:sz w:val="24"/>
          <w:szCs w:val="24"/>
        </w:rPr>
      </w:pPr>
      <w:bookmarkStart w:id="0" w:name="_GoBack"/>
      <w:bookmarkEnd w:id="0"/>
      <w:r w:rsidRPr="002C1D67">
        <w:rPr>
          <w:rFonts w:ascii="Arial" w:hAnsi="Arial" w:cs="Arial"/>
          <w:i/>
          <w:sz w:val="24"/>
          <w:szCs w:val="24"/>
        </w:rPr>
        <w:t>Epidemiology and Infection</w:t>
      </w:r>
    </w:p>
    <w:p w:rsidR="002C1D67" w:rsidRPr="002B1EE6" w:rsidRDefault="002C1D67" w:rsidP="002C1D67">
      <w:pPr>
        <w:spacing w:line="480" w:lineRule="auto"/>
        <w:rPr>
          <w:rFonts w:ascii="Arial" w:hAnsi="Arial" w:cs="Arial"/>
          <w:sz w:val="24"/>
          <w:szCs w:val="24"/>
        </w:rPr>
      </w:pPr>
      <w:r>
        <w:rPr>
          <w:rFonts w:ascii="Arial" w:hAnsi="Arial" w:cs="Arial"/>
          <w:sz w:val="24"/>
          <w:szCs w:val="24"/>
        </w:rPr>
        <w:t xml:space="preserve">Title: </w:t>
      </w:r>
      <w:r w:rsidRPr="002B1EE6">
        <w:rPr>
          <w:rFonts w:ascii="Arial" w:hAnsi="Arial" w:cs="Arial"/>
          <w:sz w:val="24"/>
          <w:szCs w:val="24"/>
        </w:rPr>
        <w:t>Evidence of a care home effect on antibiotic prescribing for those that transition into a care home: a national data linkage study.</w:t>
      </w:r>
    </w:p>
    <w:p w:rsidR="002C1D67" w:rsidRDefault="002C1D67" w:rsidP="002C1D67">
      <w:pPr>
        <w:spacing w:after="0" w:line="480" w:lineRule="auto"/>
        <w:rPr>
          <w:rFonts w:ascii="Arial" w:hAnsi="Arial" w:cs="Arial"/>
          <w:sz w:val="24"/>
          <w:szCs w:val="24"/>
        </w:rPr>
      </w:pPr>
      <w:r>
        <w:rPr>
          <w:rFonts w:ascii="Arial" w:hAnsi="Arial" w:cs="Arial"/>
          <w:sz w:val="24"/>
          <w:szCs w:val="24"/>
        </w:rPr>
        <w:t xml:space="preserve">Authors: </w:t>
      </w:r>
      <w:r w:rsidRPr="002B1EE6">
        <w:rPr>
          <w:rFonts w:ascii="Arial" w:hAnsi="Arial" w:cs="Arial"/>
          <w:sz w:val="24"/>
          <w:szCs w:val="24"/>
        </w:rPr>
        <w:t>L</w:t>
      </w:r>
      <w:r>
        <w:rPr>
          <w:rFonts w:ascii="Arial" w:hAnsi="Arial" w:cs="Arial"/>
          <w:sz w:val="24"/>
          <w:szCs w:val="24"/>
        </w:rPr>
        <w:t>.</w:t>
      </w:r>
      <w:r w:rsidRPr="002B1EE6">
        <w:rPr>
          <w:rFonts w:ascii="Arial" w:hAnsi="Arial" w:cs="Arial"/>
          <w:sz w:val="24"/>
          <w:szCs w:val="24"/>
        </w:rPr>
        <w:t xml:space="preserve"> Patterson</w:t>
      </w:r>
      <w:r>
        <w:rPr>
          <w:rFonts w:ascii="Arial" w:hAnsi="Arial" w:cs="Arial"/>
          <w:sz w:val="24"/>
          <w:szCs w:val="24"/>
        </w:rPr>
        <w:t>,</w:t>
      </w:r>
      <w:r w:rsidRPr="002B1EE6">
        <w:rPr>
          <w:rFonts w:ascii="Arial" w:hAnsi="Arial" w:cs="Arial"/>
          <w:sz w:val="24"/>
          <w:szCs w:val="24"/>
        </w:rPr>
        <w:t xml:space="preserve"> A</w:t>
      </w:r>
      <w:r>
        <w:rPr>
          <w:rFonts w:ascii="Arial" w:hAnsi="Arial" w:cs="Arial"/>
          <w:sz w:val="24"/>
          <w:szCs w:val="24"/>
        </w:rPr>
        <w:t>.</w:t>
      </w:r>
      <w:r w:rsidRPr="002B1EE6">
        <w:rPr>
          <w:rFonts w:ascii="Arial" w:hAnsi="Arial" w:cs="Arial"/>
          <w:sz w:val="24"/>
          <w:szCs w:val="24"/>
        </w:rPr>
        <w:t xml:space="preserve"> Maguire, C</w:t>
      </w:r>
      <w:r>
        <w:rPr>
          <w:rFonts w:ascii="Arial" w:hAnsi="Arial" w:cs="Arial"/>
          <w:sz w:val="24"/>
          <w:szCs w:val="24"/>
        </w:rPr>
        <w:t>.</w:t>
      </w:r>
      <w:r w:rsidRPr="002B1EE6">
        <w:rPr>
          <w:rFonts w:ascii="Arial" w:hAnsi="Arial" w:cs="Arial"/>
          <w:sz w:val="24"/>
          <w:szCs w:val="24"/>
        </w:rPr>
        <w:t xml:space="preserve"> Cardwell,</w:t>
      </w:r>
      <w:r w:rsidRPr="002B1EE6">
        <w:rPr>
          <w:rFonts w:ascii="Arial" w:hAnsi="Arial" w:cs="Arial"/>
          <w:sz w:val="24"/>
          <w:szCs w:val="24"/>
          <w:vertAlign w:val="superscript"/>
        </w:rPr>
        <w:t xml:space="preserve"> </w:t>
      </w:r>
      <w:r w:rsidRPr="002B1EE6">
        <w:rPr>
          <w:rFonts w:ascii="Arial" w:hAnsi="Arial" w:cs="Arial"/>
          <w:sz w:val="24"/>
          <w:szCs w:val="24"/>
        </w:rPr>
        <w:t>F</w:t>
      </w:r>
      <w:r>
        <w:rPr>
          <w:rFonts w:ascii="Arial" w:hAnsi="Arial" w:cs="Arial"/>
          <w:sz w:val="24"/>
          <w:szCs w:val="24"/>
        </w:rPr>
        <w:t>.</w:t>
      </w:r>
      <w:r w:rsidRPr="002B1EE6">
        <w:rPr>
          <w:rFonts w:ascii="Arial" w:hAnsi="Arial" w:cs="Arial"/>
          <w:sz w:val="24"/>
          <w:szCs w:val="24"/>
        </w:rPr>
        <w:t xml:space="preserve"> Kee, C</w:t>
      </w:r>
      <w:r>
        <w:rPr>
          <w:rFonts w:ascii="Arial" w:hAnsi="Arial" w:cs="Arial"/>
          <w:sz w:val="24"/>
          <w:szCs w:val="24"/>
        </w:rPr>
        <w:t>.</w:t>
      </w:r>
      <w:r w:rsidRPr="002B1EE6">
        <w:rPr>
          <w:rFonts w:ascii="Arial" w:hAnsi="Arial" w:cs="Arial"/>
          <w:sz w:val="24"/>
          <w:szCs w:val="24"/>
        </w:rPr>
        <w:t xml:space="preserve"> Hughes, L</w:t>
      </w:r>
      <w:r>
        <w:rPr>
          <w:rFonts w:ascii="Arial" w:hAnsi="Arial" w:cs="Arial"/>
          <w:sz w:val="24"/>
          <w:szCs w:val="24"/>
        </w:rPr>
        <w:t>.</w:t>
      </w:r>
      <w:r w:rsidRPr="002B1EE6">
        <w:rPr>
          <w:rFonts w:ascii="Arial" w:hAnsi="Arial" w:cs="Arial"/>
          <w:sz w:val="24"/>
          <w:szCs w:val="24"/>
        </w:rPr>
        <w:t xml:space="preserve"> Geoghegan</w:t>
      </w:r>
      <w:r>
        <w:rPr>
          <w:rFonts w:ascii="Arial" w:hAnsi="Arial" w:cs="Arial"/>
          <w:sz w:val="24"/>
          <w:szCs w:val="24"/>
        </w:rPr>
        <w:t>,</w:t>
      </w:r>
      <w:r w:rsidRPr="002B1EE6">
        <w:rPr>
          <w:rFonts w:ascii="Arial" w:hAnsi="Arial" w:cs="Arial"/>
          <w:sz w:val="24"/>
          <w:szCs w:val="24"/>
        </w:rPr>
        <w:t xml:space="preserve"> L</w:t>
      </w:r>
      <w:r>
        <w:rPr>
          <w:rFonts w:ascii="Arial" w:hAnsi="Arial" w:cs="Arial"/>
          <w:sz w:val="24"/>
          <w:szCs w:val="24"/>
        </w:rPr>
        <w:t>.</w:t>
      </w:r>
      <w:r w:rsidRPr="002B1EE6">
        <w:rPr>
          <w:rFonts w:ascii="Arial" w:hAnsi="Arial" w:cs="Arial"/>
          <w:sz w:val="24"/>
          <w:szCs w:val="24"/>
        </w:rPr>
        <w:t xml:space="preserve"> Doherty, M</w:t>
      </w:r>
      <w:r>
        <w:rPr>
          <w:rFonts w:ascii="Arial" w:hAnsi="Arial" w:cs="Arial"/>
          <w:sz w:val="24"/>
          <w:szCs w:val="24"/>
        </w:rPr>
        <w:t>.</w:t>
      </w:r>
      <w:r w:rsidRPr="002B1EE6">
        <w:rPr>
          <w:rFonts w:ascii="Arial" w:hAnsi="Arial" w:cs="Arial"/>
          <w:sz w:val="24"/>
          <w:szCs w:val="24"/>
        </w:rPr>
        <w:t xml:space="preserve"> Dolan, N</w:t>
      </w:r>
      <w:r>
        <w:rPr>
          <w:rFonts w:ascii="Arial" w:hAnsi="Arial" w:cs="Arial"/>
          <w:sz w:val="24"/>
          <w:szCs w:val="24"/>
        </w:rPr>
        <w:t>.</w:t>
      </w:r>
      <w:r w:rsidRPr="002B1EE6">
        <w:rPr>
          <w:rFonts w:ascii="Arial" w:hAnsi="Arial" w:cs="Arial"/>
          <w:sz w:val="24"/>
          <w:szCs w:val="24"/>
        </w:rPr>
        <w:t xml:space="preserve"> Q</w:t>
      </w:r>
      <w:r>
        <w:rPr>
          <w:rFonts w:ascii="Arial" w:hAnsi="Arial" w:cs="Arial"/>
          <w:sz w:val="24"/>
          <w:szCs w:val="24"/>
        </w:rPr>
        <w:t>.</w:t>
      </w:r>
      <w:r w:rsidRPr="002B1EE6">
        <w:rPr>
          <w:rFonts w:ascii="Arial" w:hAnsi="Arial" w:cs="Arial"/>
          <w:sz w:val="24"/>
          <w:szCs w:val="24"/>
        </w:rPr>
        <w:t xml:space="preserve"> Verlander, D</w:t>
      </w:r>
      <w:r>
        <w:rPr>
          <w:rFonts w:ascii="Arial" w:hAnsi="Arial" w:cs="Arial"/>
          <w:sz w:val="24"/>
          <w:szCs w:val="24"/>
        </w:rPr>
        <w:t>.</w:t>
      </w:r>
      <w:r w:rsidRPr="002B1EE6">
        <w:rPr>
          <w:rFonts w:ascii="Arial" w:hAnsi="Arial" w:cs="Arial"/>
          <w:sz w:val="24"/>
          <w:szCs w:val="24"/>
        </w:rPr>
        <w:t xml:space="preserve"> O’Reill</w:t>
      </w:r>
      <w:r>
        <w:rPr>
          <w:rFonts w:ascii="Arial" w:hAnsi="Arial" w:cs="Arial"/>
          <w:sz w:val="24"/>
          <w:szCs w:val="24"/>
        </w:rPr>
        <w:t>y</w:t>
      </w:r>
    </w:p>
    <w:p w:rsidR="002C1D67" w:rsidRDefault="002C1D67" w:rsidP="002C1D67">
      <w:pPr>
        <w:spacing w:after="0" w:line="480" w:lineRule="auto"/>
        <w:rPr>
          <w:rFonts w:ascii="Arial" w:hAnsi="Arial" w:cs="Arial"/>
          <w:sz w:val="24"/>
          <w:szCs w:val="24"/>
        </w:rPr>
      </w:pPr>
      <w:r>
        <w:rPr>
          <w:rFonts w:ascii="Arial" w:hAnsi="Arial" w:cs="Arial"/>
          <w:sz w:val="24"/>
          <w:szCs w:val="24"/>
        </w:rPr>
        <w:t>Supplementary material</w:t>
      </w:r>
    </w:p>
    <w:p w:rsidR="008D09CE" w:rsidRDefault="008D09CE">
      <w:pPr>
        <w:rPr>
          <w:rFonts w:ascii="Arial" w:hAnsi="Arial" w:cs="Arial"/>
          <w:sz w:val="24"/>
          <w:szCs w:val="24"/>
        </w:rPr>
      </w:pPr>
    </w:p>
    <w:p w:rsidR="005F0985" w:rsidRPr="006166F1" w:rsidRDefault="002C1D67">
      <w:pPr>
        <w:rPr>
          <w:rFonts w:ascii="Arial" w:hAnsi="Arial" w:cs="Arial"/>
          <w:sz w:val="24"/>
          <w:szCs w:val="24"/>
        </w:rPr>
      </w:pPr>
      <w:r>
        <w:rPr>
          <w:rFonts w:ascii="Arial" w:hAnsi="Arial" w:cs="Arial"/>
          <w:sz w:val="24"/>
          <w:szCs w:val="24"/>
        </w:rPr>
        <w:t>Supplementary Table S</w:t>
      </w:r>
      <w:r w:rsidR="007159AC">
        <w:rPr>
          <w:rFonts w:ascii="Arial" w:hAnsi="Arial" w:cs="Arial"/>
          <w:sz w:val="24"/>
          <w:szCs w:val="24"/>
        </w:rPr>
        <w:t xml:space="preserve">1 </w:t>
      </w:r>
      <w:r w:rsidR="005F0985" w:rsidRPr="006166F1">
        <w:rPr>
          <w:rFonts w:ascii="Arial" w:hAnsi="Arial" w:cs="Arial"/>
          <w:sz w:val="24"/>
          <w:szCs w:val="24"/>
        </w:rPr>
        <w:t xml:space="preserve">BNF </w:t>
      </w:r>
      <w:r w:rsidR="00E65E75">
        <w:rPr>
          <w:rFonts w:ascii="Arial" w:hAnsi="Arial" w:cs="Arial"/>
          <w:sz w:val="24"/>
          <w:szCs w:val="24"/>
        </w:rPr>
        <w:t xml:space="preserve">categories for co-variates included in the </w:t>
      </w:r>
      <w:r w:rsidR="005F0985" w:rsidRPr="006166F1">
        <w:rPr>
          <w:rFonts w:ascii="Arial" w:hAnsi="Arial" w:cs="Arial"/>
          <w:sz w:val="24"/>
          <w:szCs w:val="24"/>
        </w:rPr>
        <w:t xml:space="preserve">analysis </w:t>
      </w:r>
    </w:p>
    <w:tbl>
      <w:tblPr>
        <w:tblW w:w="5128" w:type="pct"/>
        <w:tblLayout w:type="fixed"/>
        <w:tblLook w:val="04A0" w:firstRow="1" w:lastRow="0" w:firstColumn="1" w:lastColumn="0" w:noHBand="0" w:noVBand="1"/>
      </w:tblPr>
      <w:tblGrid>
        <w:gridCol w:w="2235"/>
        <w:gridCol w:w="4677"/>
        <w:gridCol w:w="2567"/>
      </w:tblGrid>
      <w:tr w:rsidR="006166F1" w:rsidRPr="006166F1" w:rsidTr="00E65E75">
        <w:trPr>
          <w:trHeight w:val="300"/>
        </w:trPr>
        <w:tc>
          <w:tcPr>
            <w:tcW w:w="1179" w:type="pct"/>
            <w:tcBorders>
              <w:top w:val="single" w:sz="4" w:space="0" w:color="auto"/>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BNF Chapter</w:t>
            </w:r>
          </w:p>
        </w:tc>
        <w:tc>
          <w:tcPr>
            <w:tcW w:w="2467" w:type="pct"/>
            <w:tcBorders>
              <w:top w:val="single" w:sz="4" w:space="0" w:color="auto"/>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BNF Section</w:t>
            </w:r>
          </w:p>
        </w:tc>
        <w:tc>
          <w:tcPr>
            <w:tcW w:w="1354" w:type="pct"/>
            <w:tcBorders>
              <w:top w:val="single" w:sz="4" w:space="0" w:color="auto"/>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BNF code</w:t>
            </w:r>
            <w:r w:rsidR="00E65E75">
              <w:rPr>
                <w:rFonts w:ascii="Arial" w:eastAsia="Times New Roman" w:hAnsi="Arial" w:cs="Arial"/>
                <w:b/>
                <w:bCs/>
                <w:color w:val="000000"/>
                <w:sz w:val="24"/>
                <w:szCs w:val="24"/>
                <w:lang w:eastAsia="en-GB"/>
              </w:rPr>
              <w:t xml:space="preserve"> (chapter.section)</w:t>
            </w:r>
          </w:p>
        </w:tc>
      </w:tr>
      <w:tr w:rsidR="001B2BB1" w:rsidRPr="006166F1" w:rsidTr="00E65E75">
        <w:trPr>
          <w:trHeight w:val="300"/>
        </w:trPr>
        <w:tc>
          <w:tcPr>
            <w:tcW w:w="1179" w:type="pct"/>
            <w:tcBorders>
              <w:top w:val="nil"/>
              <w:left w:val="nil"/>
              <w:bottom w:val="single" w:sz="4" w:space="0" w:color="000000"/>
              <w:right w:val="nil"/>
            </w:tcBorders>
            <w:shd w:val="clear" w:color="auto" w:fill="auto"/>
            <w:vAlign w:val="center"/>
          </w:tcPr>
          <w:p w:rsidR="001B2BB1" w:rsidRPr="001B2BB1" w:rsidRDefault="001B2BB1" w:rsidP="001B2BB1">
            <w:pPr>
              <w:spacing w:after="0" w:line="240" w:lineRule="auto"/>
              <w:rPr>
                <w:rFonts w:ascii="Arial" w:eastAsia="Times New Roman" w:hAnsi="Arial" w:cs="Arial"/>
                <w:b/>
                <w:bCs/>
                <w:i/>
                <w:color w:val="000000"/>
                <w:sz w:val="24"/>
                <w:szCs w:val="24"/>
                <w:lang w:eastAsia="en-GB"/>
              </w:rPr>
            </w:pPr>
            <w:r w:rsidRPr="001B2BB1">
              <w:rPr>
                <w:rFonts w:ascii="Arial" w:eastAsia="Times New Roman" w:hAnsi="Arial" w:cs="Arial"/>
                <w:b/>
                <w:bCs/>
                <w:i/>
                <w:color w:val="000000"/>
                <w:sz w:val="24"/>
                <w:szCs w:val="24"/>
                <w:lang w:eastAsia="en-GB"/>
              </w:rPr>
              <w:t>Appliances</w:t>
            </w:r>
            <w:r>
              <w:rPr>
                <w:rStyle w:val="FootnoteReference"/>
                <w:rFonts w:ascii="Arial" w:eastAsia="Times New Roman" w:hAnsi="Arial" w:cs="Arial"/>
                <w:b/>
                <w:bCs/>
                <w:i/>
                <w:color w:val="000000"/>
                <w:sz w:val="24"/>
                <w:szCs w:val="24"/>
                <w:lang w:eastAsia="en-GB"/>
              </w:rPr>
              <w:footnoteReference w:id="1"/>
            </w:r>
          </w:p>
        </w:tc>
        <w:tc>
          <w:tcPr>
            <w:tcW w:w="2467" w:type="pct"/>
            <w:tcBorders>
              <w:top w:val="nil"/>
              <w:left w:val="nil"/>
              <w:bottom w:val="single" w:sz="4" w:space="0" w:color="auto"/>
              <w:right w:val="nil"/>
            </w:tcBorders>
            <w:shd w:val="clear" w:color="auto" w:fill="auto"/>
            <w:noWrap/>
            <w:vAlign w:val="bottom"/>
          </w:tcPr>
          <w:p w:rsidR="001B2BB1" w:rsidRPr="001B2BB1" w:rsidRDefault="001B2BB1" w:rsidP="006166F1">
            <w:pPr>
              <w:spacing w:after="0" w:line="240" w:lineRule="auto"/>
              <w:ind w:firstLineChars="100" w:firstLine="240"/>
              <w:rPr>
                <w:rFonts w:ascii="Arial" w:eastAsia="Times New Roman" w:hAnsi="Arial" w:cs="Arial"/>
                <w:i/>
                <w:color w:val="000000"/>
                <w:sz w:val="24"/>
                <w:szCs w:val="24"/>
                <w:lang w:eastAsia="en-GB"/>
              </w:rPr>
            </w:pPr>
            <w:r w:rsidRPr="001B2BB1">
              <w:rPr>
                <w:rFonts w:ascii="Arial" w:eastAsia="Times New Roman" w:hAnsi="Arial" w:cs="Arial"/>
                <w:i/>
                <w:color w:val="000000"/>
                <w:sz w:val="24"/>
                <w:szCs w:val="24"/>
                <w:lang w:eastAsia="en-GB"/>
              </w:rPr>
              <w:t>Catheters</w:t>
            </w:r>
          </w:p>
        </w:tc>
        <w:tc>
          <w:tcPr>
            <w:tcW w:w="1354" w:type="pct"/>
            <w:tcBorders>
              <w:top w:val="nil"/>
              <w:left w:val="nil"/>
              <w:bottom w:val="single" w:sz="4" w:space="0" w:color="auto"/>
              <w:right w:val="nil"/>
            </w:tcBorders>
            <w:shd w:val="clear" w:color="auto" w:fill="auto"/>
            <w:noWrap/>
            <w:vAlign w:val="bottom"/>
          </w:tcPr>
          <w:p w:rsidR="001B2BB1" w:rsidRPr="001B2BB1" w:rsidRDefault="001B2BB1" w:rsidP="006166F1">
            <w:pPr>
              <w:spacing w:after="0" w:line="240" w:lineRule="auto"/>
              <w:jc w:val="right"/>
              <w:rPr>
                <w:rFonts w:ascii="Arial" w:eastAsia="Times New Roman" w:hAnsi="Arial" w:cs="Arial"/>
                <w:i/>
                <w:color w:val="000000"/>
                <w:sz w:val="24"/>
                <w:szCs w:val="24"/>
                <w:lang w:eastAsia="en-GB"/>
              </w:rPr>
            </w:pPr>
            <w:r w:rsidRPr="001B2BB1">
              <w:rPr>
                <w:rFonts w:ascii="Arial" w:eastAsia="Times New Roman" w:hAnsi="Arial" w:cs="Arial"/>
                <w:i/>
                <w:color w:val="000000"/>
                <w:sz w:val="24"/>
                <w:szCs w:val="24"/>
                <w:lang w:eastAsia="en-GB"/>
              </w:rPr>
              <w:t>21.2</w:t>
            </w:r>
          </w:p>
        </w:tc>
      </w:tr>
      <w:tr w:rsidR="006166F1" w:rsidRPr="006166F1" w:rsidTr="00E65E75">
        <w:trPr>
          <w:trHeight w:val="300"/>
        </w:trPr>
        <w:tc>
          <w:tcPr>
            <w:tcW w:w="1179" w:type="pct"/>
            <w:vMerge w:val="restart"/>
            <w:tcBorders>
              <w:top w:val="nil"/>
              <w:left w:val="nil"/>
              <w:bottom w:val="single" w:sz="4" w:space="0" w:color="000000"/>
              <w:right w:val="nil"/>
            </w:tcBorders>
            <w:shd w:val="clear" w:color="auto" w:fill="auto"/>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Cardiovascular System</w:t>
            </w: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Anti-Arrhythmic Drugs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2.3</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Anticoagulants &amp; Protamine</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2.8</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Antifibrinolytic Drugs &amp; Haemostatics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2.11</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Antiplatelet Drugs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2.9</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Beta-Adrenoceptor Blocking Drugs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2.4</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Diuretics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2.2</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Hypertension &amp; Heart Failure</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2.5</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Lipid-Regulating Drugs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2.12</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E65E75">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Ni</w:t>
            </w:r>
            <w:r>
              <w:rPr>
                <w:rFonts w:ascii="Arial" w:eastAsia="Times New Roman" w:hAnsi="Arial" w:cs="Arial"/>
                <w:color w:val="000000"/>
                <w:sz w:val="24"/>
                <w:szCs w:val="24"/>
                <w:lang w:eastAsia="en-GB"/>
              </w:rPr>
              <w:t>trates,Calcium-Channel.Blockers</w:t>
            </w:r>
            <w:r w:rsidRPr="006166F1">
              <w:rPr>
                <w:rFonts w:ascii="Arial" w:eastAsia="Times New Roman" w:hAnsi="Arial" w:cs="Arial"/>
                <w:color w:val="000000"/>
                <w:sz w:val="24"/>
                <w:szCs w:val="24"/>
                <w:lang w:eastAsia="en-GB"/>
              </w:rPr>
              <w:t xml:space="preserve"> &amp;</w:t>
            </w:r>
            <w:r w:rsidR="00E65E75">
              <w:rPr>
                <w:rFonts w:ascii="Arial" w:eastAsia="Times New Roman" w:hAnsi="Arial" w:cs="Arial"/>
                <w:color w:val="000000"/>
                <w:sz w:val="24"/>
                <w:szCs w:val="24"/>
                <w:lang w:eastAsia="en-GB"/>
              </w:rPr>
              <w:t xml:space="preserve"> </w:t>
            </w:r>
            <w:r w:rsidRPr="006166F1">
              <w:rPr>
                <w:rFonts w:ascii="Arial" w:eastAsia="Times New Roman" w:hAnsi="Arial" w:cs="Arial"/>
                <w:color w:val="000000"/>
                <w:sz w:val="24"/>
                <w:szCs w:val="24"/>
                <w:lang w:eastAsia="en-GB"/>
              </w:rPr>
              <w:t>Other Antianginal Drugs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2.6</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Positive Inotropic Drugs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2.1</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Sympathomimetics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2.7</w:t>
            </w:r>
          </w:p>
        </w:tc>
      </w:tr>
      <w:tr w:rsidR="006166F1" w:rsidRPr="006166F1" w:rsidTr="00E65E75">
        <w:trPr>
          <w:trHeight w:val="300"/>
        </w:trPr>
        <w:tc>
          <w:tcPr>
            <w:tcW w:w="1179" w:type="pct"/>
            <w:vMerge w:val="restart"/>
            <w:tcBorders>
              <w:top w:val="nil"/>
              <w:left w:val="nil"/>
              <w:bottom w:val="single" w:sz="4" w:space="0" w:color="000000"/>
              <w:right w:val="nil"/>
            </w:tcBorders>
            <w:shd w:val="clear" w:color="auto" w:fill="auto"/>
            <w:noWrap/>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Central Nervous System</w:t>
            </w: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Drugs For Dementia</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4.11</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Drugs Used In Psychoses &amp; Related Disorders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4.2</w:t>
            </w:r>
          </w:p>
        </w:tc>
      </w:tr>
      <w:tr w:rsidR="006166F1" w:rsidRPr="006166F1" w:rsidTr="00E65E75">
        <w:trPr>
          <w:trHeight w:val="300"/>
        </w:trPr>
        <w:tc>
          <w:tcPr>
            <w:tcW w:w="1179" w:type="pct"/>
            <w:vMerge/>
            <w:tcBorders>
              <w:top w:val="nil"/>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Hypnotics &amp; Anxiolytics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4.1</w:t>
            </w:r>
          </w:p>
        </w:tc>
      </w:tr>
      <w:tr w:rsidR="006166F1" w:rsidRPr="006166F1" w:rsidTr="00E65E75">
        <w:trPr>
          <w:trHeight w:val="300"/>
        </w:trPr>
        <w:tc>
          <w:tcPr>
            <w:tcW w:w="1179" w:type="pct"/>
            <w:tcBorders>
              <w:top w:val="nil"/>
              <w:left w:val="nil"/>
              <w:bottom w:val="nil"/>
              <w:right w:val="nil"/>
            </w:tcBorders>
            <w:shd w:val="clear" w:color="auto" w:fill="auto"/>
            <w:noWrap/>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Endocrine System</w:t>
            </w: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Drugs Used In Diabetes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6.1</w:t>
            </w:r>
          </w:p>
        </w:tc>
      </w:tr>
      <w:tr w:rsidR="006166F1" w:rsidRPr="006166F1" w:rsidTr="00E65E75">
        <w:trPr>
          <w:trHeight w:val="300"/>
        </w:trPr>
        <w:tc>
          <w:tcPr>
            <w:tcW w:w="1179" w:type="pct"/>
            <w:tcBorders>
              <w:top w:val="single" w:sz="4" w:space="0" w:color="auto"/>
              <w:left w:val="nil"/>
              <w:bottom w:val="nil"/>
              <w:right w:val="nil"/>
            </w:tcBorders>
            <w:shd w:val="clear" w:color="auto" w:fill="auto"/>
            <w:noWrap/>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Musculoskeletal &amp; Joint Diseases</w:t>
            </w: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Drugs Used In Rheumatic Diseases &amp; Gout</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10.1</w:t>
            </w:r>
          </w:p>
        </w:tc>
      </w:tr>
      <w:tr w:rsidR="006166F1" w:rsidRPr="006166F1" w:rsidTr="00E65E75">
        <w:trPr>
          <w:trHeight w:val="300"/>
        </w:trPr>
        <w:tc>
          <w:tcPr>
            <w:tcW w:w="1179" w:type="pct"/>
            <w:vMerge w:val="restart"/>
            <w:tcBorders>
              <w:top w:val="single" w:sz="4" w:space="0" w:color="auto"/>
              <w:left w:val="nil"/>
              <w:bottom w:val="single" w:sz="4" w:space="0" w:color="000000"/>
              <w:right w:val="nil"/>
            </w:tcBorders>
            <w:shd w:val="clear" w:color="auto" w:fill="auto"/>
            <w:noWrap/>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r w:rsidRPr="006166F1">
              <w:rPr>
                <w:rFonts w:ascii="Arial" w:eastAsia="Times New Roman" w:hAnsi="Arial" w:cs="Arial"/>
                <w:b/>
                <w:bCs/>
                <w:color w:val="000000"/>
                <w:sz w:val="24"/>
                <w:szCs w:val="24"/>
                <w:lang w:eastAsia="en-GB"/>
              </w:rPr>
              <w:t>Respiratory System</w:t>
            </w: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Bronchodilators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3.1</w:t>
            </w:r>
          </w:p>
        </w:tc>
      </w:tr>
      <w:tr w:rsidR="006166F1" w:rsidRPr="006166F1" w:rsidTr="00E65E75">
        <w:trPr>
          <w:trHeight w:val="300"/>
        </w:trPr>
        <w:tc>
          <w:tcPr>
            <w:tcW w:w="1179" w:type="pct"/>
            <w:vMerge/>
            <w:tcBorders>
              <w:top w:val="single" w:sz="4" w:space="0" w:color="auto"/>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Corticosteroids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3.2</w:t>
            </w:r>
          </w:p>
        </w:tc>
      </w:tr>
      <w:tr w:rsidR="006166F1" w:rsidRPr="006166F1" w:rsidTr="00E65E75">
        <w:trPr>
          <w:trHeight w:val="300"/>
        </w:trPr>
        <w:tc>
          <w:tcPr>
            <w:tcW w:w="1179" w:type="pct"/>
            <w:vMerge/>
            <w:tcBorders>
              <w:top w:val="single" w:sz="4" w:space="0" w:color="auto"/>
              <w:left w:val="nil"/>
              <w:bottom w:val="single" w:sz="4" w:space="0" w:color="000000"/>
              <w:right w:val="nil"/>
            </w:tcBorders>
            <w:vAlign w:val="center"/>
            <w:hideMark/>
          </w:tcPr>
          <w:p w:rsidR="006166F1" w:rsidRPr="006166F1" w:rsidRDefault="006166F1" w:rsidP="006166F1">
            <w:pPr>
              <w:spacing w:after="0" w:line="240" w:lineRule="auto"/>
              <w:rPr>
                <w:rFonts w:ascii="Arial" w:eastAsia="Times New Roman" w:hAnsi="Arial" w:cs="Arial"/>
                <w:b/>
                <w:bCs/>
                <w:color w:val="000000"/>
                <w:sz w:val="24"/>
                <w:szCs w:val="24"/>
                <w:lang w:eastAsia="en-GB"/>
              </w:rPr>
            </w:pPr>
          </w:p>
        </w:tc>
        <w:tc>
          <w:tcPr>
            <w:tcW w:w="2467" w:type="pct"/>
            <w:tcBorders>
              <w:top w:val="nil"/>
              <w:left w:val="nil"/>
              <w:bottom w:val="single" w:sz="4" w:space="0" w:color="auto"/>
              <w:right w:val="nil"/>
            </w:tcBorders>
            <w:shd w:val="clear" w:color="auto" w:fill="auto"/>
            <w:noWrap/>
            <w:vAlign w:val="bottom"/>
            <w:hideMark/>
          </w:tcPr>
          <w:p w:rsid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Cromoglycate &amp; Related Therapy,</w:t>
            </w:r>
            <w:r>
              <w:rPr>
                <w:rFonts w:ascii="Arial" w:eastAsia="Times New Roman" w:hAnsi="Arial" w:cs="Arial"/>
                <w:color w:val="000000"/>
                <w:sz w:val="24"/>
                <w:szCs w:val="24"/>
                <w:lang w:eastAsia="en-GB"/>
              </w:rPr>
              <w:t xml:space="preserve"> </w:t>
            </w:r>
            <w:r w:rsidRPr="006166F1">
              <w:rPr>
                <w:rFonts w:ascii="Arial" w:eastAsia="Times New Roman" w:hAnsi="Arial" w:cs="Arial"/>
                <w:color w:val="000000"/>
                <w:sz w:val="24"/>
                <w:szCs w:val="24"/>
                <w:lang w:eastAsia="en-GB"/>
              </w:rPr>
              <w:t xml:space="preserve">Leukotriene </w:t>
            </w:r>
          </w:p>
          <w:p w:rsidR="006166F1" w:rsidRPr="006166F1" w:rsidRDefault="006166F1" w:rsidP="006166F1">
            <w:pPr>
              <w:spacing w:after="0" w:line="240" w:lineRule="auto"/>
              <w:ind w:firstLineChars="100" w:firstLine="240"/>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Receptor Antagonists</w:t>
            </w:r>
          </w:p>
        </w:tc>
        <w:tc>
          <w:tcPr>
            <w:tcW w:w="1354" w:type="pct"/>
            <w:tcBorders>
              <w:top w:val="nil"/>
              <w:left w:val="nil"/>
              <w:bottom w:val="single" w:sz="4" w:space="0" w:color="auto"/>
              <w:right w:val="nil"/>
            </w:tcBorders>
            <w:shd w:val="clear" w:color="auto" w:fill="auto"/>
            <w:noWrap/>
            <w:vAlign w:val="bottom"/>
            <w:hideMark/>
          </w:tcPr>
          <w:p w:rsidR="006166F1" w:rsidRPr="006166F1" w:rsidRDefault="006166F1" w:rsidP="006166F1">
            <w:pPr>
              <w:spacing w:after="0" w:line="240" w:lineRule="auto"/>
              <w:jc w:val="right"/>
              <w:rPr>
                <w:rFonts w:ascii="Arial" w:eastAsia="Times New Roman" w:hAnsi="Arial" w:cs="Arial"/>
                <w:color w:val="000000"/>
                <w:sz w:val="24"/>
                <w:szCs w:val="24"/>
                <w:lang w:eastAsia="en-GB"/>
              </w:rPr>
            </w:pPr>
            <w:r w:rsidRPr="006166F1">
              <w:rPr>
                <w:rFonts w:ascii="Arial" w:eastAsia="Times New Roman" w:hAnsi="Arial" w:cs="Arial"/>
                <w:color w:val="000000"/>
                <w:sz w:val="24"/>
                <w:szCs w:val="24"/>
                <w:lang w:eastAsia="en-GB"/>
              </w:rPr>
              <w:t>3.3</w:t>
            </w:r>
          </w:p>
        </w:tc>
      </w:tr>
    </w:tbl>
    <w:p w:rsidR="002C1D67" w:rsidRDefault="002C1D67">
      <w:pPr>
        <w:rPr>
          <w:rFonts w:ascii="Arial" w:hAnsi="Arial" w:cs="Arial"/>
          <w:sz w:val="24"/>
          <w:szCs w:val="24"/>
        </w:rPr>
      </w:pPr>
    </w:p>
    <w:p w:rsidR="002C1D67" w:rsidRDefault="002C1D67">
      <w:pPr>
        <w:rPr>
          <w:rFonts w:ascii="Arial" w:hAnsi="Arial" w:cs="Arial"/>
          <w:sz w:val="24"/>
          <w:szCs w:val="24"/>
        </w:rPr>
      </w:pPr>
    </w:p>
    <w:p w:rsidR="002C1D67" w:rsidRDefault="002C1D67">
      <w:pPr>
        <w:rPr>
          <w:rFonts w:ascii="Arial" w:hAnsi="Arial" w:cs="Arial"/>
          <w:sz w:val="24"/>
          <w:szCs w:val="24"/>
        </w:rPr>
        <w:sectPr w:rsidR="002C1D67">
          <w:pgSz w:w="11906" w:h="16838"/>
          <w:pgMar w:top="1440" w:right="1440" w:bottom="1440" w:left="1440" w:header="708" w:footer="708" w:gutter="0"/>
          <w:cols w:space="708"/>
          <w:docGrid w:linePitch="360"/>
        </w:sectPr>
      </w:pPr>
    </w:p>
    <w:p w:rsidR="002C1D67" w:rsidRPr="002C1D67" w:rsidRDefault="002C1D67" w:rsidP="002C1D67">
      <w:pPr>
        <w:pStyle w:val="ListParagraph"/>
        <w:ind w:left="1080"/>
        <w:rPr>
          <w:rFonts w:ascii="Arial" w:hAnsi="Arial" w:cs="Arial"/>
          <w:sz w:val="24"/>
        </w:rPr>
      </w:pPr>
      <w:r w:rsidRPr="002C1D67">
        <w:rPr>
          <w:rFonts w:ascii="Arial" w:hAnsi="Arial" w:cs="Arial"/>
          <w:sz w:val="24"/>
        </w:rPr>
        <w:t>Supplementary Table S2 Analysis of individuals aged 65 years and over with missing data, January – December 2012.</w:t>
      </w:r>
    </w:p>
    <w:tbl>
      <w:tblPr>
        <w:tblW w:w="5000" w:type="pct"/>
        <w:tblLook w:val="04A0" w:firstRow="1" w:lastRow="0" w:firstColumn="1" w:lastColumn="0" w:noHBand="0" w:noVBand="1"/>
      </w:tblPr>
      <w:tblGrid>
        <w:gridCol w:w="4412"/>
        <w:gridCol w:w="2136"/>
        <w:gridCol w:w="2311"/>
        <w:gridCol w:w="887"/>
        <w:gridCol w:w="1667"/>
        <w:gridCol w:w="1094"/>
        <w:gridCol w:w="1667"/>
      </w:tblGrid>
      <w:tr w:rsidR="002C1D67" w:rsidRPr="002C1D67" w:rsidTr="002C1D67">
        <w:trPr>
          <w:trHeight w:val="300"/>
        </w:trPr>
        <w:tc>
          <w:tcPr>
            <w:tcW w:w="1556" w:type="pct"/>
            <w:tcBorders>
              <w:top w:val="single" w:sz="4" w:space="0" w:color="auto"/>
              <w:left w:val="nil"/>
              <w:bottom w:val="nil"/>
              <w:right w:val="nil"/>
            </w:tcBorders>
            <w:shd w:val="clear" w:color="auto" w:fill="auto"/>
            <w:noWrap/>
            <w:vAlign w:val="bottom"/>
            <w:hideMark/>
          </w:tcPr>
          <w:p w:rsidR="002C1D67" w:rsidRPr="002C1D67" w:rsidRDefault="002C1D67" w:rsidP="003F7DED">
            <w:pPr>
              <w:rPr>
                <w:rFonts w:ascii="Arial" w:hAnsi="Arial" w:cs="Arial"/>
                <w:sz w:val="24"/>
                <w:szCs w:val="24"/>
                <w:lang w:eastAsia="en-GB"/>
              </w:rPr>
            </w:pPr>
          </w:p>
        </w:tc>
        <w:tc>
          <w:tcPr>
            <w:tcW w:w="1568" w:type="pct"/>
            <w:gridSpan w:val="2"/>
            <w:tcBorders>
              <w:top w:val="single" w:sz="4" w:space="0" w:color="auto"/>
              <w:left w:val="nil"/>
              <w:bottom w:val="nil"/>
              <w:right w:val="nil"/>
            </w:tcBorders>
            <w:shd w:val="clear" w:color="auto" w:fill="auto"/>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Missing data</w:t>
            </w:r>
          </w:p>
        </w:tc>
        <w:tc>
          <w:tcPr>
            <w:tcW w:w="313" w:type="pct"/>
            <w:tcBorders>
              <w:top w:val="single" w:sz="4" w:space="0" w:color="auto"/>
              <w:left w:val="nil"/>
              <w:bottom w:val="nil"/>
              <w:right w:val="nil"/>
            </w:tcBorders>
            <w:shd w:val="clear" w:color="auto" w:fill="auto"/>
            <w:noWrap/>
            <w:vAlign w:val="bottom"/>
            <w:hideMark/>
          </w:tcPr>
          <w:p w:rsidR="002C1D67" w:rsidRPr="002C1D67" w:rsidRDefault="002C1D67" w:rsidP="003F7DED">
            <w:pPr>
              <w:rPr>
                <w:rFonts w:ascii="Arial" w:hAnsi="Arial" w:cs="Arial"/>
                <w:sz w:val="24"/>
                <w:szCs w:val="24"/>
                <w:lang w:eastAsia="en-GB"/>
              </w:rPr>
            </w:pPr>
          </w:p>
        </w:tc>
        <w:tc>
          <w:tcPr>
            <w:tcW w:w="588" w:type="pct"/>
            <w:tcBorders>
              <w:top w:val="single" w:sz="4" w:space="0" w:color="auto"/>
              <w:left w:val="nil"/>
              <w:bottom w:val="nil"/>
              <w:right w:val="nil"/>
            </w:tcBorders>
            <w:shd w:val="clear" w:color="auto" w:fill="auto"/>
            <w:noWrap/>
            <w:vAlign w:val="bottom"/>
            <w:hideMark/>
          </w:tcPr>
          <w:p w:rsidR="002C1D67" w:rsidRPr="002C1D67" w:rsidRDefault="002C1D67" w:rsidP="003F7DED">
            <w:pPr>
              <w:rPr>
                <w:rFonts w:ascii="Arial" w:hAnsi="Arial" w:cs="Arial"/>
                <w:sz w:val="24"/>
                <w:szCs w:val="24"/>
                <w:lang w:eastAsia="en-GB"/>
              </w:rPr>
            </w:pPr>
          </w:p>
        </w:tc>
        <w:tc>
          <w:tcPr>
            <w:tcW w:w="386" w:type="pct"/>
            <w:tcBorders>
              <w:top w:val="single" w:sz="4" w:space="0" w:color="auto"/>
              <w:left w:val="nil"/>
              <w:bottom w:val="nil"/>
              <w:right w:val="nil"/>
            </w:tcBorders>
            <w:shd w:val="clear" w:color="auto" w:fill="auto"/>
            <w:noWrap/>
            <w:vAlign w:val="bottom"/>
            <w:hideMark/>
          </w:tcPr>
          <w:p w:rsidR="002C1D67" w:rsidRPr="002C1D67" w:rsidRDefault="002C1D67" w:rsidP="003F7DED">
            <w:pPr>
              <w:rPr>
                <w:rFonts w:ascii="Arial" w:hAnsi="Arial" w:cs="Arial"/>
                <w:sz w:val="24"/>
                <w:szCs w:val="24"/>
                <w:lang w:eastAsia="en-GB"/>
              </w:rPr>
            </w:pPr>
          </w:p>
        </w:tc>
        <w:tc>
          <w:tcPr>
            <w:tcW w:w="588" w:type="pct"/>
            <w:tcBorders>
              <w:top w:val="single" w:sz="4" w:space="0" w:color="auto"/>
              <w:left w:val="nil"/>
              <w:bottom w:val="nil"/>
              <w:right w:val="nil"/>
            </w:tcBorders>
            <w:shd w:val="clear" w:color="auto" w:fill="auto"/>
            <w:noWrap/>
            <w:vAlign w:val="bottom"/>
            <w:hideMark/>
          </w:tcPr>
          <w:p w:rsidR="002C1D67" w:rsidRPr="002C1D67" w:rsidRDefault="002C1D67" w:rsidP="003F7DED">
            <w:pPr>
              <w:rPr>
                <w:rFonts w:ascii="Arial" w:hAnsi="Arial" w:cs="Arial"/>
                <w:sz w:val="24"/>
                <w:szCs w:val="24"/>
                <w:lang w:eastAsia="en-GB"/>
              </w:rPr>
            </w:pPr>
          </w:p>
        </w:tc>
      </w:tr>
      <w:tr w:rsidR="002C1D67" w:rsidRPr="002C1D67" w:rsidTr="002C1D67">
        <w:trPr>
          <w:trHeight w:val="300"/>
        </w:trPr>
        <w:tc>
          <w:tcPr>
            <w:tcW w:w="1556" w:type="pct"/>
            <w:tcBorders>
              <w:top w:val="nil"/>
              <w:left w:val="nil"/>
              <w:bottom w:val="nil"/>
              <w:right w:val="nil"/>
            </w:tcBorders>
            <w:shd w:val="clear" w:color="auto" w:fill="auto"/>
            <w:noWrap/>
            <w:vAlign w:val="bottom"/>
            <w:hideMark/>
          </w:tcPr>
          <w:p w:rsidR="002C1D67" w:rsidRPr="002C1D67" w:rsidRDefault="002C1D67" w:rsidP="003F7DED">
            <w:pPr>
              <w:rPr>
                <w:rFonts w:ascii="Arial" w:hAnsi="Arial" w:cs="Arial"/>
                <w:sz w:val="24"/>
                <w:szCs w:val="24"/>
                <w:lang w:eastAsia="en-GB"/>
              </w:rPr>
            </w:pPr>
          </w:p>
        </w:tc>
        <w:tc>
          <w:tcPr>
            <w:tcW w:w="753" w:type="pct"/>
            <w:tcBorders>
              <w:top w:val="nil"/>
              <w:left w:val="nil"/>
              <w:bottom w:val="nil"/>
              <w:right w:val="nil"/>
            </w:tcBorders>
            <w:shd w:val="clear" w:color="auto" w:fill="auto"/>
            <w:noWrap/>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Yes (%)</w:t>
            </w:r>
          </w:p>
        </w:tc>
        <w:tc>
          <w:tcPr>
            <w:tcW w:w="815" w:type="pct"/>
            <w:tcBorders>
              <w:top w:val="nil"/>
              <w:left w:val="nil"/>
              <w:bottom w:val="nil"/>
              <w:right w:val="nil"/>
            </w:tcBorders>
            <w:shd w:val="clear" w:color="auto" w:fill="auto"/>
            <w:noWrap/>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No (%)</w:t>
            </w:r>
          </w:p>
        </w:tc>
        <w:tc>
          <w:tcPr>
            <w:tcW w:w="313"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 xml:space="preserve">OR </w:t>
            </w:r>
          </w:p>
        </w:tc>
        <w:tc>
          <w:tcPr>
            <w:tcW w:w="588"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95% CI</w:t>
            </w:r>
          </w:p>
        </w:tc>
        <w:tc>
          <w:tcPr>
            <w:tcW w:w="386"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AOR*</w:t>
            </w:r>
          </w:p>
        </w:tc>
        <w:tc>
          <w:tcPr>
            <w:tcW w:w="588"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center"/>
              <w:rPr>
                <w:rFonts w:ascii="Arial" w:hAnsi="Arial" w:cs="Arial"/>
                <w:b/>
                <w:bCs/>
                <w:sz w:val="24"/>
                <w:szCs w:val="24"/>
                <w:lang w:eastAsia="en-GB"/>
              </w:rPr>
            </w:pPr>
            <w:r w:rsidRPr="002C1D67">
              <w:rPr>
                <w:rFonts w:ascii="Arial" w:hAnsi="Arial" w:cs="Arial"/>
                <w:b/>
                <w:bCs/>
                <w:sz w:val="24"/>
                <w:szCs w:val="24"/>
                <w:lang w:eastAsia="en-GB"/>
              </w:rPr>
              <w:t>95% CI</w:t>
            </w:r>
          </w:p>
        </w:tc>
      </w:tr>
      <w:tr w:rsidR="002C1D67" w:rsidRPr="002C1D67" w:rsidTr="002C1D67">
        <w:trPr>
          <w:trHeight w:val="300"/>
        </w:trPr>
        <w:tc>
          <w:tcPr>
            <w:tcW w:w="1556"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rPr>
                <w:rFonts w:ascii="Arial" w:hAnsi="Arial" w:cs="Arial"/>
                <w:b/>
                <w:bCs/>
                <w:sz w:val="24"/>
                <w:szCs w:val="24"/>
                <w:lang w:eastAsia="en-GB"/>
              </w:rPr>
            </w:pPr>
            <w:r w:rsidRPr="002C1D67">
              <w:rPr>
                <w:rFonts w:ascii="Arial" w:hAnsi="Arial" w:cs="Arial"/>
                <w:b/>
                <w:bCs/>
                <w:sz w:val="24"/>
                <w:szCs w:val="24"/>
                <w:lang w:eastAsia="en-GB"/>
              </w:rPr>
              <w:t>Total population (n=255521)</w:t>
            </w:r>
          </w:p>
        </w:tc>
        <w:tc>
          <w:tcPr>
            <w:tcW w:w="753"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815"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rPr>
                <w:rFonts w:ascii="Arial" w:hAnsi="Arial" w:cs="Arial"/>
                <w:b/>
                <w:bCs/>
                <w:sz w:val="24"/>
                <w:szCs w:val="24"/>
                <w:lang w:eastAsia="en-GB"/>
              </w:rPr>
            </w:pPr>
            <w:r w:rsidRPr="002C1D67">
              <w:rPr>
                <w:rFonts w:ascii="Arial" w:hAnsi="Arial" w:cs="Arial"/>
                <w:b/>
                <w:bCs/>
                <w:sz w:val="24"/>
                <w:szCs w:val="24"/>
                <w:lang w:eastAsia="en-GB"/>
              </w:rPr>
              <w:t>Age</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65-74</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24,814 (16.9)</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122,156 (83.1)</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Cs/>
                <w:sz w:val="24"/>
                <w:szCs w:val="24"/>
                <w:lang w:eastAsia="en-GB"/>
              </w:rPr>
            </w:pPr>
            <w:r w:rsidRPr="002C1D67">
              <w:rPr>
                <w:rFonts w:ascii="Arial" w:hAnsi="Arial" w:cs="Arial"/>
                <w:bCs/>
                <w:sz w:val="24"/>
                <w:szCs w:val="24"/>
                <w:lang w:eastAsia="en-GB"/>
              </w:rPr>
              <w:t>1</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75-84</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7,813 (9.35)</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75,755 (90.7)</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0.51</w:t>
            </w:r>
          </w:p>
        </w:tc>
        <w:tc>
          <w:tcPr>
            <w:tcW w:w="588" w:type="pct"/>
            <w:tcBorders>
              <w:top w:val="nil"/>
              <w:left w:val="nil"/>
              <w:bottom w:val="nil"/>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0.49, 0.52</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0.52</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0.51, 0.54</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85+</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2,178 (7.95)</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25,234 (92.1)</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0.42</w:t>
            </w:r>
          </w:p>
        </w:tc>
        <w:tc>
          <w:tcPr>
            <w:tcW w:w="588" w:type="pct"/>
            <w:tcBorders>
              <w:top w:val="single" w:sz="4" w:space="0" w:color="auto"/>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0.41, 0.44</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0.48</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0.46, 0.50</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rPr>
                <w:rFonts w:ascii="Arial" w:hAnsi="Arial" w:cs="Arial"/>
                <w:b/>
                <w:bCs/>
                <w:sz w:val="24"/>
                <w:szCs w:val="24"/>
                <w:lang w:eastAsia="en-GB"/>
              </w:rPr>
            </w:pPr>
            <w:r w:rsidRPr="002C1D67">
              <w:rPr>
                <w:rFonts w:ascii="Arial" w:hAnsi="Arial" w:cs="Arial"/>
                <w:b/>
                <w:bCs/>
                <w:sz w:val="24"/>
                <w:szCs w:val="24"/>
                <w:lang w:eastAsia="en-GB"/>
              </w:rPr>
              <w:t>Sex</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Male</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16,679 (14.7)</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95, 557 (85.3)</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1</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Female</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18,126 (12.5)</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126,588 (87.5)</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0.83</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0.81, 0.85</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0.89</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0.87, 0.91</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rPr>
                <w:rFonts w:ascii="Arial" w:hAnsi="Arial" w:cs="Arial"/>
                <w:b/>
                <w:bCs/>
                <w:sz w:val="24"/>
                <w:szCs w:val="24"/>
                <w:lang w:eastAsia="en-GB"/>
              </w:rPr>
            </w:pPr>
            <w:r w:rsidRPr="002C1D67">
              <w:rPr>
                <w:rFonts w:ascii="Arial" w:hAnsi="Arial" w:cs="Arial"/>
                <w:b/>
                <w:bCs/>
                <w:sz w:val="24"/>
                <w:szCs w:val="24"/>
                <w:lang w:eastAsia="en-GB"/>
              </w:rPr>
              <w:t>Residence in 2012</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b/>
                <w:bCs/>
                <w:sz w:val="24"/>
                <w:szCs w:val="24"/>
                <w:lang w:eastAsia="en-GB"/>
              </w:rPr>
            </w:pPr>
            <w:r w:rsidRPr="002C1D67">
              <w:rPr>
                <w:rFonts w:ascii="Arial" w:hAnsi="Arial" w:cs="Arial"/>
                <w:b/>
                <w:bCs/>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Community</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34,357 (13.9)</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213,768 (86.2)</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1</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 </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Transitioned</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67 (2.8)</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2,362 (97.2)</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0.18</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0.14, 0.23</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0.25</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0.20, 0.32</w:t>
            </w:r>
          </w:p>
        </w:tc>
      </w:tr>
      <w:tr w:rsidR="002C1D67" w:rsidRPr="002C1D67" w:rsidTr="002C1D67">
        <w:trPr>
          <w:trHeight w:val="300"/>
        </w:trPr>
        <w:tc>
          <w:tcPr>
            <w:tcW w:w="155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Care home</w:t>
            </w:r>
          </w:p>
        </w:tc>
        <w:tc>
          <w:tcPr>
            <w:tcW w:w="75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381 (5.2)</w:t>
            </w:r>
          </w:p>
        </w:tc>
        <w:tc>
          <w:tcPr>
            <w:tcW w:w="815"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7,015 (94.9)</w:t>
            </w:r>
          </w:p>
        </w:tc>
        <w:tc>
          <w:tcPr>
            <w:tcW w:w="313"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0.34</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0.30, 0.37</w:t>
            </w:r>
          </w:p>
        </w:tc>
        <w:tc>
          <w:tcPr>
            <w:tcW w:w="386"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0.48</w:t>
            </w:r>
          </w:p>
        </w:tc>
        <w:tc>
          <w:tcPr>
            <w:tcW w:w="588" w:type="pct"/>
            <w:tcBorders>
              <w:top w:val="nil"/>
              <w:left w:val="nil"/>
              <w:bottom w:val="single" w:sz="4" w:space="0" w:color="auto"/>
              <w:right w:val="nil"/>
            </w:tcBorders>
            <w:shd w:val="clear" w:color="auto" w:fill="auto"/>
            <w:noWrap/>
            <w:vAlign w:val="bottom"/>
            <w:hideMark/>
          </w:tcPr>
          <w:p w:rsidR="002C1D67" w:rsidRPr="002C1D67" w:rsidRDefault="002C1D67" w:rsidP="003F7DED">
            <w:pPr>
              <w:jc w:val="right"/>
              <w:rPr>
                <w:rFonts w:ascii="Arial" w:hAnsi="Arial" w:cs="Arial"/>
                <w:sz w:val="24"/>
                <w:szCs w:val="24"/>
                <w:lang w:eastAsia="en-GB"/>
              </w:rPr>
            </w:pPr>
            <w:r w:rsidRPr="002C1D67">
              <w:rPr>
                <w:rFonts w:ascii="Arial" w:hAnsi="Arial" w:cs="Arial"/>
                <w:sz w:val="24"/>
                <w:szCs w:val="24"/>
                <w:lang w:eastAsia="en-GB"/>
              </w:rPr>
              <w:t>0.44, 0.54</w:t>
            </w:r>
          </w:p>
        </w:tc>
      </w:tr>
    </w:tbl>
    <w:p w:rsidR="002C1D67" w:rsidRDefault="002C1D67" w:rsidP="002C1D67">
      <w:pPr>
        <w:pStyle w:val="ListParagraph"/>
        <w:ind w:left="1080"/>
        <w:sectPr w:rsidR="002C1D67" w:rsidSect="002C1D67">
          <w:pgSz w:w="16838" w:h="11906" w:orient="landscape"/>
          <w:pgMar w:top="1440" w:right="1440" w:bottom="1440" w:left="1440" w:header="708" w:footer="708" w:gutter="0"/>
          <w:cols w:space="708"/>
          <w:docGrid w:linePitch="360"/>
        </w:sectPr>
      </w:pPr>
      <w:r w:rsidRPr="00DC5A02">
        <w:t xml:space="preserve"> </w:t>
      </w:r>
      <w:r>
        <w:t>*adjusted for all other factors in the model</w:t>
      </w:r>
    </w:p>
    <w:p w:rsidR="002C1D67" w:rsidRDefault="002C1D67" w:rsidP="002C1D67">
      <w:pPr>
        <w:spacing w:line="480" w:lineRule="auto"/>
      </w:pPr>
      <w:r>
        <w:rPr>
          <w:rFonts w:ascii="Arial" w:hAnsi="Arial" w:cs="Arial"/>
          <w:bCs/>
          <w:sz w:val="24"/>
        </w:rPr>
        <w:t xml:space="preserve">Supplementary Table S3 </w:t>
      </w:r>
      <w:r w:rsidRPr="00AA3485">
        <w:rPr>
          <w:rFonts w:ascii="Arial" w:hAnsi="Arial" w:cs="Arial"/>
          <w:bCs/>
          <w:sz w:val="24"/>
        </w:rPr>
        <w:t>A comparison of age, sex and co-morbidities for care home and community dwelling older people in Northern Ireland, January – December 2012.</w:t>
      </w:r>
      <w:r>
        <w:rPr>
          <w:rFonts w:ascii="Arial" w:hAnsi="Arial" w:cs="Arial"/>
          <w:bCs/>
          <w:sz w:val="24"/>
        </w:rPr>
        <w:t>*</w:t>
      </w:r>
    </w:p>
    <w:tbl>
      <w:tblPr>
        <w:tblW w:w="5472" w:type="pct"/>
        <w:jc w:val="center"/>
        <w:tblLook w:val="04A0" w:firstRow="1" w:lastRow="0" w:firstColumn="1" w:lastColumn="0" w:noHBand="0" w:noVBand="1"/>
      </w:tblPr>
      <w:tblGrid>
        <w:gridCol w:w="3184"/>
        <w:gridCol w:w="1553"/>
        <w:gridCol w:w="1627"/>
        <w:gridCol w:w="607"/>
        <w:gridCol w:w="1101"/>
        <w:gridCol w:w="941"/>
        <w:gridCol w:w="1101"/>
      </w:tblGrid>
      <w:tr w:rsidR="002C1D67" w:rsidRPr="00AA3485" w:rsidTr="003F7DED">
        <w:trPr>
          <w:trHeight w:hRule="exact" w:val="301"/>
          <w:jc w:val="center"/>
        </w:trPr>
        <w:tc>
          <w:tcPr>
            <w:tcW w:w="157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color w:val="000000"/>
              </w:rPr>
            </w:pPr>
          </w:p>
        </w:tc>
        <w:tc>
          <w:tcPr>
            <w:tcW w:w="768"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center"/>
              <w:rPr>
                <w:rFonts w:ascii="Calibri" w:eastAsia="Times New Roman" w:hAnsi="Calibri" w:cs="Times New Roman"/>
                <w:b/>
                <w:bCs/>
                <w:color w:val="000000"/>
              </w:rPr>
            </w:pPr>
            <w:r w:rsidRPr="00AA3485">
              <w:rPr>
                <w:rFonts w:ascii="Calibri" w:eastAsia="Times New Roman" w:hAnsi="Calibri" w:cs="Times New Roman"/>
                <w:b/>
                <w:bCs/>
                <w:color w:val="000000"/>
              </w:rPr>
              <w:t>Care home (%)</w:t>
            </w:r>
          </w:p>
        </w:tc>
        <w:tc>
          <w:tcPr>
            <w:tcW w:w="80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center"/>
              <w:rPr>
                <w:rFonts w:ascii="Calibri" w:eastAsia="Times New Roman" w:hAnsi="Calibri" w:cs="Times New Roman"/>
                <w:b/>
                <w:bCs/>
                <w:color w:val="000000"/>
              </w:rPr>
            </w:pPr>
            <w:r w:rsidRPr="00AA3485">
              <w:rPr>
                <w:rFonts w:ascii="Calibri" w:eastAsia="Times New Roman" w:hAnsi="Calibri" w:cs="Times New Roman"/>
                <w:b/>
                <w:bCs/>
                <w:color w:val="000000"/>
              </w:rPr>
              <w:t>Community (%)</w:t>
            </w:r>
          </w:p>
        </w:tc>
        <w:tc>
          <w:tcPr>
            <w:tcW w:w="300"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center"/>
              <w:rPr>
                <w:rFonts w:ascii="Calibri" w:eastAsia="Times New Roman" w:hAnsi="Calibri" w:cs="Times New Roman"/>
                <w:b/>
                <w:bCs/>
                <w:color w:val="000000"/>
              </w:rPr>
            </w:pPr>
            <w:r w:rsidRPr="00AA3485">
              <w:rPr>
                <w:rFonts w:ascii="Calibri" w:eastAsia="Times New Roman" w:hAnsi="Calibri" w:cs="Times New Roman"/>
                <w:b/>
                <w:bCs/>
                <w:color w:val="000000"/>
              </w:rPr>
              <w:t xml:space="preserve">OR </w:t>
            </w:r>
          </w:p>
        </w:tc>
        <w:tc>
          <w:tcPr>
            <w:tcW w:w="54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center"/>
              <w:rPr>
                <w:rFonts w:ascii="Calibri" w:eastAsia="Times New Roman" w:hAnsi="Calibri" w:cs="Times New Roman"/>
                <w:b/>
                <w:bCs/>
                <w:color w:val="000000"/>
              </w:rPr>
            </w:pPr>
            <w:r w:rsidRPr="00AA3485">
              <w:rPr>
                <w:rFonts w:ascii="Calibri" w:eastAsia="Times New Roman" w:hAnsi="Calibri" w:cs="Times New Roman"/>
                <w:b/>
                <w:bCs/>
                <w:color w:val="000000"/>
              </w:rPr>
              <w:t>95% CI</w:t>
            </w:r>
          </w:p>
        </w:tc>
        <w:tc>
          <w:tcPr>
            <w:tcW w:w="466"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center"/>
              <w:rPr>
                <w:rFonts w:ascii="Calibri" w:eastAsia="Times New Roman" w:hAnsi="Calibri" w:cs="Times New Roman"/>
                <w:b/>
                <w:bCs/>
                <w:color w:val="000000"/>
              </w:rPr>
            </w:pPr>
            <w:r w:rsidRPr="00AA3485">
              <w:rPr>
                <w:rFonts w:ascii="Calibri" w:eastAsia="Times New Roman" w:hAnsi="Calibri" w:cs="Times New Roman"/>
                <w:b/>
                <w:bCs/>
                <w:color w:val="000000"/>
              </w:rPr>
              <w:t>AOR</w:t>
            </w:r>
            <w:r w:rsidRPr="00243E5D">
              <w:rPr>
                <w:rFonts w:ascii="Calibri" w:eastAsia="Times New Roman" w:hAnsi="Calibri" w:cs="Times New Roman"/>
                <w:b/>
                <w:bCs/>
                <w:color w:val="000000"/>
                <w:vertAlign w:val="superscript"/>
              </w:rPr>
              <w:t>1,ǂ</w:t>
            </w:r>
          </w:p>
        </w:tc>
        <w:tc>
          <w:tcPr>
            <w:tcW w:w="54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center"/>
              <w:rPr>
                <w:rFonts w:ascii="Calibri" w:eastAsia="Times New Roman" w:hAnsi="Calibri" w:cs="Times New Roman"/>
                <w:b/>
                <w:bCs/>
                <w:color w:val="000000"/>
              </w:rPr>
            </w:pPr>
            <w:r w:rsidRPr="00AA3485">
              <w:rPr>
                <w:rFonts w:ascii="Calibri" w:eastAsia="Times New Roman" w:hAnsi="Calibri" w:cs="Times New Roman"/>
                <w:b/>
                <w:bCs/>
                <w:color w:val="000000"/>
              </w:rPr>
              <w:t>95% CI</w:t>
            </w:r>
          </w:p>
        </w:tc>
      </w:tr>
      <w:tr w:rsidR="002C1D67" w:rsidRPr="00AA3485" w:rsidTr="003F7DED">
        <w:trPr>
          <w:trHeight w:hRule="exact" w:val="301"/>
          <w:jc w:val="center"/>
        </w:trPr>
        <w:tc>
          <w:tcPr>
            <w:tcW w:w="157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Total population (n=255521)</w:t>
            </w:r>
          </w:p>
        </w:tc>
        <w:tc>
          <w:tcPr>
            <w:tcW w:w="768"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7,396</w:t>
            </w:r>
          </w:p>
        </w:tc>
        <w:tc>
          <w:tcPr>
            <w:tcW w:w="80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248,125</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Age</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65-74</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975 (13.2)</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145,667 (58.7)</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nil"/>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75-84</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2,725 (36.8)</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79,886 (32.2)</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5.1</w:t>
            </w:r>
          </w:p>
        </w:tc>
        <w:tc>
          <w:tcPr>
            <w:tcW w:w="544" w:type="pct"/>
            <w:tcBorders>
              <w:top w:val="single" w:sz="4" w:space="0" w:color="auto"/>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4.73, 5.49</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4.04</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3.74, 4.37</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85+</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3,696 (50.0)</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22,572 (9.1)</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24.5</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22.8, 26.3</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16.1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14.9, 17.3</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Sex</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Male</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1,953 (26.4)</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110,524 (44.5)</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Female</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5,443 (73.6)</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137,601 (55.5)</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2.24</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2.12, 2.36</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1.41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1.33, 1.49</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Cardiovascular meds</w:t>
            </w:r>
            <w:r w:rsidRPr="00AA3485">
              <w:rPr>
                <w:rFonts w:ascii="Calibri" w:eastAsia="Times New Roman" w:hAnsi="Calibri" w:cs="Times New Roman"/>
                <w:color w:val="000000"/>
              </w:rPr>
              <w:t xml:space="preserve"> (n=220783)</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No</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1,043 (14.9)</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22,010 (10.3)</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Yes</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5,972 (85.1)</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191,758 (89.7)</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0.66</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0.61, 0.70</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0.62</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0.57, 0.67</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 xml:space="preserve">Diabetic meds  </w:t>
            </w:r>
            <w:r w:rsidRPr="00AA3485">
              <w:rPr>
                <w:rFonts w:ascii="Calibri" w:eastAsia="Times New Roman" w:hAnsi="Calibri" w:cs="Times New Roman"/>
                <w:color w:val="000000"/>
              </w:rPr>
              <w:t>(n=220783)</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No</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5,918 (84.4)</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182,991 (85.6)</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Yes</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1,097 (15.6)</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30,777 (14.4)</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1.03, 1.18</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1.45</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1.35, 1.56</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 xml:space="preserve">Inflammatory meds </w:t>
            </w:r>
            <w:r w:rsidRPr="00AA3485">
              <w:rPr>
                <w:rFonts w:ascii="Calibri" w:eastAsia="Times New Roman" w:hAnsi="Calibri" w:cs="Times New Roman"/>
                <w:color w:val="000000"/>
              </w:rPr>
              <w:t xml:space="preserve"> (n=220783)</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No</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6,566 (93.6)</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166,070 (77.7)</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Yes</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449 (6.40)</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47,698 (22.3)</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0.24</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0.22, 0.26</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0.33</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0.30, 0.37</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 xml:space="preserve">Psychiatric meds </w:t>
            </w:r>
            <w:r w:rsidRPr="00AA3485">
              <w:rPr>
                <w:rFonts w:ascii="Calibri" w:eastAsia="Times New Roman" w:hAnsi="Calibri" w:cs="Times New Roman"/>
                <w:color w:val="000000"/>
              </w:rPr>
              <w:t>(n=220783)</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No</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1,886 (26.9)</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155,331 (72.7)</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Yes</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5,129 (73.1)</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58,437 (27.3)</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7.23</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6.85, 7.63</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5.42</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5.12, 5.74</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 xml:space="preserve">Respiratory meds </w:t>
            </w:r>
            <w:r w:rsidRPr="00AA3485">
              <w:rPr>
                <w:rFonts w:ascii="Calibri" w:eastAsia="Times New Roman" w:hAnsi="Calibri" w:cs="Times New Roman"/>
                <w:color w:val="000000"/>
              </w:rPr>
              <w:t>(n=220783)</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No</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5,690 (81.1)</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166,587 (77.9)</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Yes</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1,325 (18.9)</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47,181 (22.1)</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0.82</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0.77, 0.87</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0.87</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0.82, 0.93</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rPr>
                <w:rFonts w:ascii="Calibri" w:eastAsia="Times New Roman" w:hAnsi="Calibri" w:cs="Times New Roman"/>
                <w:b/>
                <w:bCs/>
                <w:color w:val="000000"/>
              </w:rPr>
            </w:pPr>
            <w:r w:rsidRPr="00AA3485">
              <w:rPr>
                <w:rFonts w:ascii="Calibri" w:eastAsia="Times New Roman" w:hAnsi="Calibri" w:cs="Times New Roman"/>
                <w:b/>
                <w:bCs/>
                <w:color w:val="000000"/>
              </w:rPr>
              <w:t>Catheter</w:t>
            </w:r>
            <w:r w:rsidRPr="00AA3485">
              <w:rPr>
                <w:rFonts w:ascii="Calibri" w:eastAsia="Times New Roman" w:hAnsi="Calibri" w:cs="Times New Roman"/>
                <w:color w:val="000000"/>
              </w:rPr>
              <w:t xml:space="preserve"> (n=220783)</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b/>
                <w:bCs/>
                <w:color w:val="000000"/>
              </w:rPr>
            </w:pPr>
            <w:r w:rsidRPr="00AA3485">
              <w:rPr>
                <w:rFonts w:ascii="Calibri" w:eastAsia="Times New Roman" w:hAnsi="Calibri" w:cs="Times New Roman"/>
                <w:b/>
                <w:bCs/>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No</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6,658 (94.9)</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211,950 (99.2)</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 </w:t>
            </w:r>
          </w:p>
        </w:tc>
      </w:tr>
      <w:tr w:rsidR="002C1D67" w:rsidRPr="00AA3485" w:rsidTr="003F7DED">
        <w:trPr>
          <w:trHeight w:hRule="exact" w:val="301"/>
          <w:jc w:val="center"/>
        </w:trPr>
        <w:tc>
          <w:tcPr>
            <w:tcW w:w="157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Yes</w:t>
            </w:r>
          </w:p>
        </w:tc>
        <w:tc>
          <w:tcPr>
            <w:tcW w:w="768"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357 (5.09)</w:t>
            </w:r>
          </w:p>
        </w:tc>
        <w:tc>
          <w:tcPr>
            <w:tcW w:w="80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1,818 (0.85)</w:t>
            </w:r>
          </w:p>
        </w:tc>
        <w:tc>
          <w:tcPr>
            <w:tcW w:w="300"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6.25</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5.57, 7.02</w:t>
            </w:r>
          </w:p>
        </w:tc>
        <w:tc>
          <w:tcPr>
            <w:tcW w:w="466"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4.37</w:t>
            </w:r>
          </w:p>
        </w:tc>
        <w:tc>
          <w:tcPr>
            <w:tcW w:w="544" w:type="pct"/>
            <w:tcBorders>
              <w:top w:val="nil"/>
              <w:left w:val="nil"/>
              <w:bottom w:val="single" w:sz="4" w:space="0" w:color="auto"/>
              <w:right w:val="nil"/>
            </w:tcBorders>
            <w:shd w:val="clear" w:color="auto" w:fill="auto"/>
            <w:noWrap/>
            <w:vAlign w:val="bottom"/>
            <w:hideMark/>
          </w:tcPr>
          <w:p w:rsidR="002C1D67" w:rsidRPr="00AA3485" w:rsidRDefault="002C1D67" w:rsidP="003F7DED">
            <w:pPr>
              <w:spacing w:after="0" w:line="240" w:lineRule="auto"/>
              <w:jc w:val="right"/>
              <w:rPr>
                <w:rFonts w:ascii="Calibri" w:eastAsia="Times New Roman" w:hAnsi="Calibri" w:cs="Times New Roman"/>
                <w:color w:val="000000"/>
              </w:rPr>
            </w:pPr>
            <w:r w:rsidRPr="00AA3485">
              <w:rPr>
                <w:rFonts w:ascii="Calibri" w:eastAsia="Times New Roman" w:hAnsi="Calibri" w:cs="Times New Roman"/>
                <w:color w:val="000000"/>
              </w:rPr>
              <w:t>3.82, 4.99</w:t>
            </w:r>
          </w:p>
        </w:tc>
      </w:tr>
    </w:tbl>
    <w:p w:rsidR="002C1D67" w:rsidRPr="00243E5D" w:rsidRDefault="002C1D67" w:rsidP="002C1D67">
      <w:pPr>
        <w:pStyle w:val="Caption"/>
        <w:spacing w:after="0"/>
        <w:rPr>
          <w:rFonts w:ascii="Times New Roman" w:hAnsi="Times New Roman" w:cs="Times New Roman"/>
          <w:b w:val="0"/>
          <w:color w:val="auto"/>
          <w:sz w:val="22"/>
          <w:szCs w:val="22"/>
        </w:rPr>
      </w:pPr>
      <w:r w:rsidRPr="00243E5D">
        <w:rPr>
          <w:rFonts w:ascii="Times New Roman" w:hAnsi="Times New Roman" w:cs="Times New Roman"/>
          <w:b w:val="0"/>
          <w:color w:val="auto"/>
          <w:sz w:val="22"/>
          <w:szCs w:val="22"/>
        </w:rPr>
        <w:t>*excludes those that died</w:t>
      </w:r>
    </w:p>
    <w:p w:rsidR="002C1D67" w:rsidRPr="00243E5D" w:rsidRDefault="002C1D67" w:rsidP="002C1D67">
      <w:pPr>
        <w:spacing w:after="0" w:line="240" w:lineRule="auto"/>
        <w:rPr>
          <w:rFonts w:ascii="Times New Roman" w:hAnsi="Times New Roman" w:cs="Times New Roman"/>
        </w:rPr>
      </w:pPr>
      <w:r w:rsidRPr="00243E5D">
        <w:rPr>
          <w:rFonts w:ascii="Times New Roman" w:hAnsi="Times New Roman" w:cs="Times New Roman"/>
          <w:vertAlign w:val="superscript"/>
        </w:rPr>
        <w:t>1</w:t>
      </w:r>
      <w:r w:rsidRPr="00243E5D">
        <w:rPr>
          <w:rFonts w:ascii="Times New Roman" w:hAnsi="Times New Roman" w:cs="Times New Roman"/>
        </w:rPr>
        <w:t xml:space="preserve">Final model includes </w:t>
      </w:r>
      <w:r w:rsidRPr="00243E5D">
        <w:rPr>
          <w:rFonts w:ascii="Times New Roman" w:eastAsia="Times New Roman" w:hAnsi="Times New Roman" w:cs="Times New Roman"/>
          <w:bCs/>
          <w:color w:val="000000"/>
        </w:rPr>
        <w:t>220,783 individuals</w:t>
      </w:r>
    </w:p>
    <w:p w:rsidR="002C1D67" w:rsidRPr="00243E5D" w:rsidRDefault="002C1D67" w:rsidP="002C1D67">
      <w:pPr>
        <w:spacing w:after="0" w:line="240" w:lineRule="auto"/>
        <w:rPr>
          <w:rFonts w:ascii="Times New Roman" w:hAnsi="Times New Roman" w:cs="Times New Roman"/>
          <w:b/>
        </w:rPr>
      </w:pPr>
      <w:r w:rsidRPr="00243E5D">
        <w:rPr>
          <w:rFonts w:ascii="Times New Roman" w:hAnsi="Times New Roman" w:cs="Times New Roman"/>
        </w:rPr>
        <w:t>ǂadjusted for all other factors in the model</w:t>
      </w:r>
    </w:p>
    <w:p w:rsidR="002C1D67" w:rsidRDefault="002C1D67" w:rsidP="002C1D67"/>
    <w:p w:rsidR="002C1D67" w:rsidRDefault="002C1D67" w:rsidP="002C1D67"/>
    <w:p w:rsidR="002C1D67" w:rsidRDefault="002C1D67">
      <w:pPr>
        <w:rPr>
          <w:rFonts w:ascii="Arial" w:hAnsi="Arial" w:cs="Arial"/>
          <w:sz w:val="24"/>
          <w:szCs w:val="24"/>
        </w:rPr>
      </w:pPr>
    </w:p>
    <w:p w:rsidR="002C1D67" w:rsidRPr="006166F1" w:rsidRDefault="002C1D67">
      <w:pPr>
        <w:rPr>
          <w:rFonts w:ascii="Arial" w:hAnsi="Arial" w:cs="Arial"/>
          <w:sz w:val="24"/>
          <w:szCs w:val="24"/>
        </w:rPr>
      </w:pPr>
    </w:p>
    <w:sectPr w:rsidR="002C1D67" w:rsidRPr="006166F1" w:rsidSect="002C1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B1" w:rsidRDefault="001B2BB1" w:rsidP="001B2BB1">
      <w:pPr>
        <w:spacing w:after="0" w:line="240" w:lineRule="auto"/>
      </w:pPr>
      <w:r>
        <w:separator/>
      </w:r>
    </w:p>
  </w:endnote>
  <w:endnote w:type="continuationSeparator" w:id="0">
    <w:p w:rsidR="001B2BB1" w:rsidRDefault="001B2BB1" w:rsidP="001B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B1" w:rsidRDefault="001B2BB1" w:rsidP="001B2BB1">
      <w:pPr>
        <w:spacing w:after="0" w:line="240" w:lineRule="auto"/>
      </w:pPr>
      <w:r>
        <w:separator/>
      </w:r>
    </w:p>
  </w:footnote>
  <w:footnote w:type="continuationSeparator" w:id="0">
    <w:p w:rsidR="001B2BB1" w:rsidRDefault="001B2BB1" w:rsidP="001B2BB1">
      <w:pPr>
        <w:spacing w:after="0" w:line="240" w:lineRule="auto"/>
      </w:pPr>
      <w:r>
        <w:continuationSeparator/>
      </w:r>
    </w:p>
  </w:footnote>
  <w:footnote w:id="1">
    <w:p w:rsidR="001B2BB1" w:rsidRDefault="001B2BB1">
      <w:pPr>
        <w:pStyle w:val="FootnoteText"/>
      </w:pPr>
      <w:r w:rsidRPr="001B2BB1">
        <w:rPr>
          <w:rStyle w:val="FootnoteReference"/>
        </w:rPr>
        <w:footnoteRef/>
      </w:r>
      <w:r w:rsidRPr="001B2BB1">
        <w:t xml:space="preserve"> </w:t>
      </w:r>
      <w:r w:rsidRPr="001B2BB1">
        <w:rPr>
          <w:i/>
          <w:iCs/>
        </w:rPr>
        <w:t>NHS Prescription Services have created pseudo BNF chapters for items not included in BNF chapters 1 to 15. The majority of such items are dressings and appliances, which have been classified into four pseudo BNF chapters (20 to 23). Chapters 18 and 19 include preparations used in diagnosis, and ‘other preparations’.</w:t>
      </w:r>
      <w:r>
        <w:rPr>
          <w:i/>
          <w:iCs/>
        </w:rPr>
        <w:t xml:space="preserve"> Sources: </w:t>
      </w:r>
      <w:hyperlink r:id="rId1" w:history="1">
        <w:r w:rsidRPr="0012056D">
          <w:rPr>
            <w:rStyle w:val="Hyperlink"/>
            <w:i/>
            <w:iCs/>
          </w:rPr>
          <w:t>http://content.digital.nhs.uk/media/10686/Download-glossary-of-terms-for-GP-prescribing---presentation-level/pdf/PLP_Presentation_Level_Glossary_April_2015.pdf</w:t>
        </w:r>
      </w:hyperlink>
      <w:r>
        <w:rPr>
          <w:i/>
          <w:i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85"/>
    <w:rsid w:val="000C6A1B"/>
    <w:rsid w:val="001B2BB1"/>
    <w:rsid w:val="002C1D67"/>
    <w:rsid w:val="002F0D0C"/>
    <w:rsid w:val="004C41C3"/>
    <w:rsid w:val="00500BA2"/>
    <w:rsid w:val="00573C1A"/>
    <w:rsid w:val="005F0985"/>
    <w:rsid w:val="006166F1"/>
    <w:rsid w:val="007159AC"/>
    <w:rsid w:val="008D09CE"/>
    <w:rsid w:val="00913780"/>
    <w:rsid w:val="00A56440"/>
    <w:rsid w:val="00AE432F"/>
    <w:rsid w:val="00B848E5"/>
    <w:rsid w:val="00CE05E6"/>
    <w:rsid w:val="00DD49CC"/>
    <w:rsid w:val="00E65E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0FFE5-E882-4428-9832-B23DB2A0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0C"/>
  </w:style>
  <w:style w:type="paragraph" w:styleId="Heading1">
    <w:name w:val="heading 1"/>
    <w:basedOn w:val="Normal"/>
    <w:next w:val="Normal"/>
    <w:link w:val="Heading1Char"/>
    <w:uiPriority w:val="9"/>
    <w:qFormat/>
    <w:rsid w:val="002F0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0D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0D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F0D0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0D0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F0D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F0D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0D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F0D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EFrontpagemaintitle">
    <w:name w:val="PHE Front page main title"/>
    <w:rsid w:val="00CE05E6"/>
    <w:rPr>
      <w:b/>
      <w:bCs/>
      <w:color w:val="98002E"/>
      <w:sz w:val="52"/>
    </w:rPr>
  </w:style>
  <w:style w:type="paragraph" w:customStyle="1" w:styleId="PHESecondaryHeadingTwo">
    <w:name w:val="PHE Secondary Heading Two"/>
    <w:basedOn w:val="Normal"/>
    <w:rsid w:val="00CE05E6"/>
    <w:pPr>
      <w:spacing w:after="360" w:line="360" w:lineRule="exact"/>
    </w:pPr>
    <w:rPr>
      <w:rFonts w:cs="Times New Roman"/>
      <w:color w:val="00AE9E"/>
      <w:sz w:val="26"/>
    </w:rPr>
  </w:style>
  <w:style w:type="character" w:customStyle="1" w:styleId="Heading1Char">
    <w:name w:val="Heading 1 Char"/>
    <w:basedOn w:val="DefaultParagraphFont"/>
    <w:link w:val="Heading1"/>
    <w:uiPriority w:val="9"/>
    <w:rsid w:val="002F0D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0D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0D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F0D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F0D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F0D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F0D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F0D0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F0D0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F0D0C"/>
    <w:pPr>
      <w:spacing w:line="240" w:lineRule="auto"/>
    </w:pPr>
    <w:rPr>
      <w:b/>
      <w:bCs/>
      <w:color w:val="4F81BD" w:themeColor="accent1"/>
      <w:sz w:val="18"/>
      <w:szCs w:val="18"/>
    </w:rPr>
  </w:style>
  <w:style w:type="paragraph" w:styleId="Title">
    <w:name w:val="Title"/>
    <w:basedOn w:val="Normal"/>
    <w:next w:val="Normal"/>
    <w:link w:val="TitleChar"/>
    <w:uiPriority w:val="10"/>
    <w:qFormat/>
    <w:rsid w:val="004C41C3"/>
    <w:pPr>
      <w:pageBreakBefore/>
      <w:pBdr>
        <w:bottom w:val="single" w:sz="8" w:space="4" w:color="4F81BD" w:themeColor="accent1"/>
      </w:pBdr>
      <w:spacing w:after="300" w:line="240" w:lineRule="auto"/>
      <w:contextualSpacing/>
    </w:pPr>
    <w:rPr>
      <w:rFonts w:ascii="Arial" w:eastAsiaTheme="majorEastAsia" w:hAnsi="Arial" w:cstheme="majorBidi"/>
      <w:color w:val="00B1C7"/>
      <w:spacing w:val="5"/>
      <w:kern w:val="28"/>
      <w:sz w:val="52"/>
      <w:szCs w:val="52"/>
    </w:rPr>
  </w:style>
  <w:style w:type="character" w:customStyle="1" w:styleId="TitleChar">
    <w:name w:val="Title Char"/>
    <w:basedOn w:val="DefaultParagraphFont"/>
    <w:link w:val="Title"/>
    <w:uiPriority w:val="10"/>
    <w:rsid w:val="004C41C3"/>
    <w:rPr>
      <w:rFonts w:ascii="Arial" w:eastAsiaTheme="majorEastAsia" w:hAnsi="Arial" w:cstheme="majorBidi"/>
      <w:color w:val="00B1C7"/>
      <w:spacing w:val="5"/>
      <w:kern w:val="28"/>
      <w:sz w:val="52"/>
      <w:szCs w:val="52"/>
    </w:rPr>
  </w:style>
  <w:style w:type="paragraph" w:styleId="Subtitle">
    <w:name w:val="Subtitle"/>
    <w:basedOn w:val="Normal"/>
    <w:next w:val="Normal"/>
    <w:link w:val="SubtitleChar"/>
    <w:uiPriority w:val="11"/>
    <w:qFormat/>
    <w:rsid w:val="002F0D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0D0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F0D0C"/>
    <w:rPr>
      <w:b/>
      <w:bCs/>
    </w:rPr>
  </w:style>
  <w:style w:type="character" w:styleId="Emphasis">
    <w:name w:val="Emphasis"/>
    <w:basedOn w:val="DefaultParagraphFont"/>
    <w:uiPriority w:val="20"/>
    <w:qFormat/>
    <w:rsid w:val="002F0D0C"/>
    <w:rPr>
      <w:i/>
      <w:iCs/>
    </w:rPr>
  </w:style>
  <w:style w:type="paragraph" w:styleId="NoSpacing">
    <w:name w:val="No Spacing"/>
    <w:link w:val="NoSpacingChar"/>
    <w:uiPriority w:val="1"/>
    <w:qFormat/>
    <w:rsid w:val="002F0D0C"/>
    <w:pPr>
      <w:spacing w:after="0" w:line="240" w:lineRule="auto"/>
    </w:pPr>
  </w:style>
  <w:style w:type="paragraph" w:styleId="ListParagraph">
    <w:name w:val="List Paragraph"/>
    <w:basedOn w:val="Normal"/>
    <w:uiPriority w:val="34"/>
    <w:qFormat/>
    <w:rsid w:val="002F0D0C"/>
    <w:pPr>
      <w:ind w:left="720"/>
      <w:contextualSpacing/>
    </w:pPr>
  </w:style>
  <w:style w:type="paragraph" w:styleId="Quote">
    <w:name w:val="Quote"/>
    <w:basedOn w:val="Normal"/>
    <w:next w:val="Normal"/>
    <w:link w:val="QuoteChar"/>
    <w:uiPriority w:val="29"/>
    <w:qFormat/>
    <w:rsid w:val="002F0D0C"/>
    <w:rPr>
      <w:i/>
      <w:iCs/>
      <w:color w:val="000000" w:themeColor="text1"/>
    </w:rPr>
  </w:style>
  <w:style w:type="character" w:customStyle="1" w:styleId="QuoteChar">
    <w:name w:val="Quote Char"/>
    <w:basedOn w:val="DefaultParagraphFont"/>
    <w:link w:val="Quote"/>
    <w:uiPriority w:val="29"/>
    <w:rsid w:val="002F0D0C"/>
    <w:rPr>
      <w:i/>
      <w:iCs/>
      <w:color w:val="000000" w:themeColor="text1"/>
    </w:rPr>
  </w:style>
  <w:style w:type="paragraph" w:styleId="IntenseQuote">
    <w:name w:val="Intense Quote"/>
    <w:basedOn w:val="Normal"/>
    <w:next w:val="Normal"/>
    <w:link w:val="IntenseQuoteChar"/>
    <w:uiPriority w:val="30"/>
    <w:qFormat/>
    <w:rsid w:val="002F0D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0D0C"/>
    <w:rPr>
      <w:b/>
      <w:bCs/>
      <w:i/>
      <w:iCs/>
      <w:color w:val="4F81BD" w:themeColor="accent1"/>
    </w:rPr>
  </w:style>
  <w:style w:type="character" w:styleId="SubtleEmphasis">
    <w:name w:val="Subtle Emphasis"/>
    <w:basedOn w:val="DefaultParagraphFont"/>
    <w:uiPriority w:val="19"/>
    <w:qFormat/>
    <w:rsid w:val="002F0D0C"/>
    <w:rPr>
      <w:i/>
      <w:iCs/>
      <w:color w:val="808080" w:themeColor="text1" w:themeTint="7F"/>
    </w:rPr>
  </w:style>
  <w:style w:type="character" w:styleId="IntenseEmphasis">
    <w:name w:val="Intense Emphasis"/>
    <w:basedOn w:val="DefaultParagraphFont"/>
    <w:uiPriority w:val="21"/>
    <w:qFormat/>
    <w:rsid w:val="002F0D0C"/>
    <w:rPr>
      <w:b/>
      <w:bCs/>
      <w:i/>
      <w:iCs/>
      <w:color w:val="4F81BD" w:themeColor="accent1"/>
    </w:rPr>
  </w:style>
  <w:style w:type="character" w:styleId="SubtleReference">
    <w:name w:val="Subtle Reference"/>
    <w:basedOn w:val="DefaultParagraphFont"/>
    <w:uiPriority w:val="31"/>
    <w:qFormat/>
    <w:rsid w:val="002F0D0C"/>
    <w:rPr>
      <w:smallCaps/>
      <w:color w:val="C0504D" w:themeColor="accent2"/>
      <w:u w:val="single"/>
    </w:rPr>
  </w:style>
  <w:style w:type="character" w:styleId="IntenseReference">
    <w:name w:val="Intense Reference"/>
    <w:basedOn w:val="DefaultParagraphFont"/>
    <w:uiPriority w:val="32"/>
    <w:qFormat/>
    <w:rsid w:val="002F0D0C"/>
    <w:rPr>
      <w:b/>
      <w:bCs/>
      <w:smallCaps/>
      <w:color w:val="C0504D" w:themeColor="accent2"/>
      <w:spacing w:val="5"/>
      <w:u w:val="single"/>
    </w:rPr>
  </w:style>
  <w:style w:type="character" w:styleId="BookTitle">
    <w:name w:val="Book Title"/>
    <w:basedOn w:val="DefaultParagraphFont"/>
    <w:uiPriority w:val="33"/>
    <w:qFormat/>
    <w:rsid w:val="002F0D0C"/>
    <w:rPr>
      <w:b/>
      <w:bCs/>
      <w:smallCaps/>
      <w:spacing w:val="5"/>
    </w:rPr>
  </w:style>
  <w:style w:type="paragraph" w:styleId="TOCHeading">
    <w:name w:val="TOC Heading"/>
    <w:basedOn w:val="Heading1"/>
    <w:next w:val="Normal"/>
    <w:uiPriority w:val="39"/>
    <w:semiHidden/>
    <w:unhideWhenUsed/>
    <w:qFormat/>
    <w:rsid w:val="002F0D0C"/>
    <w:pPr>
      <w:outlineLvl w:val="9"/>
    </w:pPr>
  </w:style>
  <w:style w:type="character" w:customStyle="1" w:styleId="NoSpacingChar">
    <w:name w:val="No Spacing Char"/>
    <w:basedOn w:val="DefaultParagraphFont"/>
    <w:link w:val="NoSpacing"/>
    <w:uiPriority w:val="1"/>
    <w:locked/>
    <w:rsid w:val="002F0D0C"/>
  </w:style>
  <w:style w:type="paragraph" w:customStyle="1" w:styleId="PHA">
    <w:name w:val="PHA"/>
    <w:basedOn w:val="Heading4"/>
    <w:qFormat/>
    <w:rsid w:val="00573C1A"/>
    <w:pPr>
      <w:spacing w:line="480" w:lineRule="auto"/>
    </w:pPr>
    <w:rPr>
      <w:rFonts w:ascii="Arial" w:hAnsi="Arial"/>
      <w:color w:val="00AEC7"/>
      <w:sz w:val="24"/>
    </w:rPr>
  </w:style>
  <w:style w:type="paragraph" w:styleId="FootnoteText">
    <w:name w:val="footnote text"/>
    <w:basedOn w:val="Normal"/>
    <w:link w:val="FootnoteTextChar"/>
    <w:uiPriority w:val="99"/>
    <w:semiHidden/>
    <w:unhideWhenUsed/>
    <w:rsid w:val="001B2B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B1"/>
    <w:rPr>
      <w:sz w:val="20"/>
      <w:szCs w:val="20"/>
    </w:rPr>
  </w:style>
  <w:style w:type="character" w:styleId="FootnoteReference">
    <w:name w:val="footnote reference"/>
    <w:basedOn w:val="DefaultParagraphFont"/>
    <w:uiPriority w:val="99"/>
    <w:semiHidden/>
    <w:unhideWhenUsed/>
    <w:rsid w:val="001B2BB1"/>
    <w:rPr>
      <w:vertAlign w:val="superscript"/>
    </w:rPr>
  </w:style>
  <w:style w:type="character" w:styleId="Hyperlink">
    <w:name w:val="Hyperlink"/>
    <w:basedOn w:val="DefaultParagraphFont"/>
    <w:uiPriority w:val="99"/>
    <w:unhideWhenUsed/>
    <w:rsid w:val="001B2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5968">
      <w:bodyDiv w:val="1"/>
      <w:marLeft w:val="0"/>
      <w:marRight w:val="0"/>
      <w:marTop w:val="0"/>
      <w:marBottom w:val="0"/>
      <w:divBdr>
        <w:top w:val="none" w:sz="0" w:space="0" w:color="auto"/>
        <w:left w:val="none" w:sz="0" w:space="0" w:color="auto"/>
        <w:bottom w:val="none" w:sz="0" w:space="0" w:color="auto"/>
        <w:right w:val="none" w:sz="0" w:space="0" w:color="auto"/>
      </w:divBdr>
    </w:div>
    <w:div w:id="850608943">
      <w:bodyDiv w:val="1"/>
      <w:marLeft w:val="0"/>
      <w:marRight w:val="0"/>
      <w:marTop w:val="0"/>
      <w:marBottom w:val="0"/>
      <w:divBdr>
        <w:top w:val="none" w:sz="0" w:space="0" w:color="auto"/>
        <w:left w:val="none" w:sz="0" w:space="0" w:color="auto"/>
        <w:bottom w:val="none" w:sz="0" w:space="0" w:color="auto"/>
        <w:right w:val="none" w:sz="0" w:space="0" w:color="auto"/>
      </w:divBdr>
    </w:div>
    <w:div w:id="1897617741">
      <w:bodyDiv w:val="1"/>
      <w:marLeft w:val="0"/>
      <w:marRight w:val="0"/>
      <w:marTop w:val="0"/>
      <w:marBottom w:val="0"/>
      <w:divBdr>
        <w:top w:val="none" w:sz="0" w:space="0" w:color="auto"/>
        <w:left w:val="none" w:sz="0" w:space="0" w:color="auto"/>
        <w:bottom w:val="none" w:sz="0" w:space="0" w:color="auto"/>
        <w:right w:val="none" w:sz="0" w:space="0" w:color="auto"/>
      </w:divBdr>
    </w:div>
    <w:div w:id="21271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ontent.digital.nhs.uk/media/10686/Download-glossary-of-terms-for-GP-prescribing---presentation-level/pdf/PLP_Presentation_Level_Glossary_April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C24E-C315-4DD6-8703-AF0ED94B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Patterson</dc:creator>
  <cp:lastModifiedBy>SenthilKumar A.</cp:lastModifiedBy>
  <cp:revision>4</cp:revision>
  <dcterms:created xsi:type="dcterms:W3CDTF">2018-04-05T12:00:00Z</dcterms:created>
  <dcterms:modified xsi:type="dcterms:W3CDTF">2019-02-28T10:43:00Z</dcterms:modified>
</cp:coreProperties>
</file>