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3C610" w14:textId="77777777" w:rsidR="009B755B" w:rsidRPr="00F92D93" w:rsidRDefault="009B755B">
      <w:pPr>
        <w:rPr>
          <w:rFonts w:cs="Times New Roman"/>
        </w:rPr>
      </w:pPr>
    </w:p>
    <w:p w14:paraId="7F420257" w14:textId="77777777" w:rsidR="009B755B" w:rsidRPr="00450DF7" w:rsidRDefault="009B755B" w:rsidP="00351DB3">
      <w:pPr>
        <w:autoSpaceDE w:val="0"/>
        <w:autoSpaceDN w:val="0"/>
        <w:adjustRightInd w:val="0"/>
        <w:spacing w:line="240" w:lineRule="auto"/>
        <w:rPr>
          <w:rFonts w:ascii="Arial" w:hAnsi="Arial" w:cs="Arial"/>
          <w:sz w:val="18"/>
          <w:szCs w:val="18"/>
        </w:rPr>
      </w:pPr>
    </w:p>
    <w:p w14:paraId="2260BC18" w14:textId="77777777" w:rsidR="009B755B" w:rsidRPr="00372007" w:rsidRDefault="009B755B" w:rsidP="00351DB3">
      <w:pPr>
        <w:spacing w:after="120" w:line="360" w:lineRule="auto"/>
        <w:rPr>
          <w:rFonts w:ascii="Arial" w:hAnsi="Arial" w:cs="Arial"/>
          <w:b/>
          <w:color w:val="000000" w:themeColor="text1"/>
          <w:sz w:val="20"/>
          <w:szCs w:val="20"/>
        </w:rPr>
      </w:pPr>
      <w:r w:rsidRPr="00372007">
        <w:rPr>
          <w:rFonts w:ascii="Arial" w:hAnsi="Arial" w:cs="Arial"/>
          <w:b/>
          <w:color w:val="000000" w:themeColor="text1"/>
          <w:sz w:val="20"/>
          <w:szCs w:val="20"/>
        </w:rPr>
        <w:t>Appendix 1: Preliminary analysis of sensitivity and specificity of the LCx assay assumed by Woodhall (2015) (11)</w:t>
      </w:r>
    </w:p>
    <w:p w14:paraId="741C9B30" w14:textId="77777777" w:rsidR="009B755B" w:rsidRPr="00372007" w:rsidRDefault="009B755B" w:rsidP="00351DB3">
      <w:pPr>
        <w:rPr>
          <w:b/>
          <w:color w:val="000000" w:themeColor="text1"/>
          <w:sz w:val="24"/>
          <w:szCs w:val="24"/>
        </w:rPr>
      </w:pPr>
    </w:p>
    <w:p w14:paraId="087A82AB" w14:textId="77777777" w:rsidR="009B755B" w:rsidRPr="00372007" w:rsidRDefault="009B755B" w:rsidP="00351DB3">
      <w:pPr>
        <w:spacing w:line="360" w:lineRule="auto"/>
        <w:rPr>
          <w:color w:val="000000" w:themeColor="text1"/>
        </w:rPr>
      </w:pPr>
      <w:r w:rsidRPr="00372007">
        <w:rPr>
          <w:color w:val="000000" w:themeColor="text1"/>
        </w:rPr>
        <w:t>The WinBUGS code and data in Appendix 3 was used, with the following code substituted for sensitivity and specificity of the LCx assay used in 2000, using data from Gaydos</w:t>
      </w:r>
      <w:r w:rsidRPr="00372007">
        <w:rPr>
          <w:noProof/>
          <w:color w:val="000000" w:themeColor="text1"/>
        </w:rPr>
        <w:t>(20)</w:t>
      </w:r>
      <w:r w:rsidRPr="00372007">
        <w:rPr>
          <w:color w:val="000000" w:themeColor="text1"/>
        </w:rPr>
        <w:t>. A burn-in of 20000 was used and inference is based on 200,000 samples from two chains.</w:t>
      </w:r>
    </w:p>
    <w:p w14:paraId="5EF381E8"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 sensitivity and specificity influenced by prevalence</w:t>
      </w:r>
    </w:p>
    <w:p w14:paraId="3ECB8C6E"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 xml:space="preserve">se[1]~ dbeta(72,7)      # sensitivity of LCx 91.9% </w:t>
      </w:r>
    </w:p>
    <w:p w14:paraId="21D72810"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 xml:space="preserve">fp[1] ~ dbeta(4,423)    # false positive rate of LCx 99.1% </w:t>
      </w:r>
    </w:p>
    <w:p w14:paraId="5628A7F5"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p>
    <w:p w14:paraId="70C03A0B"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 sensitivity and specificity NOT influenced by prevalence</w:t>
      </w:r>
    </w:p>
    <w:p w14:paraId="197FA23F"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 xml:space="preserve">se0 ~ dbeta(72,7)      # sensitivity of LCx 91.9% </w:t>
      </w:r>
    </w:p>
    <w:p w14:paraId="5080143E"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 xml:space="preserve">fp0 ~ dbeta(4,423)    # false positive rate of LCx 99.1% </w:t>
      </w:r>
    </w:p>
    <w:p w14:paraId="5C9561B1"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 xml:space="preserve">se[1] &lt;- cut(se0)            </w:t>
      </w:r>
    </w:p>
    <w:p w14:paraId="69D1B4F7"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 xml:space="preserve">fp[1] &lt;- cut(fp0)             </w:t>
      </w:r>
    </w:p>
    <w:p w14:paraId="2D1856A0"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w:t>
      </w:r>
    </w:p>
    <w:p w14:paraId="19C00B5F"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p>
    <w:p w14:paraId="77810DC8" w14:textId="77777777" w:rsidR="009B755B" w:rsidRPr="00372007" w:rsidRDefault="009B755B" w:rsidP="00351DB3">
      <w:pPr>
        <w:spacing w:line="360" w:lineRule="auto"/>
        <w:rPr>
          <w:color w:val="000000" w:themeColor="text1"/>
        </w:rPr>
      </w:pPr>
      <w:r w:rsidRPr="00372007">
        <w:rPr>
          <w:color w:val="000000" w:themeColor="text1"/>
        </w:rPr>
        <w:t xml:space="preserve">The results (Table S1) show that adjustment for sensitivity and specificity as in previous work </w:t>
      </w:r>
      <w:r w:rsidRPr="00372007">
        <w:rPr>
          <w:noProof/>
          <w:color w:val="000000" w:themeColor="text1"/>
        </w:rPr>
        <w:t>(11)</w:t>
      </w:r>
      <w:r w:rsidRPr="00372007">
        <w:rPr>
          <w:color w:val="000000" w:themeColor="text1"/>
        </w:rPr>
        <w:t>,  lowers age-specific CT prevalence estimates by between 0.7% and 2.7%. If the CT prevalence is not allowed to impact on specificity, the data is clearly incompatible with the sensitivity and specificity information (</w:t>
      </w:r>
      <w:r w:rsidR="00E94203" w:rsidRPr="00E94203">
        <w:rPr>
          <w:noProof/>
          <w:color w:val="000000" w:themeColor="text1"/>
          <w:position w:val="-6"/>
        </w:rPr>
        <w:object w:dxaOrig="900" w:dyaOrig="320" w14:anchorId="4C70D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05pt;height:15.05pt;mso-width-percent:0;mso-height-percent:0;mso-width-percent:0;mso-height-percent:0" o:ole="">
            <v:imagedata r:id="rId7" o:title=""/>
          </v:shape>
          <o:OLEObject Type="Embed" ProgID="Equation.DSMT4" ShapeID="_x0000_i1026" DrawAspect="Content" ObjectID="_1610729544" r:id="rId8"/>
        </w:object>
      </w:r>
      <w:r w:rsidRPr="00372007">
        <w:rPr>
          <w:color w:val="000000" w:themeColor="text1"/>
        </w:rPr>
        <w:t>). If prevalence is allowed to influence the posterior estimates of sensitivity and specificity, the effect is to slightly shift the false positive rate downwards, making poor specificity less plausible, but even then the data is not compatible with the adjusted specificity (</w:t>
      </w:r>
      <w:r w:rsidR="00E94203" w:rsidRPr="00E94203">
        <w:rPr>
          <w:noProof/>
          <w:color w:val="000000" w:themeColor="text1"/>
          <w:position w:val="-6"/>
        </w:rPr>
        <w:object w:dxaOrig="780" w:dyaOrig="320" w14:anchorId="2035BA52">
          <v:shape id="_x0000_i1025" type="#_x0000_t75" alt="" style="width:40.2pt;height:15.05pt;mso-width-percent:0;mso-height-percent:0;mso-width-percent:0;mso-height-percent:0" o:ole="">
            <v:imagedata r:id="rId9" o:title=""/>
          </v:shape>
          <o:OLEObject Type="Embed" ProgID="Equation.DSMT4" ShapeID="_x0000_i1025" DrawAspect="Content" ObjectID="_1610729545" r:id="rId10"/>
        </w:object>
      </w:r>
      <w:r w:rsidRPr="00372007">
        <w:rPr>
          <w:color w:val="000000" w:themeColor="text1"/>
        </w:rPr>
        <w:t>). Sensitivity estimates are not affected.</w:t>
      </w:r>
    </w:p>
    <w:p w14:paraId="2CFA9C6E" w14:textId="77777777" w:rsidR="00824AEF" w:rsidRPr="00372007" w:rsidRDefault="00824AEF" w:rsidP="00685E77">
      <w:pPr>
        <w:spacing w:line="240" w:lineRule="auto"/>
        <w:ind w:left="0"/>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1395"/>
        <w:gridCol w:w="1724"/>
        <w:gridCol w:w="1275"/>
        <w:gridCol w:w="1538"/>
        <w:gridCol w:w="1246"/>
      </w:tblGrid>
      <w:tr w:rsidR="00372007" w:rsidRPr="00372007" w14:paraId="087631C1" w14:textId="77777777" w:rsidTr="00E150E6">
        <w:tc>
          <w:tcPr>
            <w:tcW w:w="9016" w:type="dxa"/>
            <w:gridSpan w:val="6"/>
            <w:tcBorders>
              <w:top w:val="single" w:sz="4" w:space="0" w:color="auto"/>
              <w:bottom w:val="single" w:sz="4" w:space="0" w:color="auto"/>
            </w:tcBorders>
          </w:tcPr>
          <w:p w14:paraId="254FFBA8" w14:textId="77777777" w:rsidR="00E150E6" w:rsidRPr="00372007" w:rsidRDefault="00E150E6" w:rsidP="00E150E6">
            <w:pPr>
              <w:spacing w:line="240" w:lineRule="auto"/>
              <w:ind w:left="0" w:right="0"/>
              <w:rPr>
                <w:rFonts w:asciiTheme="minorHAnsi" w:hAnsiTheme="minorHAnsi"/>
                <w:color w:val="000000" w:themeColor="text1"/>
                <w:sz w:val="20"/>
                <w:szCs w:val="20"/>
              </w:rPr>
            </w:pPr>
            <w:r w:rsidRPr="00372007">
              <w:rPr>
                <w:color w:val="000000" w:themeColor="text1"/>
              </w:rPr>
              <w:t>Table S1. Observed CT prevalence in Natsal-2 by age, adjusted for sensitivity and specificity, with Residual Deviance goodness of fit statistics</w:t>
            </w:r>
            <w:r w:rsidRPr="00372007">
              <w:rPr>
                <w:rFonts w:asciiTheme="minorHAnsi" w:hAnsiTheme="minorHAnsi"/>
                <w:color w:val="000000" w:themeColor="text1"/>
                <w:sz w:val="20"/>
                <w:szCs w:val="20"/>
                <w:vertAlign w:val="superscript"/>
              </w:rPr>
              <w:t>a</w:t>
            </w:r>
          </w:p>
        </w:tc>
      </w:tr>
      <w:tr w:rsidR="00372007" w:rsidRPr="00372007" w14:paraId="30F5389A" w14:textId="77777777" w:rsidTr="00E150E6">
        <w:tc>
          <w:tcPr>
            <w:tcW w:w="1838" w:type="dxa"/>
            <w:tcBorders>
              <w:top w:val="single" w:sz="4" w:space="0" w:color="auto"/>
              <w:bottom w:val="single" w:sz="4" w:space="0" w:color="auto"/>
            </w:tcBorders>
          </w:tcPr>
          <w:p w14:paraId="395F64CC" w14:textId="77777777" w:rsidR="009B755B" w:rsidRPr="00372007" w:rsidRDefault="009B755B" w:rsidP="00351DB3">
            <w:pPr>
              <w:spacing w:line="240" w:lineRule="auto"/>
              <w:rPr>
                <w:rFonts w:asciiTheme="minorHAnsi" w:hAnsiTheme="minorHAnsi"/>
                <w:color w:val="000000" w:themeColor="text1"/>
                <w:sz w:val="20"/>
                <w:szCs w:val="20"/>
              </w:rPr>
            </w:pPr>
          </w:p>
        </w:tc>
        <w:tc>
          <w:tcPr>
            <w:tcW w:w="1395" w:type="dxa"/>
            <w:tcBorders>
              <w:top w:val="single" w:sz="4" w:space="0" w:color="auto"/>
              <w:bottom w:val="single" w:sz="4" w:space="0" w:color="auto"/>
            </w:tcBorders>
          </w:tcPr>
          <w:p w14:paraId="1BAABBFB" w14:textId="77777777" w:rsidR="009B755B" w:rsidRPr="00372007" w:rsidRDefault="009B755B" w:rsidP="00351DB3">
            <w:pPr>
              <w:spacing w:line="240" w:lineRule="auto"/>
              <w:rPr>
                <w:rFonts w:asciiTheme="minorHAnsi" w:hAnsiTheme="minorHAnsi"/>
                <w:color w:val="000000" w:themeColor="text1"/>
                <w:sz w:val="20"/>
                <w:szCs w:val="20"/>
              </w:rPr>
            </w:pPr>
          </w:p>
        </w:tc>
        <w:tc>
          <w:tcPr>
            <w:tcW w:w="2999" w:type="dxa"/>
            <w:gridSpan w:val="2"/>
            <w:tcBorders>
              <w:top w:val="single" w:sz="4" w:space="0" w:color="auto"/>
              <w:bottom w:val="single" w:sz="4" w:space="0" w:color="auto"/>
            </w:tcBorders>
          </w:tcPr>
          <w:p w14:paraId="7FFA45CD" w14:textId="77777777" w:rsidR="009B755B" w:rsidRPr="00372007" w:rsidRDefault="009B755B" w:rsidP="00685E77">
            <w:pPr>
              <w:spacing w:line="240" w:lineRule="auto"/>
              <w:ind w:left="0" w:right="0"/>
              <w:rPr>
                <w:rFonts w:asciiTheme="minorHAnsi" w:hAnsiTheme="minorHAnsi"/>
                <w:color w:val="000000" w:themeColor="text1"/>
                <w:sz w:val="20"/>
                <w:szCs w:val="20"/>
              </w:rPr>
            </w:pPr>
            <w:r w:rsidRPr="00372007">
              <w:rPr>
                <w:rFonts w:asciiTheme="minorHAnsi" w:hAnsiTheme="minorHAnsi"/>
                <w:color w:val="000000" w:themeColor="text1"/>
                <w:sz w:val="20"/>
                <w:szCs w:val="20"/>
              </w:rPr>
              <w:t>Prevalence impacts on accuracy estimates</w:t>
            </w:r>
          </w:p>
        </w:tc>
        <w:tc>
          <w:tcPr>
            <w:tcW w:w="2784" w:type="dxa"/>
            <w:gridSpan w:val="2"/>
            <w:tcBorders>
              <w:top w:val="single" w:sz="4" w:space="0" w:color="auto"/>
              <w:bottom w:val="single" w:sz="4" w:space="0" w:color="auto"/>
            </w:tcBorders>
          </w:tcPr>
          <w:p w14:paraId="3F54BD76" w14:textId="77777777" w:rsidR="009B755B" w:rsidRPr="00372007" w:rsidRDefault="009B755B" w:rsidP="00685E77">
            <w:pPr>
              <w:spacing w:line="240" w:lineRule="auto"/>
              <w:ind w:left="0" w:right="0"/>
              <w:rPr>
                <w:rFonts w:asciiTheme="minorHAnsi" w:hAnsiTheme="minorHAnsi"/>
                <w:color w:val="000000" w:themeColor="text1"/>
                <w:sz w:val="20"/>
                <w:szCs w:val="20"/>
              </w:rPr>
            </w:pPr>
            <w:r w:rsidRPr="00372007">
              <w:rPr>
                <w:rFonts w:asciiTheme="minorHAnsi" w:hAnsiTheme="minorHAnsi"/>
                <w:color w:val="000000" w:themeColor="text1"/>
                <w:sz w:val="20"/>
                <w:szCs w:val="20"/>
              </w:rPr>
              <w:t>Prevalence has no impact accuracy estimates</w:t>
            </w:r>
          </w:p>
        </w:tc>
      </w:tr>
      <w:tr w:rsidR="00372007" w:rsidRPr="00372007" w14:paraId="1426E629" w14:textId="77777777" w:rsidTr="00E150E6">
        <w:tc>
          <w:tcPr>
            <w:tcW w:w="1838" w:type="dxa"/>
            <w:tcBorders>
              <w:top w:val="single" w:sz="4" w:space="0" w:color="auto"/>
              <w:bottom w:val="single" w:sz="4" w:space="0" w:color="auto"/>
            </w:tcBorders>
          </w:tcPr>
          <w:p w14:paraId="4A893287" w14:textId="77777777" w:rsidR="0095715F" w:rsidRPr="00372007" w:rsidRDefault="0095715F" w:rsidP="00351DB3">
            <w:pPr>
              <w:spacing w:line="240" w:lineRule="auto"/>
              <w:rPr>
                <w:rFonts w:asciiTheme="minorHAnsi" w:hAnsiTheme="minorHAnsi"/>
                <w:color w:val="000000" w:themeColor="text1"/>
                <w:sz w:val="20"/>
                <w:szCs w:val="20"/>
              </w:rPr>
            </w:pPr>
          </w:p>
          <w:p w14:paraId="0C6442EE" w14:textId="77777777" w:rsidR="009B755B" w:rsidRPr="00372007" w:rsidRDefault="009B755B" w:rsidP="00351DB3">
            <w:pPr>
              <w:spacing w:line="240" w:lineRule="auto"/>
              <w:rPr>
                <w:rFonts w:asciiTheme="minorHAnsi" w:hAnsiTheme="minorHAnsi"/>
                <w:color w:val="000000" w:themeColor="text1"/>
                <w:sz w:val="20"/>
                <w:szCs w:val="20"/>
              </w:rPr>
            </w:pPr>
            <w:r w:rsidRPr="00372007">
              <w:rPr>
                <w:rFonts w:asciiTheme="minorHAnsi" w:hAnsiTheme="minorHAnsi"/>
                <w:color w:val="000000" w:themeColor="text1"/>
                <w:sz w:val="20"/>
                <w:szCs w:val="20"/>
              </w:rPr>
              <w:t>Age group</w:t>
            </w:r>
          </w:p>
        </w:tc>
        <w:tc>
          <w:tcPr>
            <w:tcW w:w="1395" w:type="dxa"/>
            <w:tcBorders>
              <w:top w:val="single" w:sz="4" w:space="0" w:color="auto"/>
              <w:bottom w:val="single" w:sz="4" w:space="0" w:color="auto"/>
            </w:tcBorders>
          </w:tcPr>
          <w:p w14:paraId="7D686EC9" w14:textId="77777777" w:rsidR="0095715F" w:rsidRPr="00372007" w:rsidRDefault="0095715F" w:rsidP="00351DB3">
            <w:pPr>
              <w:spacing w:line="240" w:lineRule="auto"/>
              <w:jc w:val="center"/>
              <w:rPr>
                <w:rFonts w:asciiTheme="minorHAnsi" w:hAnsiTheme="minorHAnsi"/>
                <w:color w:val="000000" w:themeColor="text1"/>
                <w:sz w:val="20"/>
                <w:szCs w:val="20"/>
              </w:rPr>
            </w:pPr>
          </w:p>
          <w:p w14:paraId="2A6F1C6B"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Observed</w:t>
            </w:r>
          </w:p>
        </w:tc>
        <w:tc>
          <w:tcPr>
            <w:tcW w:w="1724" w:type="dxa"/>
            <w:tcBorders>
              <w:top w:val="single" w:sz="4" w:space="0" w:color="auto"/>
              <w:bottom w:val="single" w:sz="4" w:space="0" w:color="auto"/>
            </w:tcBorders>
          </w:tcPr>
          <w:p w14:paraId="03A1F10B"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Adjusted</w:t>
            </w:r>
            <w:r w:rsidR="003E7D3B" w:rsidRPr="00372007">
              <w:rPr>
                <w:rFonts w:asciiTheme="minorHAnsi" w:hAnsiTheme="minorHAnsi"/>
                <w:color w:val="000000" w:themeColor="text1"/>
                <w:sz w:val="20"/>
                <w:szCs w:val="20"/>
              </w:rPr>
              <w:t xml:space="preserve"> Prevalence</w:t>
            </w:r>
          </w:p>
        </w:tc>
        <w:tc>
          <w:tcPr>
            <w:tcW w:w="1275" w:type="dxa"/>
            <w:tcBorders>
              <w:top w:val="single" w:sz="4" w:space="0" w:color="auto"/>
              <w:bottom w:val="single" w:sz="4" w:space="0" w:color="auto"/>
            </w:tcBorders>
          </w:tcPr>
          <w:p w14:paraId="76A8E100" w14:textId="77777777" w:rsidR="0095715F" w:rsidRPr="00372007" w:rsidRDefault="0095715F" w:rsidP="00351DB3">
            <w:pPr>
              <w:spacing w:line="240" w:lineRule="auto"/>
              <w:jc w:val="center"/>
              <w:rPr>
                <w:rFonts w:asciiTheme="minorHAnsi" w:hAnsiTheme="minorHAnsi"/>
                <w:color w:val="000000" w:themeColor="text1"/>
                <w:sz w:val="20"/>
                <w:szCs w:val="20"/>
              </w:rPr>
            </w:pPr>
          </w:p>
          <w:p w14:paraId="47CCAB12"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Deviance</w:t>
            </w:r>
          </w:p>
        </w:tc>
        <w:tc>
          <w:tcPr>
            <w:tcW w:w="1538" w:type="dxa"/>
            <w:tcBorders>
              <w:top w:val="single" w:sz="4" w:space="0" w:color="auto"/>
              <w:bottom w:val="single" w:sz="4" w:space="0" w:color="auto"/>
            </w:tcBorders>
          </w:tcPr>
          <w:p w14:paraId="11CBA4F0"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Adjusted</w:t>
            </w:r>
          </w:p>
          <w:p w14:paraId="4C834508" w14:textId="77777777" w:rsidR="003E7D3B" w:rsidRPr="00372007" w:rsidRDefault="003E7D3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Prevalence</w:t>
            </w:r>
          </w:p>
        </w:tc>
        <w:tc>
          <w:tcPr>
            <w:tcW w:w="1246" w:type="dxa"/>
            <w:tcBorders>
              <w:top w:val="single" w:sz="4" w:space="0" w:color="auto"/>
              <w:bottom w:val="single" w:sz="4" w:space="0" w:color="auto"/>
            </w:tcBorders>
          </w:tcPr>
          <w:p w14:paraId="62FC266F" w14:textId="77777777" w:rsidR="0095715F" w:rsidRPr="00372007" w:rsidRDefault="0095715F" w:rsidP="00351DB3">
            <w:pPr>
              <w:spacing w:line="240" w:lineRule="auto"/>
              <w:jc w:val="center"/>
              <w:rPr>
                <w:rFonts w:asciiTheme="minorHAnsi" w:hAnsiTheme="minorHAnsi"/>
                <w:color w:val="000000" w:themeColor="text1"/>
                <w:sz w:val="20"/>
                <w:szCs w:val="20"/>
              </w:rPr>
            </w:pPr>
          </w:p>
          <w:p w14:paraId="7E5B6B0E"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Deviance</w:t>
            </w:r>
          </w:p>
        </w:tc>
      </w:tr>
      <w:tr w:rsidR="00372007" w:rsidRPr="00372007" w14:paraId="0D04AA3E" w14:textId="77777777" w:rsidTr="00E150E6">
        <w:tc>
          <w:tcPr>
            <w:tcW w:w="1838" w:type="dxa"/>
            <w:tcBorders>
              <w:top w:val="single" w:sz="4" w:space="0" w:color="auto"/>
            </w:tcBorders>
          </w:tcPr>
          <w:p w14:paraId="33585FED" w14:textId="77777777" w:rsidR="009B755B" w:rsidRPr="00372007" w:rsidRDefault="009B755B" w:rsidP="00351DB3">
            <w:pPr>
              <w:spacing w:line="240" w:lineRule="auto"/>
              <w:rPr>
                <w:rFonts w:asciiTheme="minorHAnsi" w:hAnsiTheme="minorHAnsi"/>
                <w:color w:val="000000" w:themeColor="text1"/>
                <w:sz w:val="20"/>
                <w:szCs w:val="20"/>
              </w:rPr>
            </w:pPr>
            <w:r w:rsidRPr="00372007">
              <w:rPr>
                <w:rFonts w:asciiTheme="minorHAnsi" w:hAnsiTheme="minorHAnsi"/>
                <w:color w:val="000000" w:themeColor="text1"/>
                <w:sz w:val="20"/>
                <w:szCs w:val="20"/>
              </w:rPr>
              <w:t>18-19</w:t>
            </w:r>
          </w:p>
        </w:tc>
        <w:tc>
          <w:tcPr>
            <w:tcW w:w="1395" w:type="dxa"/>
            <w:tcBorders>
              <w:top w:val="single" w:sz="4" w:space="0" w:color="auto"/>
            </w:tcBorders>
            <w:vAlign w:val="bottom"/>
          </w:tcPr>
          <w:p w14:paraId="6064E74E"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3.9</w:t>
            </w:r>
          </w:p>
        </w:tc>
        <w:tc>
          <w:tcPr>
            <w:tcW w:w="1724" w:type="dxa"/>
            <w:tcBorders>
              <w:top w:val="single" w:sz="4" w:space="0" w:color="auto"/>
            </w:tcBorders>
            <w:vAlign w:val="bottom"/>
          </w:tcPr>
          <w:p w14:paraId="1A0A7DDF"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1.6</w:t>
            </w:r>
          </w:p>
        </w:tc>
        <w:tc>
          <w:tcPr>
            <w:tcW w:w="1275" w:type="dxa"/>
            <w:tcBorders>
              <w:top w:val="single" w:sz="4" w:space="0" w:color="auto"/>
            </w:tcBorders>
            <w:vAlign w:val="bottom"/>
          </w:tcPr>
          <w:p w14:paraId="1F8B8205"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1.9</w:t>
            </w:r>
          </w:p>
        </w:tc>
        <w:tc>
          <w:tcPr>
            <w:tcW w:w="1538" w:type="dxa"/>
            <w:tcBorders>
              <w:top w:val="single" w:sz="4" w:space="0" w:color="auto"/>
            </w:tcBorders>
            <w:vAlign w:val="bottom"/>
          </w:tcPr>
          <w:p w14:paraId="4607C186"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2.0</w:t>
            </w:r>
          </w:p>
        </w:tc>
        <w:tc>
          <w:tcPr>
            <w:tcW w:w="1246" w:type="dxa"/>
            <w:tcBorders>
              <w:top w:val="single" w:sz="4" w:space="0" w:color="auto"/>
            </w:tcBorders>
            <w:vAlign w:val="bottom"/>
          </w:tcPr>
          <w:p w14:paraId="32980500"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2.8</w:t>
            </w:r>
          </w:p>
        </w:tc>
      </w:tr>
      <w:tr w:rsidR="00372007" w:rsidRPr="00372007" w14:paraId="5E0D22A8" w14:textId="77777777" w:rsidTr="00551586">
        <w:tc>
          <w:tcPr>
            <w:tcW w:w="1838" w:type="dxa"/>
          </w:tcPr>
          <w:p w14:paraId="0703CCD1" w14:textId="77777777" w:rsidR="009B755B" w:rsidRPr="00372007" w:rsidRDefault="009B755B" w:rsidP="00351DB3">
            <w:pPr>
              <w:spacing w:line="240" w:lineRule="auto"/>
              <w:rPr>
                <w:rFonts w:asciiTheme="minorHAnsi" w:hAnsiTheme="minorHAnsi"/>
                <w:color w:val="000000" w:themeColor="text1"/>
                <w:sz w:val="20"/>
                <w:szCs w:val="20"/>
              </w:rPr>
            </w:pPr>
            <w:r w:rsidRPr="00372007">
              <w:rPr>
                <w:rFonts w:asciiTheme="minorHAnsi" w:hAnsiTheme="minorHAnsi"/>
                <w:color w:val="000000" w:themeColor="text1"/>
                <w:sz w:val="20"/>
                <w:szCs w:val="20"/>
              </w:rPr>
              <w:t>20-24</w:t>
            </w:r>
          </w:p>
        </w:tc>
        <w:tc>
          <w:tcPr>
            <w:tcW w:w="1395" w:type="dxa"/>
            <w:vAlign w:val="bottom"/>
          </w:tcPr>
          <w:p w14:paraId="37D51B8F"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4.3</w:t>
            </w:r>
          </w:p>
        </w:tc>
        <w:tc>
          <w:tcPr>
            <w:tcW w:w="1724" w:type="dxa"/>
            <w:vAlign w:val="bottom"/>
          </w:tcPr>
          <w:p w14:paraId="058F082E"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3.1</w:t>
            </w:r>
          </w:p>
        </w:tc>
        <w:tc>
          <w:tcPr>
            <w:tcW w:w="1275" w:type="dxa"/>
            <w:vAlign w:val="bottom"/>
          </w:tcPr>
          <w:p w14:paraId="5B398E46"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1.5</w:t>
            </w:r>
          </w:p>
        </w:tc>
        <w:tc>
          <w:tcPr>
            <w:tcW w:w="1538" w:type="dxa"/>
            <w:vAlign w:val="bottom"/>
          </w:tcPr>
          <w:p w14:paraId="4A13EACC"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3.5</w:t>
            </w:r>
          </w:p>
        </w:tc>
        <w:tc>
          <w:tcPr>
            <w:tcW w:w="1246" w:type="dxa"/>
            <w:vAlign w:val="bottom"/>
          </w:tcPr>
          <w:p w14:paraId="79236601"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1.7</w:t>
            </w:r>
          </w:p>
        </w:tc>
      </w:tr>
      <w:tr w:rsidR="00372007" w:rsidRPr="00372007" w14:paraId="121EAB8D" w14:textId="77777777" w:rsidTr="00551586">
        <w:tc>
          <w:tcPr>
            <w:tcW w:w="1838" w:type="dxa"/>
          </w:tcPr>
          <w:p w14:paraId="38F76F42" w14:textId="77777777" w:rsidR="009B755B" w:rsidRPr="00372007" w:rsidRDefault="009B755B" w:rsidP="00351DB3">
            <w:pPr>
              <w:spacing w:line="240" w:lineRule="auto"/>
              <w:rPr>
                <w:rFonts w:asciiTheme="minorHAnsi" w:hAnsiTheme="minorHAnsi"/>
                <w:color w:val="000000" w:themeColor="text1"/>
                <w:sz w:val="20"/>
                <w:szCs w:val="20"/>
              </w:rPr>
            </w:pPr>
            <w:r w:rsidRPr="00372007">
              <w:rPr>
                <w:rFonts w:asciiTheme="minorHAnsi" w:hAnsiTheme="minorHAnsi"/>
                <w:color w:val="000000" w:themeColor="text1"/>
                <w:sz w:val="20"/>
                <w:szCs w:val="20"/>
              </w:rPr>
              <w:t>25-29</w:t>
            </w:r>
          </w:p>
        </w:tc>
        <w:tc>
          <w:tcPr>
            <w:tcW w:w="1395" w:type="dxa"/>
            <w:vAlign w:val="bottom"/>
          </w:tcPr>
          <w:p w14:paraId="077403DB"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2.8</w:t>
            </w:r>
          </w:p>
        </w:tc>
        <w:tc>
          <w:tcPr>
            <w:tcW w:w="1724" w:type="dxa"/>
            <w:vAlign w:val="bottom"/>
          </w:tcPr>
          <w:p w14:paraId="08C4A9FA"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1.1</w:t>
            </w:r>
          </w:p>
        </w:tc>
        <w:tc>
          <w:tcPr>
            <w:tcW w:w="1275" w:type="dxa"/>
            <w:vAlign w:val="bottom"/>
          </w:tcPr>
          <w:p w14:paraId="7BB97EE2"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1.9</w:t>
            </w:r>
          </w:p>
        </w:tc>
        <w:tc>
          <w:tcPr>
            <w:tcW w:w="1538" w:type="dxa"/>
            <w:vAlign w:val="bottom"/>
          </w:tcPr>
          <w:p w14:paraId="1645A49B"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1.3</w:t>
            </w:r>
          </w:p>
        </w:tc>
        <w:tc>
          <w:tcPr>
            <w:tcW w:w="1246" w:type="dxa"/>
            <w:vAlign w:val="bottom"/>
          </w:tcPr>
          <w:p w14:paraId="08C89592"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4.2</w:t>
            </w:r>
          </w:p>
        </w:tc>
      </w:tr>
      <w:tr w:rsidR="00372007" w:rsidRPr="00372007" w14:paraId="3AA046BD" w14:textId="77777777" w:rsidTr="00551586">
        <w:tc>
          <w:tcPr>
            <w:tcW w:w="1838" w:type="dxa"/>
          </w:tcPr>
          <w:p w14:paraId="3DA80BD3" w14:textId="77777777" w:rsidR="009B755B" w:rsidRPr="00372007" w:rsidRDefault="009B755B" w:rsidP="00351DB3">
            <w:pPr>
              <w:spacing w:line="240" w:lineRule="auto"/>
              <w:rPr>
                <w:rFonts w:asciiTheme="minorHAnsi" w:hAnsiTheme="minorHAnsi"/>
                <w:color w:val="000000" w:themeColor="text1"/>
                <w:sz w:val="20"/>
                <w:szCs w:val="20"/>
              </w:rPr>
            </w:pPr>
            <w:r w:rsidRPr="00372007">
              <w:rPr>
                <w:rFonts w:asciiTheme="minorHAnsi" w:hAnsiTheme="minorHAnsi"/>
                <w:color w:val="000000" w:themeColor="text1"/>
                <w:sz w:val="20"/>
                <w:szCs w:val="20"/>
              </w:rPr>
              <w:t>30-34</w:t>
            </w:r>
          </w:p>
        </w:tc>
        <w:tc>
          <w:tcPr>
            <w:tcW w:w="1395" w:type="dxa"/>
            <w:vAlign w:val="bottom"/>
          </w:tcPr>
          <w:p w14:paraId="72DA820E"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1.9</w:t>
            </w:r>
          </w:p>
        </w:tc>
        <w:tc>
          <w:tcPr>
            <w:tcW w:w="1724" w:type="dxa"/>
            <w:vAlign w:val="bottom"/>
          </w:tcPr>
          <w:p w14:paraId="43BC3C36"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0.3</w:t>
            </w:r>
          </w:p>
        </w:tc>
        <w:tc>
          <w:tcPr>
            <w:tcW w:w="1275" w:type="dxa"/>
            <w:vAlign w:val="bottom"/>
          </w:tcPr>
          <w:p w14:paraId="275EB777"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1.1</w:t>
            </w:r>
          </w:p>
        </w:tc>
        <w:tc>
          <w:tcPr>
            <w:tcW w:w="1538" w:type="dxa"/>
            <w:vAlign w:val="bottom"/>
          </w:tcPr>
          <w:p w14:paraId="77B10D85"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0.4</w:t>
            </w:r>
          </w:p>
        </w:tc>
        <w:tc>
          <w:tcPr>
            <w:tcW w:w="1246" w:type="dxa"/>
            <w:vAlign w:val="bottom"/>
          </w:tcPr>
          <w:p w14:paraId="5E60977C"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3.9</w:t>
            </w:r>
          </w:p>
        </w:tc>
      </w:tr>
      <w:tr w:rsidR="00372007" w:rsidRPr="00372007" w14:paraId="1BD0EB42" w14:textId="77777777" w:rsidTr="00E150E6">
        <w:tc>
          <w:tcPr>
            <w:tcW w:w="1838" w:type="dxa"/>
            <w:tcBorders>
              <w:bottom w:val="single" w:sz="4" w:space="0" w:color="auto"/>
            </w:tcBorders>
          </w:tcPr>
          <w:p w14:paraId="31C6A092" w14:textId="77777777" w:rsidR="009B755B" w:rsidRPr="00372007" w:rsidRDefault="009B755B" w:rsidP="00351DB3">
            <w:pPr>
              <w:spacing w:line="240" w:lineRule="auto"/>
              <w:rPr>
                <w:rFonts w:asciiTheme="minorHAnsi" w:hAnsiTheme="minorHAnsi"/>
                <w:color w:val="000000" w:themeColor="text1"/>
                <w:sz w:val="20"/>
                <w:szCs w:val="20"/>
              </w:rPr>
            </w:pPr>
            <w:r w:rsidRPr="00372007">
              <w:rPr>
                <w:rFonts w:asciiTheme="minorHAnsi" w:hAnsiTheme="minorHAnsi"/>
                <w:color w:val="000000" w:themeColor="text1"/>
                <w:sz w:val="20"/>
                <w:szCs w:val="20"/>
              </w:rPr>
              <w:t>35-44</w:t>
            </w:r>
          </w:p>
        </w:tc>
        <w:tc>
          <w:tcPr>
            <w:tcW w:w="1395" w:type="dxa"/>
            <w:tcBorders>
              <w:bottom w:val="single" w:sz="4" w:space="0" w:color="auto"/>
            </w:tcBorders>
            <w:vAlign w:val="bottom"/>
          </w:tcPr>
          <w:p w14:paraId="2C0AC7B3"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0.7</w:t>
            </w:r>
          </w:p>
        </w:tc>
        <w:tc>
          <w:tcPr>
            <w:tcW w:w="1724" w:type="dxa"/>
            <w:tcBorders>
              <w:bottom w:val="single" w:sz="4" w:space="0" w:color="auto"/>
            </w:tcBorders>
            <w:vAlign w:val="bottom"/>
          </w:tcPr>
          <w:p w14:paraId="349BDC85"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0.0</w:t>
            </w:r>
          </w:p>
        </w:tc>
        <w:tc>
          <w:tcPr>
            <w:tcW w:w="1275" w:type="dxa"/>
            <w:tcBorders>
              <w:bottom w:val="single" w:sz="4" w:space="0" w:color="auto"/>
            </w:tcBorders>
            <w:vAlign w:val="bottom"/>
          </w:tcPr>
          <w:p w14:paraId="5A67A086"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2.8</w:t>
            </w:r>
          </w:p>
        </w:tc>
        <w:tc>
          <w:tcPr>
            <w:tcW w:w="1538" w:type="dxa"/>
            <w:tcBorders>
              <w:bottom w:val="single" w:sz="4" w:space="0" w:color="auto"/>
            </w:tcBorders>
            <w:vAlign w:val="bottom"/>
          </w:tcPr>
          <w:p w14:paraId="54861616"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0.0</w:t>
            </w:r>
          </w:p>
        </w:tc>
        <w:tc>
          <w:tcPr>
            <w:tcW w:w="1246" w:type="dxa"/>
            <w:tcBorders>
              <w:bottom w:val="single" w:sz="4" w:space="0" w:color="auto"/>
            </w:tcBorders>
            <w:vAlign w:val="bottom"/>
          </w:tcPr>
          <w:p w14:paraId="370A28ED"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2.0</w:t>
            </w:r>
          </w:p>
        </w:tc>
      </w:tr>
      <w:tr w:rsidR="00372007" w:rsidRPr="00372007" w14:paraId="5263EF81" w14:textId="77777777" w:rsidTr="00E150E6">
        <w:tc>
          <w:tcPr>
            <w:tcW w:w="1838" w:type="dxa"/>
            <w:tcBorders>
              <w:top w:val="single" w:sz="4" w:space="0" w:color="auto"/>
              <w:bottom w:val="single" w:sz="4" w:space="0" w:color="auto"/>
            </w:tcBorders>
          </w:tcPr>
          <w:p w14:paraId="38DE10AE" w14:textId="77777777" w:rsidR="009B755B" w:rsidRPr="00372007" w:rsidRDefault="00E150E6" w:rsidP="00351DB3">
            <w:pPr>
              <w:spacing w:line="240" w:lineRule="auto"/>
              <w:rPr>
                <w:rFonts w:asciiTheme="minorHAnsi" w:hAnsiTheme="minorHAnsi"/>
                <w:color w:val="000000" w:themeColor="text1"/>
                <w:sz w:val="20"/>
                <w:szCs w:val="20"/>
              </w:rPr>
            </w:pPr>
            <w:r w:rsidRPr="00372007">
              <w:rPr>
                <w:rFonts w:asciiTheme="minorHAnsi" w:hAnsiTheme="minorHAnsi"/>
                <w:color w:val="000000" w:themeColor="text1"/>
                <w:sz w:val="20"/>
                <w:szCs w:val="20"/>
              </w:rPr>
              <w:t>Total Deviance</w:t>
            </w:r>
          </w:p>
        </w:tc>
        <w:tc>
          <w:tcPr>
            <w:tcW w:w="1395" w:type="dxa"/>
            <w:tcBorders>
              <w:top w:val="single" w:sz="4" w:space="0" w:color="auto"/>
              <w:bottom w:val="single" w:sz="4" w:space="0" w:color="auto"/>
            </w:tcBorders>
            <w:vAlign w:val="bottom"/>
          </w:tcPr>
          <w:p w14:paraId="3A32A48D" w14:textId="77777777" w:rsidR="009B755B" w:rsidRPr="00372007" w:rsidRDefault="009B755B" w:rsidP="00351DB3">
            <w:pPr>
              <w:spacing w:line="240" w:lineRule="auto"/>
              <w:jc w:val="center"/>
              <w:rPr>
                <w:rFonts w:asciiTheme="minorHAnsi" w:hAnsiTheme="minorHAnsi"/>
                <w:color w:val="000000" w:themeColor="text1"/>
                <w:sz w:val="20"/>
                <w:szCs w:val="20"/>
              </w:rPr>
            </w:pPr>
          </w:p>
        </w:tc>
        <w:tc>
          <w:tcPr>
            <w:tcW w:w="1724" w:type="dxa"/>
            <w:tcBorders>
              <w:top w:val="single" w:sz="4" w:space="0" w:color="auto"/>
              <w:bottom w:val="single" w:sz="4" w:space="0" w:color="auto"/>
            </w:tcBorders>
            <w:vAlign w:val="bottom"/>
          </w:tcPr>
          <w:p w14:paraId="43DF77AF" w14:textId="77777777" w:rsidR="009B755B" w:rsidRPr="00372007" w:rsidRDefault="009B755B" w:rsidP="00351DB3">
            <w:pPr>
              <w:spacing w:line="240" w:lineRule="auto"/>
              <w:jc w:val="center"/>
              <w:rPr>
                <w:rFonts w:asciiTheme="minorHAnsi" w:hAnsiTheme="minorHAnsi"/>
                <w:color w:val="000000" w:themeColor="text1"/>
                <w:sz w:val="20"/>
                <w:szCs w:val="20"/>
              </w:rPr>
            </w:pPr>
          </w:p>
        </w:tc>
        <w:tc>
          <w:tcPr>
            <w:tcW w:w="1275" w:type="dxa"/>
            <w:tcBorders>
              <w:top w:val="single" w:sz="4" w:space="0" w:color="auto"/>
              <w:bottom w:val="single" w:sz="4" w:space="0" w:color="auto"/>
            </w:tcBorders>
            <w:vAlign w:val="bottom"/>
          </w:tcPr>
          <w:p w14:paraId="6EFF52D5"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9.1</w:t>
            </w:r>
          </w:p>
        </w:tc>
        <w:tc>
          <w:tcPr>
            <w:tcW w:w="1538" w:type="dxa"/>
            <w:tcBorders>
              <w:top w:val="single" w:sz="4" w:space="0" w:color="auto"/>
              <w:bottom w:val="single" w:sz="4" w:space="0" w:color="auto"/>
            </w:tcBorders>
            <w:vAlign w:val="bottom"/>
          </w:tcPr>
          <w:p w14:paraId="5419A28C" w14:textId="77777777" w:rsidR="009B755B" w:rsidRPr="00372007" w:rsidRDefault="009B755B" w:rsidP="00351DB3">
            <w:pPr>
              <w:spacing w:line="240" w:lineRule="auto"/>
              <w:jc w:val="center"/>
              <w:rPr>
                <w:rFonts w:asciiTheme="minorHAnsi" w:hAnsiTheme="minorHAnsi"/>
                <w:color w:val="000000" w:themeColor="text1"/>
                <w:sz w:val="20"/>
                <w:szCs w:val="20"/>
              </w:rPr>
            </w:pPr>
          </w:p>
        </w:tc>
        <w:tc>
          <w:tcPr>
            <w:tcW w:w="1246" w:type="dxa"/>
            <w:tcBorders>
              <w:top w:val="single" w:sz="4" w:space="0" w:color="auto"/>
              <w:bottom w:val="single" w:sz="4" w:space="0" w:color="auto"/>
            </w:tcBorders>
            <w:vAlign w:val="bottom"/>
          </w:tcPr>
          <w:p w14:paraId="767DC7B9"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14.6</w:t>
            </w:r>
          </w:p>
        </w:tc>
      </w:tr>
      <w:tr w:rsidR="00372007" w:rsidRPr="00372007" w14:paraId="55BAF7BD" w14:textId="77777777" w:rsidTr="00E150E6">
        <w:tc>
          <w:tcPr>
            <w:tcW w:w="1838" w:type="dxa"/>
            <w:tcBorders>
              <w:top w:val="single" w:sz="4" w:space="0" w:color="auto"/>
              <w:bottom w:val="single" w:sz="4" w:space="0" w:color="auto"/>
            </w:tcBorders>
          </w:tcPr>
          <w:p w14:paraId="5EE805E6" w14:textId="77777777" w:rsidR="009B755B" w:rsidRPr="00372007" w:rsidRDefault="009B755B" w:rsidP="00351DB3">
            <w:pPr>
              <w:spacing w:line="240" w:lineRule="auto"/>
              <w:rPr>
                <w:rFonts w:asciiTheme="minorHAnsi" w:hAnsiTheme="minorHAnsi"/>
                <w:color w:val="000000" w:themeColor="text1"/>
                <w:sz w:val="20"/>
                <w:szCs w:val="20"/>
              </w:rPr>
            </w:pPr>
            <w:r w:rsidRPr="00372007">
              <w:rPr>
                <w:rFonts w:asciiTheme="minorHAnsi" w:hAnsiTheme="minorHAnsi"/>
                <w:color w:val="000000" w:themeColor="text1"/>
                <w:sz w:val="20"/>
                <w:szCs w:val="20"/>
              </w:rPr>
              <w:t>Posterior Sensitivity</w:t>
            </w:r>
          </w:p>
        </w:tc>
        <w:tc>
          <w:tcPr>
            <w:tcW w:w="1395" w:type="dxa"/>
            <w:tcBorders>
              <w:top w:val="single" w:sz="4" w:space="0" w:color="auto"/>
              <w:bottom w:val="single" w:sz="4" w:space="0" w:color="auto"/>
            </w:tcBorders>
          </w:tcPr>
          <w:p w14:paraId="063720D3" w14:textId="77777777" w:rsidR="009B755B" w:rsidRPr="00372007" w:rsidRDefault="009B755B" w:rsidP="00351DB3">
            <w:pPr>
              <w:spacing w:line="240" w:lineRule="auto"/>
              <w:jc w:val="center"/>
              <w:rPr>
                <w:rFonts w:asciiTheme="minorHAnsi" w:hAnsiTheme="minorHAnsi"/>
                <w:color w:val="000000" w:themeColor="text1"/>
                <w:sz w:val="20"/>
                <w:szCs w:val="20"/>
              </w:rPr>
            </w:pPr>
          </w:p>
        </w:tc>
        <w:tc>
          <w:tcPr>
            <w:tcW w:w="1724" w:type="dxa"/>
            <w:tcBorders>
              <w:top w:val="single" w:sz="4" w:space="0" w:color="auto"/>
              <w:bottom w:val="single" w:sz="4" w:space="0" w:color="auto"/>
            </w:tcBorders>
          </w:tcPr>
          <w:p w14:paraId="0BF2F115"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91.1</w:t>
            </w:r>
          </w:p>
          <w:p w14:paraId="02176F7A"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(83.9 – 96.3)</w:t>
            </w:r>
          </w:p>
        </w:tc>
        <w:tc>
          <w:tcPr>
            <w:tcW w:w="1275" w:type="dxa"/>
            <w:tcBorders>
              <w:top w:val="single" w:sz="4" w:space="0" w:color="auto"/>
              <w:bottom w:val="single" w:sz="4" w:space="0" w:color="auto"/>
            </w:tcBorders>
          </w:tcPr>
          <w:p w14:paraId="581C3B50" w14:textId="77777777" w:rsidR="009B755B" w:rsidRPr="00372007" w:rsidRDefault="009B755B" w:rsidP="00351DB3">
            <w:pPr>
              <w:spacing w:line="240" w:lineRule="auto"/>
              <w:jc w:val="center"/>
              <w:rPr>
                <w:rFonts w:asciiTheme="minorHAnsi" w:hAnsiTheme="minorHAnsi"/>
                <w:color w:val="000000" w:themeColor="text1"/>
                <w:sz w:val="20"/>
                <w:szCs w:val="20"/>
              </w:rPr>
            </w:pPr>
          </w:p>
        </w:tc>
        <w:tc>
          <w:tcPr>
            <w:tcW w:w="1538" w:type="dxa"/>
            <w:tcBorders>
              <w:top w:val="single" w:sz="4" w:space="0" w:color="auto"/>
              <w:bottom w:val="single" w:sz="4" w:space="0" w:color="auto"/>
            </w:tcBorders>
          </w:tcPr>
          <w:p w14:paraId="4E1C5B68"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91.1</w:t>
            </w:r>
          </w:p>
          <w:p w14:paraId="30EB927A"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(84.0– 96.3)</w:t>
            </w:r>
          </w:p>
        </w:tc>
        <w:tc>
          <w:tcPr>
            <w:tcW w:w="1246" w:type="dxa"/>
            <w:tcBorders>
              <w:top w:val="single" w:sz="4" w:space="0" w:color="auto"/>
              <w:bottom w:val="single" w:sz="4" w:space="0" w:color="auto"/>
            </w:tcBorders>
          </w:tcPr>
          <w:p w14:paraId="585F2929" w14:textId="77777777" w:rsidR="009B755B" w:rsidRPr="00372007" w:rsidRDefault="009B755B" w:rsidP="00351DB3">
            <w:pPr>
              <w:spacing w:line="240" w:lineRule="auto"/>
              <w:jc w:val="center"/>
              <w:rPr>
                <w:rFonts w:asciiTheme="minorHAnsi" w:hAnsiTheme="minorHAnsi"/>
                <w:color w:val="000000" w:themeColor="text1"/>
                <w:sz w:val="20"/>
                <w:szCs w:val="20"/>
              </w:rPr>
            </w:pPr>
          </w:p>
        </w:tc>
      </w:tr>
      <w:tr w:rsidR="00372007" w:rsidRPr="00372007" w14:paraId="25A83E77" w14:textId="77777777" w:rsidTr="00E150E6">
        <w:tc>
          <w:tcPr>
            <w:tcW w:w="1838" w:type="dxa"/>
            <w:tcBorders>
              <w:top w:val="single" w:sz="4" w:space="0" w:color="auto"/>
              <w:bottom w:val="single" w:sz="4" w:space="0" w:color="auto"/>
            </w:tcBorders>
          </w:tcPr>
          <w:p w14:paraId="00BEF271" w14:textId="77777777" w:rsidR="009B755B" w:rsidRPr="00372007" w:rsidRDefault="009B755B" w:rsidP="00351DB3">
            <w:pPr>
              <w:spacing w:line="240" w:lineRule="auto"/>
              <w:rPr>
                <w:rFonts w:asciiTheme="minorHAnsi" w:hAnsiTheme="minorHAnsi"/>
                <w:color w:val="000000" w:themeColor="text1"/>
                <w:sz w:val="20"/>
                <w:szCs w:val="20"/>
              </w:rPr>
            </w:pPr>
            <w:r w:rsidRPr="00372007">
              <w:rPr>
                <w:rFonts w:asciiTheme="minorHAnsi" w:hAnsiTheme="minorHAnsi"/>
                <w:color w:val="000000" w:themeColor="text1"/>
                <w:sz w:val="20"/>
                <w:szCs w:val="20"/>
              </w:rPr>
              <w:t>Posterior Specificity</w:t>
            </w:r>
          </w:p>
        </w:tc>
        <w:tc>
          <w:tcPr>
            <w:tcW w:w="1395" w:type="dxa"/>
            <w:tcBorders>
              <w:top w:val="single" w:sz="4" w:space="0" w:color="auto"/>
              <w:bottom w:val="single" w:sz="4" w:space="0" w:color="auto"/>
            </w:tcBorders>
          </w:tcPr>
          <w:p w14:paraId="3867984B" w14:textId="77777777" w:rsidR="009B755B" w:rsidRPr="00372007" w:rsidRDefault="009B755B" w:rsidP="00351DB3">
            <w:pPr>
              <w:spacing w:line="240" w:lineRule="auto"/>
              <w:jc w:val="center"/>
              <w:rPr>
                <w:rFonts w:asciiTheme="minorHAnsi" w:hAnsiTheme="minorHAnsi"/>
                <w:color w:val="000000" w:themeColor="text1"/>
                <w:sz w:val="20"/>
                <w:szCs w:val="20"/>
              </w:rPr>
            </w:pPr>
          </w:p>
        </w:tc>
        <w:tc>
          <w:tcPr>
            <w:tcW w:w="1724" w:type="dxa"/>
            <w:tcBorders>
              <w:top w:val="single" w:sz="4" w:space="0" w:color="auto"/>
              <w:bottom w:val="single" w:sz="4" w:space="0" w:color="auto"/>
            </w:tcBorders>
          </w:tcPr>
          <w:p w14:paraId="794A3469"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98.7</w:t>
            </w:r>
          </w:p>
          <w:p w14:paraId="2EC98A2B"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(98.0 - 99.4)</w:t>
            </w:r>
          </w:p>
        </w:tc>
        <w:tc>
          <w:tcPr>
            <w:tcW w:w="1275" w:type="dxa"/>
            <w:tcBorders>
              <w:top w:val="single" w:sz="4" w:space="0" w:color="auto"/>
              <w:bottom w:val="single" w:sz="4" w:space="0" w:color="auto"/>
            </w:tcBorders>
          </w:tcPr>
          <w:p w14:paraId="04C66E5D" w14:textId="77777777" w:rsidR="009B755B" w:rsidRPr="00372007" w:rsidRDefault="009B755B" w:rsidP="00351DB3">
            <w:pPr>
              <w:spacing w:line="240" w:lineRule="auto"/>
              <w:jc w:val="center"/>
              <w:rPr>
                <w:rFonts w:asciiTheme="minorHAnsi" w:hAnsiTheme="minorHAnsi"/>
                <w:color w:val="000000" w:themeColor="text1"/>
                <w:sz w:val="20"/>
                <w:szCs w:val="20"/>
              </w:rPr>
            </w:pPr>
          </w:p>
        </w:tc>
        <w:tc>
          <w:tcPr>
            <w:tcW w:w="1538" w:type="dxa"/>
            <w:tcBorders>
              <w:top w:val="single" w:sz="4" w:space="0" w:color="auto"/>
              <w:bottom w:val="single" w:sz="4" w:space="0" w:color="auto"/>
            </w:tcBorders>
          </w:tcPr>
          <w:p w14:paraId="4B8497FD"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99.1</w:t>
            </w:r>
          </w:p>
          <w:p w14:paraId="38C79336" w14:textId="77777777" w:rsidR="009B755B" w:rsidRPr="00372007" w:rsidRDefault="009B755B" w:rsidP="00351DB3">
            <w:pPr>
              <w:spacing w:line="240" w:lineRule="auto"/>
              <w:jc w:val="center"/>
              <w:rPr>
                <w:rFonts w:asciiTheme="minorHAnsi" w:hAnsiTheme="minorHAnsi"/>
                <w:color w:val="000000" w:themeColor="text1"/>
                <w:sz w:val="20"/>
                <w:szCs w:val="20"/>
              </w:rPr>
            </w:pPr>
            <w:r w:rsidRPr="00372007">
              <w:rPr>
                <w:rFonts w:asciiTheme="minorHAnsi" w:hAnsiTheme="minorHAnsi"/>
                <w:color w:val="000000" w:themeColor="text1"/>
                <w:sz w:val="20"/>
                <w:szCs w:val="20"/>
              </w:rPr>
              <w:t>(97.9 – 99.7)</w:t>
            </w:r>
          </w:p>
        </w:tc>
        <w:tc>
          <w:tcPr>
            <w:tcW w:w="1246" w:type="dxa"/>
            <w:tcBorders>
              <w:top w:val="single" w:sz="4" w:space="0" w:color="auto"/>
              <w:bottom w:val="single" w:sz="4" w:space="0" w:color="auto"/>
            </w:tcBorders>
          </w:tcPr>
          <w:p w14:paraId="5B675156" w14:textId="77777777" w:rsidR="009B755B" w:rsidRPr="00372007" w:rsidRDefault="009B755B" w:rsidP="00351DB3">
            <w:pPr>
              <w:spacing w:line="240" w:lineRule="auto"/>
              <w:jc w:val="center"/>
              <w:rPr>
                <w:rFonts w:asciiTheme="minorHAnsi" w:hAnsiTheme="minorHAnsi"/>
                <w:color w:val="000000" w:themeColor="text1"/>
                <w:sz w:val="20"/>
                <w:szCs w:val="20"/>
              </w:rPr>
            </w:pPr>
          </w:p>
        </w:tc>
      </w:tr>
      <w:tr w:rsidR="00E150E6" w:rsidRPr="00372007" w14:paraId="076A9AA0" w14:textId="77777777" w:rsidTr="002F0C4C">
        <w:tc>
          <w:tcPr>
            <w:tcW w:w="9016" w:type="dxa"/>
            <w:gridSpan w:val="6"/>
            <w:tcBorders>
              <w:top w:val="single" w:sz="4" w:space="0" w:color="auto"/>
              <w:bottom w:val="single" w:sz="4" w:space="0" w:color="auto"/>
            </w:tcBorders>
          </w:tcPr>
          <w:p w14:paraId="42711620" w14:textId="77777777" w:rsidR="00E150E6" w:rsidRPr="00372007" w:rsidRDefault="00E150E6" w:rsidP="00E150E6">
            <w:pPr>
              <w:spacing w:line="240" w:lineRule="auto"/>
              <w:rPr>
                <w:rFonts w:asciiTheme="minorHAnsi" w:hAnsiTheme="minorHAnsi"/>
                <w:color w:val="000000" w:themeColor="text1"/>
                <w:sz w:val="20"/>
                <w:szCs w:val="20"/>
              </w:rPr>
            </w:pPr>
            <w:r w:rsidRPr="00372007">
              <w:rPr>
                <w:rFonts w:asciiTheme="minorHAnsi" w:hAnsiTheme="minorHAnsi"/>
                <w:color w:val="000000" w:themeColor="text1"/>
                <w:sz w:val="20"/>
                <w:szCs w:val="20"/>
                <w:vertAlign w:val="superscript"/>
              </w:rPr>
              <w:t xml:space="preserve">a  </w:t>
            </w:r>
            <w:r w:rsidRPr="00372007">
              <w:rPr>
                <w:color w:val="000000" w:themeColor="text1"/>
              </w:rPr>
              <w:t>The fit is considered good if the summed deviance approximates the number of data elements, in this case 5</w:t>
            </w:r>
          </w:p>
        </w:tc>
      </w:tr>
    </w:tbl>
    <w:p w14:paraId="1FBAAD2A" w14:textId="77777777" w:rsidR="009B755B" w:rsidRPr="00372007" w:rsidRDefault="009B755B" w:rsidP="00351DB3">
      <w:pPr>
        <w:spacing w:line="240" w:lineRule="auto"/>
        <w:rPr>
          <w:rFonts w:asciiTheme="minorHAnsi" w:hAnsiTheme="minorHAnsi"/>
          <w:color w:val="000000" w:themeColor="text1"/>
          <w:sz w:val="20"/>
          <w:szCs w:val="20"/>
        </w:rPr>
      </w:pPr>
    </w:p>
    <w:p w14:paraId="5791F135" w14:textId="77777777" w:rsidR="009B755B" w:rsidRPr="00372007" w:rsidRDefault="009B755B" w:rsidP="00351DB3">
      <w:pPr>
        <w:rPr>
          <w:color w:val="000000" w:themeColor="text1"/>
          <w:sz w:val="24"/>
          <w:szCs w:val="24"/>
        </w:rPr>
      </w:pPr>
    </w:p>
    <w:p w14:paraId="14DF6D00" w14:textId="77777777" w:rsidR="009B755B" w:rsidRPr="00372007" w:rsidRDefault="009B755B">
      <w:pPr>
        <w:spacing w:after="160" w:line="259" w:lineRule="auto"/>
        <w:ind w:left="0" w:right="0"/>
        <w:rPr>
          <w:b/>
          <w:color w:val="000000" w:themeColor="text1"/>
          <w:sz w:val="24"/>
          <w:szCs w:val="24"/>
        </w:rPr>
      </w:pPr>
      <w:r w:rsidRPr="00372007">
        <w:rPr>
          <w:b/>
          <w:color w:val="000000" w:themeColor="text1"/>
          <w:sz w:val="24"/>
          <w:szCs w:val="24"/>
        </w:rPr>
        <w:lastRenderedPageBreak/>
        <w:br w:type="page"/>
      </w:r>
    </w:p>
    <w:p w14:paraId="5A655E4F" w14:textId="77777777" w:rsidR="009B755B" w:rsidRPr="00372007" w:rsidRDefault="009B755B" w:rsidP="00351DB3">
      <w:pPr>
        <w:rPr>
          <w:b/>
          <w:color w:val="000000" w:themeColor="text1"/>
          <w:sz w:val="24"/>
          <w:szCs w:val="24"/>
        </w:rPr>
      </w:pPr>
      <w:r w:rsidRPr="00372007">
        <w:rPr>
          <w:b/>
          <w:color w:val="000000" w:themeColor="text1"/>
          <w:sz w:val="24"/>
          <w:szCs w:val="24"/>
        </w:rPr>
        <w:lastRenderedPageBreak/>
        <w:t>Appendix 2: Sensitivity of the AC2 assay in Natsal-3</w:t>
      </w:r>
    </w:p>
    <w:p w14:paraId="7DDFD736" w14:textId="77777777" w:rsidR="009B755B" w:rsidRPr="00372007" w:rsidRDefault="009B755B" w:rsidP="00351DB3">
      <w:pPr>
        <w:rPr>
          <w:color w:val="000000" w:themeColor="text1"/>
        </w:rPr>
      </w:pPr>
      <w:r w:rsidRPr="00372007">
        <w:rPr>
          <w:color w:val="000000" w:themeColor="text1"/>
        </w:rPr>
        <w:t>The performance of the AC2 assay in urine has been studied in previously (20,22-24).  The published sensitivity estimates range from 93.6 to 100. We carried out a random effects synthesis using WinBUGS 1.4.3, with the following code and data</w:t>
      </w:r>
    </w:p>
    <w:p w14:paraId="0F501CA5"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p>
    <w:p w14:paraId="0F679A52"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model{</w:t>
      </w:r>
    </w:p>
    <w:p w14:paraId="1497EDFE"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p>
    <w:p w14:paraId="2391F793"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for (i in 1:5)  {</w:t>
      </w:r>
    </w:p>
    <w:p w14:paraId="31D39520"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 xml:space="preserve">             r[i] ~ dbin(p[i],n[i])</w:t>
      </w:r>
    </w:p>
    <w:p w14:paraId="1D0CB47C"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 xml:space="preserve">             p[i] ~ dbeta(a,b) }</w:t>
      </w:r>
    </w:p>
    <w:p w14:paraId="0B74B3F2"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a ~ dexp(.001)</w:t>
      </w:r>
    </w:p>
    <w:p w14:paraId="1727F58D"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 xml:space="preserve">b ~ dexp(.001)  </w:t>
      </w:r>
    </w:p>
    <w:p w14:paraId="7303E342"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mu &lt;- b / (a + b) }</w:t>
      </w:r>
    </w:p>
    <w:p w14:paraId="77324E4A"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 xml:space="preserve">}               </w:t>
      </w:r>
    </w:p>
    <w:p w14:paraId="5FF25BB3"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p>
    <w:p w14:paraId="6FB4D4BD"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list(a=10, b=100)</w:t>
      </w:r>
    </w:p>
    <w:p w14:paraId="07525A63"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list(a=20, b=50)</w:t>
      </w:r>
    </w:p>
    <w:p w14:paraId="7D624806"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 xml:space="preserve">      </w:t>
      </w:r>
    </w:p>
    <w:p w14:paraId="3E7219FF"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lang w:val="fr-FR"/>
        </w:rPr>
      </w:pPr>
      <w:r w:rsidRPr="00372007">
        <w:rPr>
          <w:rFonts w:ascii="Arial" w:hAnsi="Arial" w:cs="Arial"/>
          <w:color w:val="000000" w:themeColor="text1"/>
          <w:sz w:val="20"/>
          <w:szCs w:val="20"/>
          <w:lang w:val="fr-FR"/>
        </w:rPr>
        <w:t xml:space="preserve">r[]   n[]  </w:t>
      </w:r>
    </w:p>
    <w:p w14:paraId="3A5C2361"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lang w:val="fr-FR"/>
        </w:rPr>
      </w:pPr>
      <w:r w:rsidRPr="00372007">
        <w:rPr>
          <w:rFonts w:ascii="Arial" w:hAnsi="Arial" w:cs="Arial"/>
          <w:color w:val="000000" w:themeColor="text1"/>
          <w:sz w:val="20"/>
          <w:szCs w:val="20"/>
          <w:lang w:val="fr-FR"/>
        </w:rPr>
        <w:t>0    75         # Gaydos 2004</w:t>
      </w:r>
    </w:p>
    <w:p w14:paraId="7BC60E9C"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lang w:val="fr-FR"/>
        </w:rPr>
      </w:pPr>
      <w:r w:rsidRPr="00372007">
        <w:rPr>
          <w:rFonts w:ascii="Arial" w:hAnsi="Arial" w:cs="Arial"/>
          <w:color w:val="000000" w:themeColor="text1"/>
          <w:sz w:val="20"/>
          <w:szCs w:val="20"/>
          <w:lang w:val="fr-FR"/>
        </w:rPr>
        <w:t>2    80         # Gaydos 2013</w:t>
      </w:r>
    </w:p>
    <w:p w14:paraId="782B76B9"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lang w:val="fr-FR"/>
        </w:rPr>
      </w:pPr>
      <w:r w:rsidRPr="00372007">
        <w:rPr>
          <w:rFonts w:ascii="Arial" w:hAnsi="Arial" w:cs="Arial"/>
          <w:color w:val="000000" w:themeColor="text1"/>
          <w:sz w:val="20"/>
          <w:szCs w:val="20"/>
          <w:lang w:val="fr-FR"/>
        </w:rPr>
        <w:t>11  208      # Gaydos 2003</w:t>
      </w:r>
    </w:p>
    <w:p w14:paraId="36768162"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4    115        #  Taylor 2011</w:t>
      </w:r>
    </w:p>
    <w:p w14:paraId="7B4E4EE9"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 xml:space="preserve">54  850       #  Gaydos 2010  </w:t>
      </w:r>
    </w:p>
    <w:p w14:paraId="06363756"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r w:rsidRPr="00372007">
        <w:rPr>
          <w:rFonts w:ascii="Arial" w:hAnsi="Arial" w:cs="Arial"/>
          <w:color w:val="000000" w:themeColor="text1"/>
          <w:sz w:val="20"/>
          <w:szCs w:val="20"/>
        </w:rPr>
        <w:t>END</w:t>
      </w:r>
    </w:p>
    <w:p w14:paraId="68F586ED" w14:textId="77777777" w:rsidR="009B755B" w:rsidRPr="00372007" w:rsidRDefault="009B755B" w:rsidP="00351DB3">
      <w:pPr>
        <w:rPr>
          <w:color w:val="000000" w:themeColor="text1"/>
        </w:rPr>
      </w:pPr>
      <w:r w:rsidRPr="00372007">
        <w:rPr>
          <w:color w:val="000000" w:themeColor="text1"/>
        </w:rPr>
        <w:t xml:space="preserve"> </w:t>
      </w:r>
    </w:p>
    <w:p w14:paraId="2E462424" w14:textId="77777777" w:rsidR="009B755B" w:rsidRPr="00372007" w:rsidRDefault="009B755B" w:rsidP="00351DB3">
      <w:pPr>
        <w:rPr>
          <w:color w:val="000000" w:themeColor="text1"/>
        </w:rPr>
      </w:pPr>
      <w:r w:rsidRPr="00372007">
        <w:rPr>
          <w:color w:val="000000" w:themeColor="text1"/>
        </w:rPr>
        <w:t>Convergence occurred within 20,000 iterations based on Gelman-Rubin statistics available in WinBUGS. We discarded the first 40,000 iterations, and based posterior summaries on two chains with 100,000 samples.</w:t>
      </w:r>
    </w:p>
    <w:p w14:paraId="53E53E16" w14:textId="77777777" w:rsidR="009B755B" w:rsidRPr="00372007" w:rsidRDefault="009B755B" w:rsidP="00351DB3">
      <w:pPr>
        <w:rPr>
          <w:color w:val="000000" w:themeColor="text1"/>
        </w:rPr>
      </w:pPr>
      <w:r w:rsidRPr="00372007">
        <w:rPr>
          <w:color w:val="000000" w:themeColor="text1"/>
        </w:rPr>
        <w:t>The posterior distribution of sensitivity based on two chains with 100,000 samples each, had a mean 0.9495 (95%CrI 0.934 -0.965)</w:t>
      </w:r>
    </w:p>
    <w:p w14:paraId="1C8BB6FF" w14:textId="77777777" w:rsidR="009B755B" w:rsidRPr="00372007" w:rsidRDefault="009B755B" w:rsidP="00351DB3">
      <w:pPr>
        <w:autoSpaceDE w:val="0"/>
        <w:autoSpaceDN w:val="0"/>
        <w:adjustRightInd w:val="0"/>
        <w:spacing w:line="240" w:lineRule="auto"/>
        <w:rPr>
          <w:rFonts w:ascii="Arial" w:hAnsi="Arial" w:cs="Arial"/>
          <w:color w:val="000000" w:themeColor="text1"/>
          <w:sz w:val="20"/>
          <w:szCs w:val="20"/>
        </w:rPr>
      </w:pPr>
    </w:p>
    <w:p w14:paraId="36F828C8" w14:textId="77777777" w:rsidR="009B755B" w:rsidRPr="00372007" w:rsidRDefault="009B755B" w:rsidP="00351DB3">
      <w:pPr>
        <w:rPr>
          <w:b/>
          <w:color w:val="000000" w:themeColor="text1"/>
          <w:sz w:val="24"/>
          <w:szCs w:val="24"/>
        </w:rPr>
      </w:pPr>
      <w:r w:rsidRPr="00372007">
        <w:rPr>
          <w:b/>
          <w:color w:val="000000" w:themeColor="text1"/>
          <w:sz w:val="24"/>
          <w:szCs w:val="24"/>
        </w:rPr>
        <w:br w:type="page"/>
      </w:r>
    </w:p>
    <w:p w14:paraId="694159D2" w14:textId="77777777" w:rsidR="009B755B" w:rsidRPr="00372007" w:rsidRDefault="009B755B" w:rsidP="00351DB3">
      <w:pPr>
        <w:rPr>
          <w:b/>
          <w:color w:val="000000" w:themeColor="text1"/>
          <w:sz w:val="24"/>
          <w:szCs w:val="24"/>
        </w:rPr>
      </w:pPr>
      <w:r w:rsidRPr="00372007">
        <w:rPr>
          <w:b/>
          <w:color w:val="000000" w:themeColor="text1"/>
          <w:sz w:val="24"/>
          <w:szCs w:val="24"/>
        </w:rPr>
        <w:lastRenderedPageBreak/>
        <w:t>Appendix 3:  WinBUGS code for main analyses and for sensitivity analyses</w:t>
      </w:r>
    </w:p>
    <w:p w14:paraId="0B1FACFA" w14:textId="77777777" w:rsidR="009B755B" w:rsidRPr="00372007" w:rsidRDefault="009B755B" w:rsidP="00351DB3">
      <w:pPr>
        <w:autoSpaceDE w:val="0"/>
        <w:autoSpaceDN w:val="0"/>
        <w:adjustRightInd w:val="0"/>
        <w:spacing w:line="240" w:lineRule="auto"/>
        <w:rPr>
          <w:rFonts w:ascii="Arial" w:hAnsi="Arial" w:cs="Arial"/>
          <w:b/>
          <w:bCs/>
          <w:color w:val="000000" w:themeColor="text1"/>
          <w:sz w:val="16"/>
          <w:szCs w:val="16"/>
        </w:rPr>
      </w:pPr>
    </w:p>
    <w:p w14:paraId="593BA492"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model {</w:t>
      </w:r>
    </w:p>
    <w:p w14:paraId="60256641"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p>
    <w:p w14:paraId="15D0B710"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for (i in 1:11) {</w:t>
      </w:r>
    </w:p>
    <w:p w14:paraId="030BA66D"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lpi[1,i] ~ dnorm(-3,.01) </w:t>
      </w:r>
    </w:p>
    <w:p w14:paraId="70FC4D41"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logit(pi[1,i]) &lt;- lpi[1,i]      </w:t>
      </w:r>
    </w:p>
    <w:p w14:paraId="1A2CB685"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r[i] ~ dbin(pi[1,i],n[i])                                                            #  likelihood  pi[1,i]</w:t>
      </w:r>
    </w:p>
    <w:p w14:paraId="4062D91E"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lpi[2,i] ~ dnorm(-3,.01) </w:t>
      </w:r>
    </w:p>
    <w:p w14:paraId="2B3034B5"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r2[i] &lt;- r[i]  </w:t>
      </w:r>
    </w:p>
    <w:p w14:paraId="7362D14D"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logit(pi[3,i]) &lt;- lpi[2,i]</w:t>
      </w:r>
    </w:p>
    <w:p w14:paraId="3104771A"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r2[i] ~ dbin(pi[2,i],n[i])                                                           #  likelihood  pi[2,i]     </w:t>
      </w:r>
    </w:p>
    <w:p w14:paraId="1359EB4D"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rh[i] &lt;- pi[2,i] * n[i]                                                                  #  expected numerator after Se/Fp adjustment</w:t>
      </w:r>
    </w:p>
    <w:p w14:paraId="7BA4AE0E"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dev[i] &lt;- (2 * (r[i] * (log(r[i]) - log(rh[i]))  + (n[i]-r[i]) * (log(n[i]-r[i]) - log(n[i]-rh[i]))))        # deviance</w:t>
      </w:r>
    </w:p>
    <w:p w14:paraId="77B63B0E"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pi[2,i] &lt;- pi[3,i] * se[J[i]]  +  (1-pi[3,i]) * fp[J[i]]                        # adjustment for sensitivity &amp; false positive rate</w:t>
      </w:r>
    </w:p>
    <w:p w14:paraId="25047E8D"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pi[4,i] &lt;-  pi[3,i] * pse[i]                                                          # multiply by pr(sexual experience) </w:t>
      </w:r>
    </w:p>
    <w:p w14:paraId="3877A171"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pi[5,i] &lt;- pi[4,i] * rw[i]/nw[i]                                                     #  balancing weights</w:t>
      </w:r>
    </w:p>
    <w:p w14:paraId="60794B0F"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pi[6,i] &lt;- pi[4,i] * resp[J[i]]  +  (1-resp[J[i]]) * pi[7,i]                 #  non-response adjustment</w:t>
      </w:r>
    </w:p>
    <w:p w14:paraId="28416494"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logit(pi[7,i]) &lt;- logit(pi[4,i]) + lor[J[i]]                                       # CT prev in non-responders</w:t>
      </w:r>
    </w:p>
    <w:p w14:paraId="6FBC4B58"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w:t>
      </w:r>
    </w:p>
    <w:p w14:paraId="25A3570C"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p>
    <w:p w14:paraId="064F2661"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w:t>
      </w:r>
    </w:p>
    <w:p w14:paraId="25800180"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se11 &lt;- se21 - 0.015                 </w:t>
      </w:r>
    </w:p>
    <w:p w14:paraId="3AC6500F"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se12 &lt;- se21 - 0.030             </w:t>
      </w:r>
    </w:p>
    <w:p w14:paraId="64FA3101"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se21 ~ dnorm(.9495,15767)                                                    # sensitivity AC2 94.95 % from meta-analysis</w:t>
      </w:r>
    </w:p>
    <w:p w14:paraId="6D36E03B"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w:t>
      </w:r>
    </w:p>
    <w:p w14:paraId="6D4534B6"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fp12 ~ dbeta(1,1)                        </w:t>
      </w:r>
    </w:p>
    <w:p w14:paraId="13041EEF"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fp21  ~ dbeta(1,1)  </w:t>
      </w:r>
    </w:p>
    <w:p w14:paraId="20237132"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w:t>
      </w:r>
    </w:p>
    <w:p w14:paraId="0ABA51C0"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se[1] &lt;- se11                                     #  </w:t>
      </w:r>
      <w:r w:rsidRPr="00372007">
        <w:rPr>
          <w:rFonts w:ascii="Arial" w:hAnsi="Arial" w:cs="Arial"/>
          <w:b/>
          <w:bCs/>
          <w:color w:val="000000" w:themeColor="text1"/>
          <w:sz w:val="18"/>
          <w:szCs w:val="18"/>
        </w:rPr>
        <w:t xml:space="preserve"> BASECASE</w:t>
      </w:r>
    </w:p>
    <w:p w14:paraId="28DEEA46"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se[2] &lt;- se21                                     #   </w:t>
      </w:r>
      <w:r w:rsidRPr="00372007">
        <w:rPr>
          <w:rFonts w:ascii="Arial" w:hAnsi="Arial" w:cs="Arial"/>
          <w:b/>
          <w:bCs/>
          <w:color w:val="000000" w:themeColor="text1"/>
          <w:sz w:val="18"/>
          <w:szCs w:val="18"/>
        </w:rPr>
        <w:t>BASECASE</w:t>
      </w:r>
    </w:p>
    <w:p w14:paraId="0ACE49C3" w14:textId="77777777" w:rsidR="009B755B" w:rsidRPr="00372007" w:rsidRDefault="009B755B" w:rsidP="00351DB3">
      <w:pPr>
        <w:autoSpaceDE w:val="0"/>
        <w:autoSpaceDN w:val="0"/>
        <w:adjustRightInd w:val="0"/>
        <w:spacing w:line="240" w:lineRule="auto"/>
        <w:rPr>
          <w:rFonts w:ascii="Arial" w:hAnsi="Arial" w:cs="Arial"/>
          <w:b/>
          <w:bCs/>
          <w:color w:val="000000" w:themeColor="text1"/>
          <w:sz w:val="18"/>
          <w:szCs w:val="18"/>
        </w:rPr>
      </w:pPr>
      <w:r w:rsidRPr="00372007">
        <w:rPr>
          <w:rFonts w:ascii="Arial" w:hAnsi="Arial" w:cs="Arial"/>
          <w:color w:val="000000" w:themeColor="text1"/>
          <w:sz w:val="18"/>
          <w:szCs w:val="18"/>
        </w:rPr>
        <w:t xml:space="preserve">fp[1] &lt;- .001 + fp12 * 0.002                # specifiicty LCx  U(99.7 - 99.9)  </w:t>
      </w:r>
      <w:r w:rsidRPr="00372007">
        <w:rPr>
          <w:rFonts w:ascii="Arial" w:hAnsi="Arial" w:cs="Arial"/>
          <w:b/>
          <w:bCs/>
          <w:color w:val="000000" w:themeColor="text1"/>
          <w:sz w:val="18"/>
          <w:szCs w:val="18"/>
        </w:rPr>
        <w:t xml:space="preserve"> BASECASE</w:t>
      </w:r>
    </w:p>
    <w:p w14:paraId="26F07883"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fp[2] &lt;-  fp21  *  .002                          # specificty  AC2  U(99.8 - 100)%   </w:t>
      </w:r>
      <w:r w:rsidRPr="00372007">
        <w:rPr>
          <w:rFonts w:ascii="Arial" w:hAnsi="Arial" w:cs="Arial"/>
          <w:b/>
          <w:bCs/>
          <w:color w:val="000000" w:themeColor="text1"/>
          <w:sz w:val="18"/>
          <w:szCs w:val="18"/>
        </w:rPr>
        <w:t xml:space="preserve">BASECASE </w:t>
      </w:r>
      <w:r w:rsidRPr="00372007">
        <w:rPr>
          <w:rFonts w:ascii="Arial" w:hAnsi="Arial" w:cs="Arial"/>
          <w:color w:val="000000" w:themeColor="text1"/>
          <w:sz w:val="18"/>
          <w:szCs w:val="18"/>
        </w:rPr>
        <w:t xml:space="preserve">   </w:t>
      </w:r>
    </w:p>
    <w:p w14:paraId="724BF5AE" w14:textId="77777777" w:rsidR="009B755B" w:rsidRPr="00372007" w:rsidRDefault="009B755B" w:rsidP="00351DB3">
      <w:pPr>
        <w:autoSpaceDE w:val="0"/>
        <w:autoSpaceDN w:val="0"/>
        <w:adjustRightInd w:val="0"/>
        <w:spacing w:line="240" w:lineRule="auto"/>
        <w:rPr>
          <w:rFonts w:ascii="Arial" w:hAnsi="Arial" w:cs="Arial"/>
          <w:b/>
          <w:bCs/>
          <w:color w:val="000000" w:themeColor="text1"/>
          <w:sz w:val="18"/>
          <w:szCs w:val="18"/>
        </w:rPr>
      </w:pPr>
      <w:r w:rsidRPr="00372007">
        <w:rPr>
          <w:rFonts w:ascii="Arial" w:hAnsi="Arial" w:cs="Arial"/>
          <w:color w:val="000000" w:themeColor="text1"/>
          <w:sz w:val="18"/>
          <w:szCs w:val="18"/>
        </w:rPr>
        <w:t xml:space="preserve">lor[1] ~ dnorm(0.39, 29.4)                  # ClaSS CT prev LOR non-responders : responders </w:t>
      </w:r>
      <w:r w:rsidRPr="00372007">
        <w:rPr>
          <w:rFonts w:ascii="Arial" w:hAnsi="Arial" w:cs="Arial"/>
          <w:b/>
          <w:bCs/>
          <w:color w:val="000000" w:themeColor="text1"/>
          <w:sz w:val="18"/>
          <w:szCs w:val="18"/>
        </w:rPr>
        <w:t>BASECASE</w:t>
      </w:r>
    </w:p>
    <w:p w14:paraId="671D07F9" w14:textId="77777777" w:rsidR="009B755B" w:rsidRPr="00372007" w:rsidRDefault="009B755B" w:rsidP="00351DB3">
      <w:pPr>
        <w:autoSpaceDE w:val="0"/>
        <w:autoSpaceDN w:val="0"/>
        <w:adjustRightInd w:val="0"/>
        <w:spacing w:line="240" w:lineRule="auto"/>
        <w:rPr>
          <w:rFonts w:ascii="Arial" w:hAnsi="Arial" w:cs="Arial"/>
          <w:b/>
          <w:bCs/>
          <w:color w:val="000000" w:themeColor="text1"/>
          <w:sz w:val="18"/>
          <w:szCs w:val="18"/>
        </w:rPr>
      </w:pPr>
      <w:r w:rsidRPr="00372007">
        <w:rPr>
          <w:rFonts w:ascii="Arial" w:hAnsi="Arial" w:cs="Arial"/>
          <w:color w:val="000000" w:themeColor="text1"/>
          <w:sz w:val="18"/>
          <w:szCs w:val="18"/>
        </w:rPr>
        <w:t xml:space="preserve">lor[2] &lt;- lor[1]                                     # Natsal-3 non-response adjustment same as -3 </w:t>
      </w:r>
      <w:r w:rsidRPr="00372007">
        <w:rPr>
          <w:rFonts w:ascii="Arial" w:hAnsi="Arial" w:cs="Arial"/>
          <w:b/>
          <w:bCs/>
          <w:color w:val="000000" w:themeColor="text1"/>
          <w:sz w:val="18"/>
          <w:szCs w:val="18"/>
        </w:rPr>
        <w:t>BASECASE</w:t>
      </w:r>
    </w:p>
    <w:p w14:paraId="5FC7CDB9"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resp[1] &lt;- 0.42                                   # overall response rate Natsal-2</w:t>
      </w:r>
    </w:p>
    <w:p w14:paraId="0F2C0C20"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resp[2] &lt;- 0.34                                   # overall response rate Natsal-3</w:t>
      </w:r>
    </w:p>
    <w:p w14:paraId="27D9D9E7"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p>
    <w:p w14:paraId="6B89482F"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fp[1] &lt;-  .001 + fp12  * 0.008           # specificity LCX U(99.1 - 99.9)  </w:t>
      </w:r>
      <w:r w:rsidRPr="00372007">
        <w:rPr>
          <w:rFonts w:ascii="Arial" w:hAnsi="Arial" w:cs="Arial"/>
          <w:b/>
          <w:bCs/>
          <w:color w:val="000000" w:themeColor="text1"/>
          <w:sz w:val="18"/>
          <w:szCs w:val="18"/>
        </w:rPr>
        <w:t>SA 1</w:t>
      </w:r>
    </w:p>
    <w:p w14:paraId="0CA3280A"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se[1] &lt;-  se12                                 # sensitivity LCx 3% lower than AC2 </w:t>
      </w:r>
      <w:r w:rsidRPr="00372007">
        <w:rPr>
          <w:rFonts w:ascii="Arial" w:hAnsi="Arial" w:cs="Arial"/>
          <w:b/>
          <w:bCs/>
          <w:color w:val="000000" w:themeColor="text1"/>
          <w:sz w:val="18"/>
          <w:szCs w:val="18"/>
        </w:rPr>
        <w:t xml:space="preserve"> SA 2</w:t>
      </w:r>
    </w:p>
    <w:p w14:paraId="6A43CFF0" w14:textId="77777777" w:rsidR="009B755B" w:rsidRPr="00372007" w:rsidRDefault="009B755B" w:rsidP="00351DB3">
      <w:pPr>
        <w:autoSpaceDE w:val="0"/>
        <w:autoSpaceDN w:val="0"/>
        <w:adjustRightInd w:val="0"/>
        <w:spacing w:line="240" w:lineRule="auto"/>
        <w:rPr>
          <w:rFonts w:ascii="Arial" w:hAnsi="Arial" w:cs="Arial"/>
          <w:b/>
          <w:bCs/>
          <w:color w:val="000000" w:themeColor="text1"/>
          <w:sz w:val="18"/>
          <w:szCs w:val="18"/>
        </w:rPr>
      </w:pPr>
      <w:r w:rsidRPr="00372007">
        <w:rPr>
          <w:rFonts w:ascii="Arial" w:hAnsi="Arial" w:cs="Arial"/>
          <w:color w:val="000000" w:themeColor="text1"/>
          <w:sz w:val="18"/>
          <w:szCs w:val="18"/>
        </w:rPr>
        <w:t xml:space="preserve">#lor[1] ~ dnorm(0.642, 29.4)              # Higher non-response correction </w:t>
      </w:r>
      <w:r w:rsidRPr="00372007">
        <w:rPr>
          <w:rFonts w:ascii="Arial" w:hAnsi="Arial" w:cs="Arial"/>
          <w:b/>
          <w:bCs/>
          <w:color w:val="000000" w:themeColor="text1"/>
          <w:sz w:val="18"/>
          <w:szCs w:val="18"/>
        </w:rPr>
        <w:t>SA 3, SA 4</w:t>
      </w:r>
    </w:p>
    <w:p w14:paraId="468D0EE4"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b/>
          <w:bCs/>
          <w:color w:val="000000" w:themeColor="text1"/>
          <w:sz w:val="18"/>
          <w:szCs w:val="18"/>
        </w:rPr>
        <w:t>#</w:t>
      </w:r>
      <w:r w:rsidRPr="00372007">
        <w:rPr>
          <w:rFonts w:ascii="Arial" w:hAnsi="Arial" w:cs="Arial"/>
          <w:color w:val="000000" w:themeColor="text1"/>
          <w:sz w:val="18"/>
          <w:szCs w:val="18"/>
        </w:rPr>
        <w:t xml:space="preserve"> lor[2] &lt;- lor[1] + log(1.1)                  #  Natsal-3  OR 10% higher than Natsal-2  </w:t>
      </w:r>
      <w:r w:rsidRPr="00372007">
        <w:rPr>
          <w:rFonts w:ascii="Arial" w:hAnsi="Arial" w:cs="Arial"/>
          <w:b/>
          <w:bCs/>
          <w:color w:val="000000" w:themeColor="text1"/>
          <w:sz w:val="18"/>
          <w:szCs w:val="18"/>
        </w:rPr>
        <w:t>SA4,  SA5</w:t>
      </w:r>
    </w:p>
    <w:p w14:paraId="2C811F77"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p>
    <w:p w14:paraId="70A0DB83"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dev[12] &lt;- sum(dev[1:5])</w:t>
      </w:r>
    </w:p>
    <w:p w14:paraId="66123523"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dev[13] &lt;- sum(dev[6:11])</w:t>
      </w:r>
    </w:p>
    <w:p w14:paraId="638D65FD"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p>
    <w:p w14:paraId="428E98CA"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summaries</w:t>
      </w:r>
    </w:p>
    <w:p w14:paraId="73885D37"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for (k in 1:6)  { av[1,k] &lt;- (2*pi[k,1] + 5*pi[k,2]) / 7       #   average  18-24  Natsal 2</w:t>
      </w:r>
    </w:p>
    <w:p w14:paraId="516CED08"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av[2,k] &lt;- (2*pi[k,7] + 5*pi[k,8]) / 7         #   average  18-24  Natsal 3</w:t>
      </w:r>
    </w:p>
    <w:p w14:paraId="5ACE3508"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av[3,k] &lt;-  (av[2,k] - av[1,k])                   #   average  18-24  Natsal 3 - Natsal 2 difference</w:t>
      </w:r>
    </w:p>
    <w:p w14:paraId="33D547AD"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av[4,k] &lt;- av[3,k] * 100 / av[1,k]             #   average 18-24  % change from Natsal 2</w:t>
      </w:r>
    </w:p>
    <w:p w14:paraId="182B9489"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p>
    <w:p w14:paraId="5AEE19B2"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av[5,k] &lt;- (5*pi[k,3]+5*pi[k,4] +10*pi[k,5]) / 20       #   average 25-44  Natsal 2</w:t>
      </w:r>
    </w:p>
    <w:p w14:paraId="7B5C97E7"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av[6,k] &lt;- (5*pi[k,9]+5*pi[k,10] +10*pi[k,11]) / 20   #   average  25-44 Natsal-3</w:t>
      </w:r>
    </w:p>
    <w:p w14:paraId="2A3C7BBF"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av[7,k] &lt;-  (av[6,k] - av[5,k])                   #     average 25-44  Natsal 3 - Natsal 2 difference</w:t>
      </w:r>
    </w:p>
    <w:p w14:paraId="6D64078E"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av[8,k] &lt;- av[6,k] * 100 / av[5,k] }           #      average 25-44  % change from Natsal 2</w:t>
      </w:r>
    </w:p>
    <w:p w14:paraId="3182C321"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w:t>
      </w:r>
    </w:p>
    <w:p w14:paraId="00849C3D"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w:t>
      </w:r>
    </w:p>
    <w:p w14:paraId="7A6A7C11"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p>
    <w:p w14:paraId="622682F3"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w:t>
      </w:r>
    </w:p>
    <w:p w14:paraId="7A7A8382"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INITIAL VALUES</w:t>
      </w:r>
    </w:p>
    <w:p w14:paraId="49140D42"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p>
    <w:p w14:paraId="214D80B5"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list( fp12=.7, fp21=.7,  se21=.8,  lor=c(0,NA),</w:t>
      </w:r>
    </w:p>
    <w:p w14:paraId="354F7087"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lpi=structure(.Data=c(-2,-2,-2,-2,-2,   -2,-2,-2,-2,-2,  -2,</w:t>
      </w:r>
    </w:p>
    <w:p w14:paraId="439CBD8A"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-2,-2,-2,-2,-2,   -2,-2,-2,-2,-2,  -2),.Dim=c(2,11))  )</w:t>
      </w:r>
    </w:p>
    <w:p w14:paraId="6F203072"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p>
    <w:p w14:paraId="40EF7309"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list( fp12=.3, fp21=.2,  se21=.3,  lor=c(1,NA),</w:t>
      </w:r>
    </w:p>
    <w:p w14:paraId="3D1CF038"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lpi=structure(.Data=c(-4,-4,-4,-4,-4,   -4,-4,-4,-4,-4,  -4,</w:t>
      </w:r>
    </w:p>
    <w:p w14:paraId="1A3866EB"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-4,-4,-4,-4,-4,   -4,-4,-4,-4,-4,  -4),.Dim=c(2,11))  )</w:t>
      </w:r>
    </w:p>
    <w:p w14:paraId="00D0FF4B"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p>
    <w:p w14:paraId="6CDEA361"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p>
    <w:p w14:paraId="342EB6DA"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list(J=c(1,1,1,1,1,  2,2,2,2,2,2))</w:t>
      </w:r>
    </w:p>
    <w:p w14:paraId="7F299CE3"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p>
    <w:p w14:paraId="7A74AC8B"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r[]      n[]       pse[]     rw[]                   nw[]</w:t>
      </w:r>
    </w:p>
    <w:p w14:paraId="690C48E7"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4      103</w:t>
      </w:r>
      <w:r w:rsidRPr="00372007">
        <w:rPr>
          <w:rFonts w:ascii="Arial" w:hAnsi="Arial" w:cs="Arial"/>
          <w:color w:val="000000" w:themeColor="text1"/>
          <w:sz w:val="18"/>
          <w:szCs w:val="18"/>
        </w:rPr>
        <w:tab/>
        <w:t xml:space="preserve">     0.96</w:t>
      </w:r>
      <w:r w:rsidRPr="00372007">
        <w:rPr>
          <w:rFonts w:ascii="Arial" w:hAnsi="Arial" w:cs="Arial"/>
          <w:color w:val="000000" w:themeColor="text1"/>
          <w:sz w:val="18"/>
          <w:szCs w:val="18"/>
        </w:rPr>
        <w:tab/>
        <w:t>1.03792375</w:t>
      </w:r>
      <w:r w:rsidRPr="00372007">
        <w:rPr>
          <w:rFonts w:ascii="Arial" w:hAnsi="Arial" w:cs="Arial"/>
          <w:color w:val="000000" w:themeColor="text1"/>
          <w:sz w:val="18"/>
          <w:szCs w:val="18"/>
        </w:rPr>
        <w:tab/>
        <w:t>1.106935922              #Natsal 2   18-19</w:t>
      </w:r>
    </w:p>
    <w:p w14:paraId="1755C23A"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12    276</w:t>
      </w:r>
      <w:r w:rsidRPr="00372007">
        <w:rPr>
          <w:rFonts w:ascii="Arial" w:hAnsi="Arial" w:cs="Arial"/>
          <w:color w:val="000000" w:themeColor="text1"/>
          <w:sz w:val="18"/>
          <w:szCs w:val="18"/>
        </w:rPr>
        <w:tab/>
        <w:t xml:space="preserve">     0.98</w:t>
      </w:r>
      <w:r w:rsidRPr="00372007">
        <w:rPr>
          <w:rFonts w:ascii="Arial" w:hAnsi="Arial" w:cs="Arial"/>
          <w:color w:val="000000" w:themeColor="text1"/>
          <w:sz w:val="18"/>
          <w:szCs w:val="18"/>
        </w:rPr>
        <w:tab/>
        <w:t>0.62289375</w:t>
      </w:r>
      <w:r w:rsidRPr="00372007">
        <w:rPr>
          <w:rFonts w:ascii="Arial" w:hAnsi="Arial" w:cs="Arial"/>
          <w:color w:val="000000" w:themeColor="text1"/>
          <w:sz w:val="18"/>
          <w:szCs w:val="18"/>
        </w:rPr>
        <w:tab/>
        <w:t>1.013115217              #                     20-24</w:t>
      </w:r>
    </w:p>
    <w:p w14:paraId="5008EBA8"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11    400     0.99</w:t>
      </w:r>
      <w:r w:rsidRPr="00372007">
        <w:rPr>
          <w:rFonts w:ascii="Arial" w:hAnsi="Arial" w:cs="Arial"/>
          <w:color w:val="000000" w:themeColor="text1"/>
          <w:sz w:val="18"/>
          <w:szCs w:val="18"/>
        </w:rPr>
        <w:tab/>
        <w:t>0.595229636</w:t>
      </w:r>
      <w:r w:rsidRPr="00372007">
        <w:rPr>
          <w:rFonts w:ascii="Arial" w:hAnsi="Arial" w:cs="Arial"/>
          <w:color w:val="000000" w:themeColor="text1"/>
          <w:sz w:val="18"/>
          <w:szCs w:val="18"/>
        </w:rPr>
        <w:tab/>
        <w:t>0.775895                    #                     25-29</w:t>
      </w:r>
    </w:p>
    <w:p w14:paraId="01457BE7"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9      472</w:t>
      </w:r>
      <w:r w:rsidRPr="00372007">
        <w:rPr>
          <w:rFonts w:ascii="Arial" w:hAnsi="Arial" w:cs="Arial"/>
          <w:color w:val="000000" w:themeColor="text1"/>
          <w:sz w:val="18"/>
          <w:szCs w:val="18"/>
        </w:rPr>
        <w:tab/>
        <w:t xml:space="preserve">      1</w:t>
      </w:r>
      <w:r w:rsidRPr="00372007">
        <w:rPr>
          <w:rFonts w:ascii="Arial" w:hAnsi="Arial" w:cs="Arial"/>
          <w:color w:val="000000" w:themeColor="text1"/>
          <w:sz w:val="18"/>
          <w:szCs w:val="18"/>
        </w:rPr>
        <w:tab/>
        <w:t>0.593021556</w:t>
      </w:r>
      <w:r w:rsidRPr="00372007">
        <w:rPr>
          <w:rFonts w:ascii="Arial" w:hAnsi="Arial" w:cs="Arial"/>
          <w:color w:val="000000" w:themeColor="text1"/>
          <w:sz w:val="18"/>
          <w:szCs w:val="18"/>
        </w:rPr>
        <w:tab/>
        <w:t>0.781242161              #                     30-34</w:t>
      </w:r>
    </w:p>
    <w:p w14:paraId="61AF07A9"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6      804</w:t>
      </w:r>
      <w:r w:rsidRPr="00372007">
        <w:rPr>
          <w:rFonts w:ascii="Arial" w:hAnsi="Arial" w:cs="Arial"/>
          <w:color w:val="000000" w:themeColor="text1"/>
          <w:sz w:val="18"/>
          <w:szCs w:val="18"/>
        </w:rPr>
        <w:tab/>
        <w:t xml:space="preserve">      1</w:t>
      </w:r>
      <w:r w:rsidRPr="00372007">
        <w:rPr>
          <w:rFonts w:ascii="Arial" w:hAnsi="Arial" w:cs="Arial"/>
          <w:color w:val="000000" w:themeColor="text1"/>
          <w:sz w:val="18"/>
          <w:szCs w:val="18"/>
        </w:rPr>
        <w:tab/>
        <w:t>0.6918125</w:t>
      </w:r>
      <w:r w:rsidRPr="00372007">
        <w:rPr>
          <w:rFonts w:ascii="Arial" w:hAnsi="Arial" w:cs="Arial"/>
          <w:color w:val="000000" w:themeColor="text1"/>
          <w:sz w:val="18"/>
          <w:szCs w:val="18"/>
        </w:rPr>
        <w:tab/>
        <w:t>0.85495                      #                     35-44</w:t>
      </w:r>
    </w:p>
    <w:p w14:paraId="12C5C7D3"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p>
    <w:p w14:paraId="488F9808"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 xml:space="preserve"> 5     171</w:t>
      </w:r>
      <w:r w:rsidRPr="00372007">
        <w:rPr>
          <w:rFonts w:ascii="Arial" w:hAnsi="Arial" w:cs="Arial"/>
          <w:color w:val="000000" w:themeColor="text1"/>
          <w:sz w:val="18"/>
          <w:szCs w:val="18"/>
        </w:rPr>
        <w:tab/>
        <w:t xml:space="preserve">      1</w:t>
      </w:r>
      <w:r w:rsidRPr="00372007">
        <w:rPr>
          <w:rFonts w:ascii="Arial" w:hAnsi="Arial" w:cs="Arial"/>
          <w:color w:val="000000" w:themeColor="text1"/>
          <w:sz w:val="18"/>
          <w:szCs w:val="18"/>
        </w:rPr>
        <w:tab/>
        <w:t xml:space="preserve">0.392           </w:t>
      </w:r>
      <w:r w:rsidRPr="00372007">
        <w:rPr>
          <w:rFonts w:ascii="Arial" w:hAnsi="Arial" w:cs="Arial"/>
          <w:color w:val="000000" w:themeColor="text1"/>
          <w:sz w:val="18"/>
          <w:szCs w:val="18"/>
        </w:rPr>
        <w:tab/>
        <w:t>0.492345029               #Natsal 3  16-17</w:t>
      </w:r>
    </w:p>
    <w:p w14:paraId="47C85574"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11    224</w:t>
      </w:r>
      <w:r w:rsidRPr="00372007">
        <w:rPr>
          <w:rFonts w:ascii="Arial" w:hAnsi="Arial" w:cs="Arial"/>
          <w:color w:val="000000" w:themeColor="text1"/>
          <w:sz w:val="18"/>
          <w:szCs w:val="18"/>
        </w:rPr>
        <w:tab/>
        <w:t xml:space="preserve">    0.81</w:t>
      </w:r>
      <w:r w:rsidRPr="00372007">
        <w:rPr>
          <w:rFonts w:ascii="Arial" w:hAnsi="Arial" w:cs="Arial"/>
          <w:color w:val="000000" w:themeColor="text1"/>
          <w:sz w:val="18"/>
          <w:szCs w:val="18"/>
        </w:rPr>
        <w:tab/>
        <w:t>0.551090909</w:t>
      </w:r>
      <w:r w:rsidRPr="00372007">
        <w:rPr>
          <w:rFonts w:ascii="Arial" w:hAnsi="Arial" w:cs="Arial"/>
          <w:color w:val="000000" w:themeColor="text1"/>
          <w:sz w:val="18"/>
          <w:szCs w:val="18"/>
        </w:rPr>
        <w:tab/>
        <w:t>0.578370536               #                   18-19</w:t>
      </w:r>
    </w:p>
    <w:p w14:paraId="6B832837"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21    597</w:t>
      </w:r>
      <w:r w:rsidRPr="00372007">
        <w:rPr>
          <w:rFonts w:ascii="Arial" w:hAnsi="Arial" w:cs="Arial"/>
          <w:color w:val="000000" w:themeColor="text1"/>
          <w:sz w:val="18"/>
          <w:szCs w:val="18"/>
        </w:rPr>
        <w:tab/>
        <w:t xml:space="preserve">    0.93</w:t>
      </w:r>
      <w:r w:rsidRPr="00372007">
        <w:rPr>
          <w:rFonts w:ascii="Arial" w:hAnsi="Arial" w:cs="Arial"/>
          <w:color w:val="000000" w:themeColor="text1"/>
          <w:sz w:val="18"/>
          <w:szCs w:val="18"/>
        </w:rPr>
        <w:tab/>
        <w:t>0.494</w:t>
      </w:r>
      <w:r w:rsidRPr="00372007">
        <w:rPr>
          <w:rFonts w:ascii="Arial" w:hAnsi="Arial" w:cs="Arial"/>
          <w:color w:val="000000" w:themeColor="text1"/>
          <w:sz w:val="18"/>
          <w:szCs w:val="18"/>
        </w:rPr>
        <w:tab/>
        <w:t xml:space="preserve">              0.642247906               #                    20-24</w:t>
      </w:r>
    </w:p>
    <w:p w14:paraId="21AAC775"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16    650</w:t>
      </w:r>
      <w:r w:rsidRPr="00372007">
        <w:rPr>
          <w:rFonts w:ascii="Arial" w:hAnsi="Arial" w:cs="Arial"/>
          <w:color w:val="000000" w:themeColor="text1"/>
          <w:sz w:val="18"/>
          <w:szCs w:val="18"/>
        </w:rPr>
        <w:tab/>
        <w:t xml:space="preserve">    0.98</w:t>
      </w:r>
      <w:r w:rsidRPr="00372007">
        <w:rPr>
          <w:rFonts w:ascii="Arial" w:hAnsi="Arial" w:cs="Arial"/>
          <w:color w:val="000000" w:themeColor="text1"/>
          <w:sz w:val="18"/>
          <w:szCs w:val="18"/>
        </w:rPr>
        <w:tab/>
        <w:t xml:space="preserve">0.572           </w:t>
      </w:r>
      <w:r w:rsidRPr="00372007">
        <w:rPr>
          <w:rFonts w:ascii="Arial" w:hAnsi="Arial" w:cs="Arial"/>
          <w:color w:val="000000" w:themeColor="text1"/>
          <w:sz w:val="18"/>
          <w:szCs w:val="18"/>
        </w:rPr>
        <w:tab/>
        <w:t>0.634084615               #                    25-29</w:t>
      </w:r>
    </w:p>
    <w:p w14:paraId="2FB2A88D"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7     496</w:t>
      </w:r>
      <w:r w:rsidRPr="00372007">
        <w:rPr>
          <w:rFonts w:ascii="Arial" w:hAnsi="Arial" w:cs="Arial"/>
          <w:color w:val="000000" w:themeColor="text1"/>
          <w:sz w:val="18"/>
          <w:szCs w:val="18"/>
        </w:rPr>
        <w:tab/>
        <w:t xml:space="preserve">    0.99</w:t>
      </w:r>
      <w:r w:rsidRPr="00372007">
        <w:rPr>
          <w:rFonts w:ascii="Arial" w:hAnsi="Arial" w:cs="Arial"/>
          <w:color w:val="000000" w:themeColor="text1"/>
          <w:sz w:val="18"/>
          <w:szCs w:val="18"/>
        </w:rPr>
        <w:tab/>
        <w:t>0.480285714</w:t>
      </w:r>
      <w:r w:rsidRPr="00372007">
        <w:rPr>
          <w:rFonts w:ascii="Arial" w:hAnsi="Arial" w:cs="Arial"/>
          <w:color w:val="000000" w:themeColor="text1"/>
          <w:sz w:val="18"/>
          <w:szCs w:val="18"/>
        </w:rPr>
        <w:tab/>
        <w:t>0.800350806               #                    30-34</w:t>
      </w:r>
    </w:p>
    <w:p w14:paraId="73F8E2EA"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2      527      1</w:t>
      </w:r>
      <w:r w:rsidRPr="00372007">
        <w:rPr>
          <w:rFonts w:ascii="Arial" w:hAnsi="Arial" w:cs="Arial"/>
          <w:color w:val="000000" w:themeColor="text1"/>
          <w:sz w:val="18"/>
          <w:szCs w:val="18"/>
        </w:rPr>
        <w:tab/>
        <w:t>1.177</w:t>
      </w:r>
      <w:r w:rsidRPr="00372007">
        <w:rPr>
          <w:rFonts w:ascii="Arial" w:hAnsi="Arial" w:cs="Arial"/>
          <w:color w:val="000000" w:themeColor="text1"/>
          <w:sz w:val="18"/>
          <w:szCs w:val="18"/>
        </w:rPr>
        <w:tab/>
        <w:t xml:space="preserve">              1.666332068               #                    35-44</w:t>
      </w:r>
    </w:p>
    <w:p w14:paraId="2E2625F7"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r w:rsidRPr="00372007">
        <w:rPr>
          <w:rFonts w:ascii="Arial" w:hAnsi="Arial" w:cs="Arial"/>
          <w:color w:val="000000" w:themeColor="text1"/>
          <w:sz w:val="18"/>
          <w:szCs w:val="18"/>
        </w:rPr>
        <w:t>END</w:t>
      </w:r>
    </w:p>
    <w:p w14:paraId="088B516C"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p>
    <w:p w14:paraId="63BF43CB"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p>
    <w:p w14:paraId="3B98BF5A"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p>
    <w:p w14:paraId="6DF1BC28" w14:textId="77777777" w:rsidR="009B755B" w:rsidRPr="00372007" w:rsidRDefault="009B755B" w:rsidP="00351DB3">
      <w:pPr>
        <w:autoSpaceDE w:val="0"/>
        <w:autoSpaceDN w:val="0"/>
        <w:adjustRightInd w:val="0"/>
        <w:spacing w:line="240" w:lineRule="auto"/>
        <w:rPr>
          <w:rFonts w:ascii="Arial" w:hAnsi="Arial" w:cs="Arial"/>
          <w:color w:val="000000" w:themeColor="text1"/>
          <w:sz w:val="18"/>
          <w:szCs w:val="18"/>
        </w:rPr>
      </w:pPr>
    </w:p>
    <w:p w14:paraId="6DCC29EA" w14:textId="77777777" w:rsidR="00351DB3" w:rsidRPr="00372007" w:rsidRDefault="00351DB3">
      <w:pPr>
        <w:rPr>
          <w:color w:val="000000" w:themeColor="text1"/>
        </w:rPr>
      </w:pPr>
      <w:bookmarkStart w:id="0" w:name="_GoBack"/>
      <w:bookmarkEnd w:id="0"/>
    </w:p>
    <w:sectPr w:rsidR="00351DB3" w:rsidRPr="00372007" w:rsidSect="00351DB3">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F4A8E" w14:textId="77777777" w:rsidR="00E94203" w:rsidRDefault="00E94203">
      <w:pPr>
        <w:spacing w:line="240" w:lineRule="auto"/>
      </w:pPr>
      <w:r>
        <w:separator/>
      </w:r>
    </w:p>
  </w:endnote>
  <w:endnote w:type="continuationSeparator" w:id="0">
    <w:p w14:paraId="4918E645" w14:textId="77777777" w:rsidR="00E94203" w:rsidRDefault="00E942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845471"/>
      <w:docPartObj>
        <w:docPartGallery w:val="Page Numbers (Bottom of Page)"/>
        <w:docPartUnique/>
      </w:docPartObj>
    </w:sdtPr>
    <w:sdtEndPr>
      <w:rPr>
        <w:noProof/>
      </w:rPr>
    </w:sdtEndPr>
    <w:sdtContent>
      <w:p w14:paraId="77552BF6" w14:textId="77777777" w:rsidR="00351DB3" w:rsidRDefault="00351DB3">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19846EEF" w14:textId="77777777" w:rsidR="00351DB3" w:rsidRDefault="00351DB3" w:rsidP="00351DB3">
    <w:r>
      <w:t xml:space="preserve"> </w:t>
    </w:r>
    <w:r w:rsidRPr="002942DB">
      <w:rPr>
        <w:i/>
      </w:rPr>
      <w:t>Chlamydia trachomatis</w:t>
    </w:r>
    <w:r>
      <w:t xml:space="preserve"> prevalence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57646" w14:textId="77777777" w:rsidR="00E94203" w:rsidRDefault="00E94203">
      <w:pPr>
        <w:spacing w:line="240" w:lineRule="auto"/>
      </w:pPr>
      <w:r>
        <w:separator/>
      </w:r>
    </w:p>
  </w:footnote>
  <w:footnote w:type="continuationSeparator" w:id="0">
    <w:p w14:paraId="01C25607" w14:textId="77777777" w:rsidR="00E94203" w:rsidRDefault="00E942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6ADD"/>
    <w:multiLevelType w:val="hybridMultilevel"/>
    <w:tmpl w:val="C7686AB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AB7342D"/>
    <w:multiLevelType w:val="hybridMultilevel"/>
    <w:tmpl w:val="2EBEA94A"/>
    <w:lvl w:ilvl="0" w:tplc="83E67D5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E135B7"/>
    <w:multiLevelType w:val="hybridMultilevel"/>
    <w:tmpl w:val="D3EE0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606E50"/>
    <w:multiLevelType w:val="hybridMultilevel"/>
    <w:tmpl w:val="17A45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E721A"/>
    <w:multiLevelType w:val="hybridMultilevel"/>
    <w:tmpl w:val="F8ACABC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271A3"/>
    <w:multiLevelType w:val="hybridMultilevel"/>
    <w:tmpl w:val="5846E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95736"/>
    <w:multiLevelType w:val="hybridMultilevel"/>
    <w:tmpl w:val="BF581A3E"/>
    <w:lvl w:ilvl="0" w:tplc="23802AF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55C0C"/>
    <w:multiLevelType w:val="hybridMultilevel"/>
    <w:tmpl w:val="EBCA43E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083767D"/>
    <w:multiLevelType w:val="hybridMultilevel"/>
    <w:tmpl w:val="D2BE50F2"/>
    <w:lvl w:ilvl="0" w:tplc="F59E563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19F09D3"/>
    <w:multiLevelType w:val="hybridMultilevel"/>
    <w:tmpl w:val="A1CEC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780665"/>
    <w:multiLevelType w:val="hybridMultilevel"/>
    <w:tmpl w:val="F6F26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197975"/>
    <w:multiLevelType w:val="hybridMultilevel"/>
    <w:tmpl w:val="F67A2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0B402C"/>
    <w:multiLevelType w:val="hybridMultilevel"/>
    <w:tmpl w:val="BE96F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D06677"/>
    <w:multiLevelType w:val="hybridMultilevel"/>
    <w:tmpl w:val="8214A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965D1F"/>
    <w:multiLevelType w:val="hybridMultilevel"/>
    <w:tmpl w:val="F57AD4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E9D4C23"/>
    <w:multiLevelType w:val="hybridMultilevel"/>
    <w:tmpl w:val="6CDEF0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5C09C1"/>
    <w:multiLevelType w:val="hybridMultilevel"/>
    <w:tmpl w:val="F2369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95036C"/>
    <w:multiLevelType w:val="hybridMultilevel"/>
    <w:tmpl w:val="3DBA8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76616C"/>
    <w:multiLevelType w:val="hybridMultilevel"/>
    <w:tmpl w:val="B8F65868"/>
    <w:lvl w:ilvl="0" w:tplc="6FBE3D36">
      <w:start w:val="25"/>
      <w:numFmt w:val="bullet"/>
      <w:lvlText w:val="*"/>
      <w:lvlJc w:val="left"/>
      <w:pPr>
        <w:ind w:left="720" w:hanging="360"/>
      </w:pPr>
      <w:rPr>
        <w:rFonts w:ascii="Calibri" w:eastAsiaTheme="minorEastAsia"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A582F"/>
    <w:multiLevelType w:val="hybridMultilevel"/>
    <w:tmpl w:val="9C60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D1AAC"/>
    <w:multiLevelType w:val="hybridMultilevel"/>
    <w:tmpl w:val="05726250"/>
    <w:lvl w:ilvl="0" w:tplc="19180062">
      <w:start w:val="25"/>
      <w:numFmt w:val="bullet"/>
      <w:lvlText w:val=""/>
      <w:lvlJc w:val="left"/>
      <w:pPr>
        <w:ind w:left="768" w:hanging="360"/>
      </w:pPr>
      <w:rPr>
        <w:rFonts w:ascii="Symbol" w:eastAsiaTheme="minorEastAsia" w:hAnsi="Symbol" w:cstheme="minorBidi" w:hint="default"/>
        <w:b w:val="0"/>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1" w15:restartNumberingAfterBreak="0">
    <w:nsid w:val="5FF05741"/>
    <w:multiLevelType w:val="hybridMultilevel"/>
    <w:tmpl w:val="420ADF5C"/>
    <w:lvl w:ilvl="0" w:tplc="7A3AA6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013023E"/>
    <w:multiLevelType w:val="hybridMultilevel"/>
    <w:tmpl w:val="4344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00A2B"/>
    <w:multiLevelType w:val="hybridMultilevel"/>
    <w:tmpl w:val="3DBA8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422694"/>
    <w:multiLevelType w:val="hybridMultilevel"/>
    <w:tmpl w:val="777408BE"/>
    <w:lvl w:ilvl="0" w:tplc="E8FEE59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65A06845"/>
    <w:multiLevelType w:val="hybridMultilevel"/>
    <w:tmpl w:val="5060C10E"/>
    <w:lvl w:ilvl="0" w:tplc="B89CD4F4">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981C50"/>
    <w:multiLevelType w:val="hybridMultilevel"/>
    <w:tmpl w:val="96909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4F7379"/>
    <w:multiLevelType w:val="hybridMultilevel"/>
    <w:tmpl w:val="6D56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C739BC"/>
    <w:multiLevelType w:val="hybridMultilevel"/>
    <w:tmpl w:val="540A9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EB6BCF"/>
    <w:multiLevelType w:val="hybridMultilevel"/>
    <w:tmpl w:val="7A08F524"/>
    <w:lvl w:ilvl="0" w:tplc="1706A9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6F53AA"/>
    <w:multiLevelType w:val="hybridMultilevel"/>
    <w:tmpl w:val="B1B2AEFC"/>
    <w:lvl w:ilvl="0" w:tplc="788AB3AE">
      <w:start w:val="25"/>
      <w:numFmt w:val="bullet"/>
      <w:lvlText w:val=""/>
      <w:lvlJc w:val="left"/>
      <w:pPr>
        <w:ind w:left="408" w:hanging="360"/>
      </w:pPr>
      <w:rPr>
        <w:rFonts w:ascii="Symbol" w:eastAsiaTheme="minorEastAsia"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1" w15:restartNumberingAfterBreak="0">
    <w:nsid w:val="778E666B"/>
    <w:multiLevelType w:val="hybridMultilevel"/>
    <w:tmpl w:val="E4F2A1A6"/>
    <w:lvl w:ilvl="0" w:tplc="4DE0EF74">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3"/>
  </w:num>
  <w:num w:numId="3">
    <w:abstractNumId w:val="22"/>
  </w:num>
  <w:num w:numId="4">
    <w:abstractNumId w:val="27"/>
  </w:num>
  <w:num w:numId="5">
    <w:abstractNumId w:val="2"/>
  </w:num>
  <w:num w:numId="6">
    <w:abstractNumId w:val="19"/>
  </w:num>
  <w:num w:numId="7">
    <w:abstractNumId w:val="11"/>
  </w:num>
  <w:num w:numId="8">
    <w:abstractNumId w:val="29"/>
  </w:num>
  <w:num w:numId="9">
    <w:abstractNumId w:val="15"/>
  </w:num>
  <w:num w:numId="10">
    <w:abstractNumId w:val="12"/>
  </w:num>
  <w:num w:numId="11">
    <w:abstractNumId w:val="3"/>
  </w:num>
  <w:num w:numId="12">
    <w:abstractNumId w:val="13"/>
  </w:num>
  <w:num w:numId="13">
    <w:abstractNumId w:val="10"/>
  </w:num>
  <w:num w:numId="14">
    <w:abstractNumId w:val="28"/>
  </w:num>
  <w:num w:numId="15">
    <w:abstractNumId w:val="26"/>
  </w:num>
  <w:num w:numId="16">
    <w:abstractNumId w:val="16"/>
  </w:num>
  <w:num w:numId="17">
    <w:abstractNumId w:val="9"/>
  </w:num>
  <w:num w:numId="18">
    <w:abstractNumId w:val="14"/>
  </w:num>
  <w:num w:numId="19">
    <w:abstractNumId w:val="1"/>
  </w:num>
  <w:num w:numId="20">
    <w:abstractNumId w:val="5"/>
  </w:num>
  <w:num w:numId="21">
    <w:abstractNumId w:val="4"/>
  </w:num>
  <w:num w:numId="22">
    <w:abstractNumId w:val="30"/>
  </w:num>
  <w:num w:numId="23">
    <w:abstractNumId w:val="20"/>
  </w:num>
  <w:num w:numId="24">
    <w:abstractNumId w:val="18"/>
  </w:num>
  <w:num w:numId="25">
    <w:abstractNumId w:val="6"/>
  </w:num>
  <w:num w:numId="26">
    <w:abstractNumId w:val="31"/>
  </w:num>
  <w:num w:numId="27">
    <w:abstractNumId w:val="25"/>
  </w:num>
  <w:num w:numId="28">
    <w:abstractNumId w:val="21"/>
  </w:num>
  <w:num w:numId="29">
    <w:abstractNumId w:val="7"/>
  </w:num>
  <w:num w:numId="30">
    <w:abstractNumId w:val="0"/>
  </w:num>
  <w:num w:numId="31">
    <w:abstractNumId w:val="2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9B755B"/>
    <w:rsid w:val="00061E86"/>
    <w:rsid w:val="002136AA"/>
    <w:rsid w:val="00264BD6"/>
    <w:rsid w:val="002A48B1"/>
    <w:rsid w:val="00351DB3"/>
    <w:rsid w:val="00363B2A"/>
    <w:rsid w:val="00372007"/>
    <w:rsid w:val="00397EB4"/>
    <w:rsid w:val="003E7D3B"/>
    <w:rsid w:val="00406D11"/>
    <w:rsid w:val="00431BE7"/>
    <w:rsid w:val="00494E72"/>
    <w:rsid w:val="004C20A5"/>
    <w:rsid w:val="00501D68"/>
    <w:rsid w:val="0050747D"/>
    <w:rsid w:val="00545822"/>
    <w:rsid w:val="00551586"/>
    <w:rsid w:val="005C01F7"/>
    <w:rsid w:val="00637D7F"/>
    <w:rsid w:val="006839CC"/>
    <w:rsid w:val="00685E77"/>
    <w:rsid w:val="006A6DB3"/>
    <w:rsid w:val="006A7D5F"/>
    <w:rsid w:val="00732B01"/>
    <w:rsid w:val="007C3241"/>
    <w:rsid w:val="00824AEF"/>
    <w:rsid w:val="00825FA2"/>
    <w:rsid w:val="00894FA8"/>
    <w:rsid w:val="008D0FC9"/>
    <w:rsid w:val="008E0C84"/>
    <w:rsid w:val="0095715F"/>
    <w:rsid w:val="009B755B"/>
    <w:rsid w:val="009D386B"/>
    <w:rsid w:val="009D7695"/>
    <w:rsid w:val="00A774F4"/>
    <w:rsid w:val="00BF1E2C"/>
    <w:rsid w:val="00C159C3"/>
    <w:rsid w:val="00C733B3"/>
    <w:rsid w:val="00D56FF8"/>
    <w:rsid w:val="00D644B1"/>
    <w:rsid w:val="00D82091"/>
    <w:rsid w:val="00DC6B04"/>
    <w:rsid w:val="00E150E6"/>
    <w:rsid w:val="00E22839"/>
    <w:rsid w:val="00E836B2"/>
    <w:rsid w:val="00E94203"/>
    <w:rsid w:val="00ED3C88"/>
    <w:rsid w:val="00F34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3A5E"/>
  <w15:chartTrackingRefBased/>
  <w15:docId w15:val="{CF7EF89D-6678-47BE-A1C7-D0C35863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E86"/>
    <w:pPr>
      <w:spacing w:after="0" w:line="480" w:lineRule="auto"/>
      <w:ind w:left="142" w:right="142"/>
    </w:pPr>
    <w:rPr>
      <w:rFonts w:ascii="Times New Roman" w:eastAsiaTheme="minorEastAsia" w:hAnsi="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55B"/>
    <w:rPr>
      <w:color w:val="808080"/>
    </w:rPr>
  </w:style>
  <w:style w:type="character" w:styleId="Hyperlink">
    <w:name w:val="Hyperlink"/>
    <w:basedOn w:val="DefaultParagraphFont"/>
    <w:uiPriority w:val="99"/>
    <w:unhideWhenUsed/>
    <w:rsid w:val="009B755B"/>
    <w:rPr>
      <w:color w:val="0563C1" w:themeColor="hyperlink"/>
      <w:u w:val="single"/>
    </w:rPr>
  </w:style>
  <w:style w:type="paragraph" w:styleId="ListParagraph">
    <w:name w:val="List Paragraph"/>
    <w:basedOn w:val="Normal"/>
    <w:uiPriority w:val="34"/>
    <w:qFormat/>
    <w:rsid w:val="009B755B"/>
    <w:pPr>
      <w:ind w:left="720"/>
      <w:contextualSpacing/>
    </w:pPr>
  </w:style>
  <w:style w:type="paragraph" w:styleId="BalloonText">
    <w:name w:val="Balloon Text"/>
    <w:basedOn w:val="Normal"/>
    <w:link w:val="BalloonTextChar"/>
    <w:uiPriority w:val="99"/>
    <w:semiHidden/>
    <w:unhideWhenUsed/>
    <w:rsid w:val="009B75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55B"/>
    <w:rPr>
      <w:rFonts w:ascii="Segoe UI" w:eastAsiaTheme="minorEastAsia" w:hAnsi="Segoe UI" w:cs="Segoe UI"/>
      <w:sz w:val="18"/>
      <w:szCs w:val="18"/>
      <w:lang w:eastAsia="zh-CN"/>
    </w:rPr>
  </w:style>
  <w:style w:type="paragraph" w:customStyle="1" w:styleId="MTDisplayEquation">
    <w:name w:val="MTDisplayEquation"/>
    <w:basedOn w:val="Normal"/>
    <w:next w:val="Normal"/>
    <w:link w:val="MTDisplayEquationChar"/>
    <w:rsid w:val="009B755B"/>
    <w:pPr>
      <w:tabs>
        <w:tab w:val="center" w:pos="4520"/>
        <w:tab w:val="right" w:pos="9020"/>
      </w:tabs>
    </w:pPr>
    <w:rPr>
      <w:szCs w:val="24"/>
    </w:rPr>
  </w:style>
  <w:style w:type="character" w:customStyle="1" w:styleId="MTDisplayEquationChar">
    <w:name w:val="MTDisplayEquation Char"/>
    <w:basedOn w:val="DefaultParagraphFont"/>
    <w:link w:val="MTDisplayEquation"/>
    <w:rsid w:val="009B755B"/>
    <w:rPr>
      <w:rFonts w:ascii="Times New Roman" w:eastAsiaTheme="minorEastAsia" w:hAnsi="Times New Roman"/>
      <w:szCs w:val="24"/>
      <w:lang w:eastAsia="zh-CN"/>
    </w:rPr>
  </w:style>
  <w:style w:type="paragraph" w:customStyle="1" w:styleId="Default">
    <w:name w:val="Default"/>
    <w:rsid w:val="009B755B"/>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styleId="CommentReference">
    <w:name w:val="annotation reference"/>
    <w:basedOn w:val="DefaultParagraphFont"/>
    <w:uiPriority w:val="99"/>
    <w:semiHidden/>
    <w:unhideWhenUsed/>
    <w:rsid w:val="009B755B"/>
    <w:rPr>
      <w:sz w:val="16"/>
      <w:szCs w:val="16"/>
    </w:rPr>
  </w:style>
  <w:style w:type="paragraph" w:styleId="CommentText">
    <w:name w:val="annotation text"/>
    <w:basedOn w:val="Normal"/>
    <w:link w:val="CommentTextChar"/>
    <w:uiPriority w:val="99"/>
    <w:unhideWhenUsed/>
    <w:rsid w:val="009B755B"/>
    <w:pPr>
      <w:spacing w:line="240" w:lineRule="auto"/>
    </w:pPr>
    <w:rPr>
      <w:sz w:val="20"/>
      <w:szCs w:val="20"/>
    </w:rPr>
  </w:style>
  <w:style w:type="character" w:customStyle="1" w:styleId="CommentTextChar">
    <w:name w:val="Comment Text Char"/>
    <w:basedOn w:val="DefaultParagraphFont"/>
    <w:link w:val="CommentText"/>
    <w:uiPriority w:val="99"/>
    <w:rsid w:val="009B755B"/>
    <w:rPr>
      <w:rFonts w:ascii="Times New Roman" w:eastAsiaTheme="minorEastAsia" w:hAnsi="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9B755B"/>
    <w:rPr>
      <w:b/>
      <w:bCs/>
    </w:rPr>
  </w:style>
  <w:style w:type="character" w:customStyle="1" w:styleId="CommentSubjectChar">
    <w:name w:val="Comment Subject Char"/>
    <w:basedOn w:val="CommentTextChar"/>
    <w:link w:val="CommentSubject"/>
    <w:uiPriority w:val="99"/>
    <w:semiHidden/>
    <w:rsid w:val="009B755B"/>
    <w:rPr>
      <w:rFonts w:ascii="Times New Roman" w:eastAsiaTheme="minorEastAsia" w:hAnsi="Times New Roman"/>
      <w:b/>
      <w:bCs/>
      <w:sz w:val="20"/>
      <w:szCs w:val="20"/>
      <w:lang w:eastAsia="zh-CN"/>
    </w:rPr>
  </w:style>
  <w:style w:type="paragraph" w:styleId="Revision">
    <w:name w:val="Revision"/>
    <w:hidden/>
    <w:uiPriority w:val="99"/>
    <w:semiHidden/>
    <w:rsid w:val="009B755B"/>
    <w:pPr>
      <w:spacing w:after="0" w:line="240" w:lineRule="auto"/>
    </w:pPr>
    <w:rPr>
      <w:rFonts w:eastAsiaTheme="minorEastAsia"/>
      <w:lang w:eastAsia="zh-CN"/>
    </w:rPr>
  </w:style>
  <w:style w:type="paragraph" w:styleId="Header">
    <w:name w:val="header"/>
    <w:basedOn w:val="Normal"/>
    <w:link w:val="HeaderChar"/>
    <w:uiPriority w:val="99"/>
    <w:unhideWhenUsed/>
    <w:rsid w:val="009B755B"/>
    <w:pPr>
      <w:tabs>
        <w:tab w:val="center" w:pos="4680"/>
        <w:tab w:val="right" w:pos="9360"/>
      </w:tabs>
      <w:spacing w:line="240" w:lineRule="auto"/>
    </w:pPr>
  </w:style>
  <w:style w:type="character" w:customStyle="1" w:styleId="HeaderChar">
    <w:name w:val="Header Char"/>
    <w:basedOn w:val="DefaultParagraphFont"/>
    <w:link w:val="Header"/>
    <w:uiPriority w:val="99"/>
    <w:rsid w:val="009B755B"/>
    <w:rPr>
      <w:rFonts w:ascii="Times New Roman" w:eastAsiaTheme="minorEastAsia" w:hAnsi="Times New Roman"/>
      <w:lang w:eastAsia="zh-CN"/>
    </w:rPr>
  </w:style>
  <w:style w:type="paragraph" w:styleId="Footer">
    <w:name w:val="footer"/>
    <w:basedOn w:val="Normal"/>
    <w:link w:val="FooterChar"/>
    <w:uiPriority w:val="99"/>
    <w:unhideWhenUsed/>
    <w:rsid w:val="009B755B"/>
    <w:pPr>
      <w:tabs>
        <w:tab w:val="center" w:pos="4680"/>
        <w:tab w:val="right" w:pos="9360"/>
      </w:tabs>
      <w:spacing w:line="240" w:lineRule="auto"/>
    </w:pPr>
  </w:style>
  <w:style w:type="character" w:customStyle="1" w:styleId="FooterChar">
    <w:name w:val="Footer Char"/>
    <w:basedOn w:val="DefaultParagraphFont"/>
    <w:link w:val="Footer"/>
    <w:uiPriority w:val="99"/>
    <w:rsid w:val="009B755B"/>
    <w:rPr>
      <w:rFonts w:ascii="Times New Roman" w:eastAsiaTheme="minorEastAsia" w:hAnsi="Times New Roman"/>
      <w:lang w:eastAsia="zh-CN"/>
    </w:rPr>
  </w:style>
  <w:style w:type="paragraph" w:styleId="NormalWeb">
    <w:name w:val="Normal (Web)"/>
    <w:basedOn w:val="Normal"/>
    <w:uiPriority w:val="99"/>
    <w:semiHidden/>
    <w:unhideWhenUsed/>
    <w:rsid w:val="009B755B"/>
    <w:pPr>
      <w:spacing w:before="100" w:beforeAutospacing="1" w:after="100" w:afterAutospacing="1" w:line="240" w:lineRule="auto"/>
    </w:pPr>
    <w:rPr>
      <w:rFonts w:cs="Times New Roman"/>
      <w:szCs w:val="24"/>
      <w:lang w:val="en-US" w:eastAsia="en-US"/>
    </w:rPr>
  </w:style>
  <w:style w:type="table" w:styleId="TableGrid">
    <w:name w:val="Table Grid"/>
    <w:basedOn w:val="TableNormal"/>
    <w:uiPriority w:val="39"/>
    <w:rsid w:val="009B755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B755B"/>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B755B"/>
    <w:rPr>
      <w:rFonts w:ascii="Calibri" w:eastAsiaTheme="minorEastAsia" w:hAnsi="Calibri"/>
      <w:noProof/>
      <w:lang w:eastAsia="zh-CN"/>
    </w:rPr>
  </w:style>
  <w:style w:type="paragraph" w:customStyle="1" w:styleId="EndNoteBibliography">
    <w:name w:val="EndNote Bibliography"/>
    <w:basedOn w:val="Normal"/>
    <w:link w:val="EndNoteBibliographyChar"/>
    <w:rsid w:val="009B755B"/>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9B755B"/>
    <w:rPr>
      <w:rFonts w:ascii="Calibri" w:eastAsiaTheme="minorEastAsia" w:hAnsi="Calibri"/>
      <w:noProof/>
      <w:lang w:eastAsia="zh-CN"/>
    </w:rPr>
  </w:style>
  <w:style w:type="character" w:customStyle="1" w:styleId="UnresolvedMention1">
    <w:name w:val="Unresolved Mention1"/>
    <w:basedOn w:val="DefaultParagraphFont"/>
    <w:uiPriority w:val="99"/>
    <w:semiHidden/>
    <w:unhideWhenUsed/>
    <w:rsid w:val="009B755B"/>
    <w:rPr>
      <w:color w:val="808080"/>
      <w:shd w:val="clear" w:color="auto" w:fill="E6E6E6"/>
    </w:rPr>
  </w:style>
  <w:style w:type="character" w:customStyle="1" w:styleId="UnresolvedMention2">
    <w:name w:val="Unresolved Mention2"/>
    <w:basedOn w:val="DefaultParagraphFont"/>
    <w:uiPriority w:val="99"/>
    <w:semiHidden/>
    <w:unhideWhenUsed/>
    <w:rsid w:val="009B755B"/>
    <w:rPr>
      <w:color w:val="808080"/>
      <w:shd w:val="clear" w:color="auto" w:fill="E6E6E6"/>
    </w:rPr>
  </w:style>
  <w:style w:type="character" w:styleId="HTMLCite">
    <w:name w:val="HTML Cite"/>
    <w:basedOn w:val="DefaultParagraphFont"/>
    <w:uiPriority w:val="99"/>
    <w:semiHidden/>
    <w:unhideWhenUsed/>
    <w:rsid w:val="009B755B"/>
    <w:rPr>
      <w:i/>
      <w:iCs/>
    </w:rPr>
  </w:style>
  <w:style w:type="character" w:customStyle="1" w:styleId="author">
    <w:name w:val="author"/>
    <w:basedOn w:val="DefaultParagraphFont"/>
    <w:rsid w:val="009B755B"/>
  </w:style>
  <w:style w:type="character" w:customStyle="1" w:styleId="articletitle">
    <w:name w:val="articletitle"/>
    <w:basedOn w:val="DefaultParagraphFont"/>
    <w:rsid w:val="009B755B"/>
  </w:style>
  <w:style w:type="character" w:customStyle="1" w:styleId="journaltitle">
    <w:name w:val="journaltitle"/>
    <w:basedOn w:val="DefaultParagraphFont"/>
    <w:rsid w:val="009B755B"/>
  </w:style>
  <w:style w:type="character" w:customStyle="1" w:styleId="pubyear">
    <w:name w:val="pubyear"/>
    <w:basedOn w:val="DefaultParagraphFont"/>
    <w:rsid w:val="009B755B"/>
  </w:style>
  <w:style w:type="character" w:customStyle="1" w:styleId="vol">
    <w:name w:val="vol"/>
    <w:basedOn w:val="DefaultParagraphFont"/>
    <w:rsid w:val="009B755B"/>
  </w:style>
  <w:style w:type="character" w:customStyle="1" w:styleId="citedissue">
    <w:name w:val="citedissue"/>
    <w:basedOn w:val="DefaultParagraphFont"/>
    <w:rsid w:val="009B755B"/>
  </w:style>
  <w:style w:type="character" w:customStyle="1" w:styleId="pagefirst">
    <w:name w:val="pagefirst"/>
    <w:basedOn w:val="DefaultParagraphFont"/>
    <w:rsid w:val="009B755B"/>
  </w:style>
  <w:style w:type="character" w:customStyle="1" w:styleId="pagelast">
    <w:name w:val="pagelast"/>
    <w:basedOn w:val="DefaultParagraphFont"/>
    <w:rsid w:val="009B755B"/>
  </w:style>
  <w:style w:type="character" w:customStyle="1" w:styleId="mixed-citation">
    <w:name w:val="mixed-citation"/>
    <w:basedOn w:val="DefaultParagraphFont"/>
    <w:rsid w:val="009B755B"/>
  </w:style>
  <w:style w:type="character" w:customStyle="1" w:styleId="ref-journal">
    <w:name w:val="ref-journal"/>
    <w:basedOn w:val="DefaultParagraphFont"/>
    <w:rsid w:val="009B755B"/>
  </w:style>
  <w:style w:type="character" w:customStyle="1" w:styleId="ref-vol">
    <w:name w:val="ref-vol"/>
    <w:basedOn w:val="DefaultParagraphFont"/>
    <w:rsid w:val="009B755B"/>
  </w:style>
  <w:style w:type="character" w:customStyle="1" w:styleId="UnresolvedMention3">
    <w:name w:val="Unresolved Mention3"/>
    <w:basedOn w:val="DefaultParagraphFont"/>
    <w:uiPriority w:val="99"/>
    <w:semiHidden/>
    <w:unhideWhenUsed/>
    <w:rsid w:val="009B755B"/>
    <w:rPr>
      <w:color w:val="808080"/>
      <w:shd w:val="clear" w:color="auto" w:fill="E6E6E6"/>
    </w:rPr>
  </w:style>
  <w:style w:type="character" w:customStyle="1" w:styleId="UnresolvedMention4">
    <w:name w:val="Unresolved Mention4"/>
    <w:basedOn w:val="DefaultParagraphFont"/>
    <w:uiPriority w:val="99"/>
    <w:semiHidden/>
    <w:unhideWhenUsed/>
    <w:rsid w:val="009B755B"/>
    <w:rPr>
      <w:color w:val="808080"/>
      <w:shd w:val="clear" w:color="auto" w:fill="E6E6E6"/>
    </w:rPr>
  </w:style>
  <w:style w:type="character" w:styleId="Emphasis">
    <w:name w:val="Emphasis"/>
    <w:basedOn w:val="DefaultParagraphFont"/>
    <w:uiPriority w:val="20"/>
    <w:qFormat/>
    <w:rsid w:val="009B755B"/>
    <w:rPr>
      <w:i/>
      <w:iCs/>
    </w:rPr>
  </w:style>
  <w:style w:type="character" w:styleId="LineNumber">
    <w:name w:val="line number"/>
    <w:basedOn w:val="DefaultParagraphFont"/>
    <w:uiPriority w:val="99"/>
    <w:semiHidden/>
    <w:unhideWhenUsed/>
    <w:rsid w:val="009B755B"/>
  </w:style>
  <w:style w:type="character" w:customStyle="1" w:styleId="UnresolvedMention5">
    <w:name w:val="Unresolved Mention5"/>
    <w:basedOn w:val="DefaultParagraphFont"/>
    <w:uiPriority w:val="99"/>
    <w:semiHidden/>
    <w:unhideWhenUsed/>
    <w:rsid w:val="009B755B"/>
    <w:rPr>
      <w:color w:val="605E5C"/>
      <w:shd w:val="clear" w:color="auto" w:fill="E1DFDD"/>
    </w:rPr>
  </w:style>
  <w:style w:type="character" w:customStyle="1" w:styleId="UnresolvedMention6">
    <w:name w:val="Unresolved Mention6"/>
    <w:basedOn w:val="DefaultParagraphFont"/>
    <w:uiPriority w:val="99"/>
    <w:semiHidden/>
    <w:unhideWhenUsed/>
    <w:rsid w:val="009B755B"/>
    <w:rPr>
      <w:color w:val="605E5C"/>
      <w:shd w:val="clear" w:color="auto" w:fill="E1DFDD"/>
    </w:rPr>
  </w:style>
  <w:style w:type="character" w:styleId="UnresolvedMention">
    <w:name w:val="Unresolved Mention"/>
    <w:basedOn w:val="DefaultParagraphFont"/>
    <w:uiPriority w:val="99"/>
    <w:semiHidden/>
    <w:unhideWhenUsed/>
    <w:rsid w:val="009B7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Ades</dc:creator>
  <cp:keywords/>
  <dc:description/>
  <cp:lastModifiedBy>Caroline Burson</cp:lastModifiedBy>
  <cp:revision>2</cp:revision>
  <dcterms:created xsi:type="dcterms:W3CDTF">2019-02-03T20:04:00Z</dcterms:created>
  <dcterms:modified xsi:type="dcterms:W3CDTF">2019-02-03T20:04:00Z</dcterms:modified>
</cp:coreProperties>
</file>