
<file path=[Content_Types].xml><?xml version="1.0" encoding="utf-8"?>
<Types xmlns="http://schemas.openxmlformats.org/package/2006/content-types">
  <Default Extension="xml" ContentType="application/xml"/>
  <Default Extension="tif" ContentType="image/tiff"/>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571E8B" w14:textId="77777777" w:rsidR="004934E6" w:rsidRDefault="004934E6" w:rsidP="004934E6">
      <w:pPr>
        <w:pStyle w:val="Heading1"/>
      </w:pPr>
      <w:r>
        <w:t>Epidemiology and Infection</w:t>
      </w:r>
    </w:p>
    <w:p w14:paraId="2AAC2CCE" w14:textId="04FC408A" w:rsidR="004934E6" w:rsidRDefault="004934E6" w:rsidP="004934E6">
      <w:pPr>
        <w:pStyle w:val="Heading1"/>
      </w:pPr>
      <w:r w:rsidRPr="004934E6">
        <w:t xml:space="preserve">Modelling diverse sources of </w:t>
      </w:r>
      <w:bookmarkStart w:id="0" w:name="_GoBack"/>
      <w:bookmarkEnd w:id="0"/>
      <w:r w:rsidR="00BB0639" w:rsidRPr="00BB0639">
        <w:rPr>
          <w:i/>
        </w:rPr>
        <w:t>Clostridium difficile</w:t>
      </w:r>
      <w:r w:rsidRPr="004934E6">
        <w:t xml:space="preserve"> in the community: importance of animals, infants and asymptomatic carriers</w:t>
      </w:r>
      <w:r>
        <w:t xml:space="preserve"> – Supplementary Material</w:t>
      </w:r>
    </w:p>
    <w:p w14:paraId="0B531BC3" w14:textId="77777777" w:rsidR="004934E6" w:rsidRDefault="004934E6" w:rsidP="004934E6"/>
    <w:p w14:paraId="096C5B04" w14:textId="45B6A7E0" w:rsidR="004934E6" w:rsidRDefault="004934E6" w:rsidP="004934E6">
      <w:r>
        <w:t>Angus McLure, Archie C. A. Clements, Martyn Kirk and Kathryn Glass</w:t>
      </w:r>
    </w:p>
    <w:p w14:paraId="6F72A534" w14:textId="45CDC7C0" w:rsidR="00AF067A" w:rsidRDefault="00AF067A" w:rsidP="004934E6">
      <w:pPr>
        <w:pStyle w:val="Heading2"/>
      </w:pPr>
      <w:r>
        <w:t>F</w:t>
      </w:r>
      <w:r w:rsidR="000D32FE">
        <w:t>urther</w:t>
      </w:r>
      <w:r>
        <w:t xml:space="preserve"> details of model structure and parameters</w:t>
      </w:r>
    </w:p>
    <w:p w14:paraId="3781EF54" w14:textId="77777777" w:rsidR="00AF067A" w:rsidRDefault="00AF067A" w:rsidP="004934E6">
      <w:pPr>
        <w:pStyle w:val="Heading3"/>
      </w:pPr>
      <w:r>
        <w:t>Demographics</w:t>
      </w:r>
    </w:p>
    <w:p w14:paraId="0EC736FF" w14:textId="5C4492B2" w:rsidR="00AF067A" w:rsidRDefault="00653948" w:rsidP="00985E70">
      <w:pPr>
        <w:jc w:val="both"/>
      </w:pPr>
      <w:r>
        <w:t xml:space="preserve">The demographic structure of the model is summarised in </w:t>
      </w:r>
      <w:r>
        <w:fldChar w:fldCharType="begin"/>
      </w:r>
      <w:r>
        <w:instrText xml:space="preserve"> REF _Ref508875310 \h </w:instrText>
      </w:r>
      <w:r>
        <w:fldChar w:fldCharType="separate"/>
      </w:r>
      <w:r w:rsidRPr="00B45891">
        <w:rPr>
          <w:b/>
        </w:rPr>
        <w:t xml:space="preserve">Supp. Figure </w:t>
      </w:r>
      <w:r w:rsidRPr="00B45891">
        <w:rPr>
          <w:b/>
          <w:noProof/>
        </w:rPr>
        <w:t>1</w:t>
      </w:r>
      <w:r>
        <w:fldChar w:fldCharType="end"/>
      </w:r>
      <w:r>
        <w:t xml:space="preserve">. </w:t>
      </w:r>
      <w:r w:rsidR="00AF067A">
        <w:t xml:space="preserve">All individuals are born into the infant class without immunity or colonisation. </w:t>
      </w:r>
      <w:r w:rsidR="00786612">
        <w:t>We assume the population is closed without</w:t>
      </w:r>
      <w:r w:rsidR="00AF067A">
        <w:t xml:space="preserve"> immigration</w:t>
      </w:r>
      <w:r w:rsidR="00786612">
        <w:t xml:space="preserve"> or emigration</w:t>
      </w:r>
      <w:r w:rsidR="00AF067A">
        <w:t xml:space="preserve">. The birth rate is chosen to balanced deaths such that the equilibrium population is </w:t>
      </w:r>
      <w:proofErr w:type="spellStart"/>
      <w:r w:rsidR="00AF067A">
        <w:t>N</w:t>
      </w:r>
      <w:r w:rsidR="00AF067A" w:rsidRPr="00E710B6">
        <w:rPr>
          <w:vertAlign w:val="subscript"/>
        </w:rPr>
        <w:t>Comm</w:t>
      </w:r>
      <w:proofErr w:type="spellEnd"/>
      <w:r w:rsidR="00AF067A">
        <w:t xml:space="preserve"> (100,000). Infants age to become </w:t>
      </w:r>
      <w:r w:rsidR="00985E70">
        <w:t>(</w:t>
      </w:r>
      <w:r w:rsidR="00AF067A">
        <w:t>non-suppressed</w:t>
      </w:r>
      <w:r w:rsidR="00985E70">
        <w:t>)</w:t>
      </w:r>
      <w:r w:rsidR="00AF067A">
        <w:t xml:space="preserve"> adults at rate </w:t>
      </w:r>
      <w:r w:rsidR="00AF067A">
        <w:rPr>
          <w:lang w:val="el-GR"/>
        </w:rPr>
        <w:t>ζ</w:t>
      </w:r>
      <w:r w:rsidR="00AF067A">
        <w:t xml:space="preserve"> (</w:t>
      </w:r>
      <w:r w:rsidR="00AF067A" w:rsidRPr="00E710B6">
        <w:rPr>
          <w:lang w:val="el-GR"/>
        </w:rPr>
        <w:t>ζ</w:t>
      </w:r>
      <w:r w:rsidR="00AF067A">
        <w:rPr>
          <w:vertAlign w:val="superscript"/>
        </w:rPr>
        <w:t>-</w:t>
      </w:r>
      <w:r w:rsidR="00AF067A" w:rsidRPr="00E710B6">
        <w:rPr>
          <w:vertAlign w:val="superscript"/>
        </w:rPr>
        <w:t>1</w:t>
      </w:r>
      <w:r w:rsidR="00AF067A" w:rsidRPr="00C63F43">
        <w:t xml:space="preserve"> </w:t>
      </w:r>
      <w:r w:rsidR="00C63F43" w:rsidRPr="00E710B6">
        <w:t>=</w:t>
      </w:r>
      <w:r w:rsidR="00C63F43">
        <w:t xml:space="preserve"> 1</w:t>
      </w:r>
      <w:r w:rsidR="00AF067A">
        <w:t xml:space="preserve"> year). Non-suppressed adults and infants age slowly to become suppressed adults at rate </w:t>
      </w:r>
      <w:r w:rsidR="00AF067A" w:rsidRPr="00E710B6">
        <w:rPr>
          <w:lang w:val="el-GR"/>
        </w:rPr>
        <w:t>ψ</w:t>
      </w:r>
      <w:r w:rsidR="00BE3E53">
        <w:t xml:space="preserve"> such that the median time to age is 65 years (</w:t>
      </w:r>
      <m:oMath>
        <m:r>
          <w:rPr>
            <w:rFonts w:ascii="Cambria Math" w:hAnsi="Cambria Math"/>
            <w:lang w:val="el-GR"/>
          </w:rPr>
          <m:t>ψ</m:t>
        </m:r>
        <m:r>
          <w:rPr>
            <w:rFonts w:ascii="Cambria Math" w:hAnsi="Cambria Math"/>
          </w:rPr>
          <m:t xml:space="preserve"> =</m:t>
        </m:r>
        <m:f>
          <m:fPr>
            <m:ctrlPr>
              <w:rPr>
                <w:rFonts w:ascii="Cambria Math" w:eastAsiaTheme="minorEastAsia" w:hAnsi="Cambria Math"/>
                <w:i/>
              </w:rPr>
            </m:ctrlPr>
          </m:fPr>
          <m:num>
            <m:func>
              <m:funcPr>
                <m:ctrlPr>
                  <w:rPr>
                    <w:rFonts w:ascii="Cambria Math" w:eastAsiaTheme="minorEastAsia" w:hAnsi="Cambria Math"/>
                    <w:i/>
                  </w:rPr>
                </m:ctrlPr>
              </m:funcPr>
              <m:fName>
                <m:r>
                  <m:rPr>
                    <m:sty m:val="p"/>
                  </m:rPr>
                  <w:rPr>
                    <w:rFonts w:ascii="Cambria Math" w:hAnsi="Cambria Math"/>
                  </w:rPr>
                  <m:t>ln</m:t>
                </m:r>
              </m:fName>
              <m:e>
                <m:r>
                  <w:rPr>
                    <w:rFonts w:ascii="Cambria Math" w:eastAsiaTheme="minorEastAsia" w:hAnsi="Cambria Math"/>
                  </w:rPr>
                  <m:t>2</m:t>
                </m:r>
              </m:e>
            </m:func>
          </m:num>
          <m:den>
            <m:r>
              <w:rPr>
                <w:rFonts w:ascii="Cambria Math" w:eastAsiaTheme="minorEastAsia" w:hAnsi="Cambria Math"/>
              </w:rPr>
              <m:t>65×365</m:t>
            </m:r>
          </m:den>
        </m:f>
        <m:sSup>
          <m:sSupPr>
            <m:ctrlPr>
              <w:rPr>
                <w:rFonts w:ascii="Cambria Math" w:eastAsiaTheme="minorEastAsia" w:hAnsi="Cambria Math"/>
              </w:rPr>
            </m:ctrlPr>
          </m:sSupPr>
          <m:e>
            <m:r>
              <m:rPr>
                <m:sty m:val="p"/>
              </m:rPr>
              <w:rPr>
                <w:rFonts w:ascii="Cambria Math" w:eastAsiaTheme="minorEastAsia" w:hAnsi="Cambria Math"/>
              </w:rPr>
              <m:t>day</m:t>
            </m:r>
          </m:e>
          <m:sup>
            <m:r>
              <w:rPr>
                <w:rFonts w:ascii="Cambria Math" w:eastAsiaTheme="minorEastAsia" w:hAnsi="Cambria Math"/>
              </w:rPr>
              <m:t>-1</m:t>
            </m:r>
          </m:sup>
        </m:sSup>
      </m:oMath>
      <w:r w:rsidR="00BE3E53">
        <w:t>).</w:t>
      </w:r>
    </w:p>
    <w:p w14:paraId="01855E5E" w14:textId="03C03B4A" w:rsidR="00AF067A" w:rsidRDefault="00AF067A" w:rsidP="00725882">
      <w:pPr>
        <w:spacing w:after="240"/>
        <w:jc w:val="both"/>
        <w:rPr>
          <w:rFonts w:eastAsiaTheme="minorEastAsia"/>
        </w:rPr>
      </w:pPr>
      <w:r>
        <w:t>There are two death rates: one rate for infants and non-supressed adults (</w:t>
      </w:r>
      <w:r w:rsidRPr="00E710B6">
        <w:rPr>
          <w:lang w:val="el-GR"/>
        </w:rPr>
        <w:t>φ</w:t>
      </w:r>
      <w:r>
        <w:t>) and a much higher rate for supressed/elderly adults (</w:t>
      </w:r>
      <w:r w:rsidRPr="00E710B6">
        <w:rPr>
          <w:lang w:val="el-GR"/>
        </w:rPr>
        <w:t>φ</w:t>
      </w:r>
      <w:r w:rsidRPr="00E710B6">
        <w:rPr>
          <w:vertAlign w:val="subscript"/>
        </w:rPr>
        <w:t>U</w:t>
      </w:r>
      <w:r>
        <w:t>). The two death rates are chosen so that proportion in the suppressed class is 13.7% (the proportion of US population over 65</w:t>
      </w:r>
      <w:r w:rsidR="00B80518">
        <w:t xml:space="preserve"> </w:t>
      </w:r>
      <w:r>
        <w:fldChar w:fldCharType="begin" w:fldLock="1"/>
      </w:r>
      <w:r w:rsidR="00B461B6">
        <w:instrText>ADDIN CSL_CITATION {"citationItems":[{"id":"ITEM-1","itemData":{"URL":"http://wonder.cdc.gov/ucd-icd10.html","accessed":{"date-parts":[["2017","12","18"]]},"author":[{"dropping-particle":"","family":"Centers for Disease Control and Prevention - National Center for Health Statistics.","given":"","non-dropping-particle":"","parse-names":false,"suffix":""}],"id":"ITEM-1","issued":{"date-parts":[["0"]]},"title":"CDC Wonder: Underlying Cause of Death, Multiple Cause of Death Files, 1999-2016","type":"webpage"},"uris":["http://www.mendeley.com/documents/?uuid=ff5b17ef-dfd9-4599-a182-d30739ac3cea"]}],"mendeley":{"formattedCitation":"[1]","plainTextFormattedCitation":"[1]","previouslyFormattedCitation":"[1]"},"properties":{"noteIndex":0},"schema":"https://github.com/citation-style-language/schema/raw/master/csl-citation.json"}</w:instrText>
      </w:r>
      <w:r>
        <w:fldChar w:fldCharType="separate"/>
      </w:r>
      <w:r w:rsidR="00B80518" w:rsidRPr="00B80518">
        <w:rPr>
          <w:noProof/>
        </w:rPr>
        <w:t>[1]</w:t>
      </w:r>
      <w:r>
        <w:fldChar w:fldCharType="end"/>
      </w:r>
      <w:r>
        <w:t>) and proportion of deaths in the suppressed class is 72.4% (proportion of deaths that are in people over 65 in the US</w:t>
      </w:r>
      <w:r w:rsidR="00B80518">
        <w:t xml:space="preserve"> </w:t>
      </w:r>
      <w:r>
        <w:fldChar w:fldCharType="begin" w:fldLock="1"/>
      </w:r>
      <w:r w:rsidR="00B461B6">
        <w:instrText>ADDIN CSL_CITATION {"citationItems":[{"id":"ITEM-1","itemData":{"URL":"http://wonder.cdc.gov/ucd-icd10.html","accessed":{"date-parts":[["2017","12","18"]]},"author":[{"dropping-particle":"","family":"Centers for Disease Control and Prevention - National Center for Health Statistics.","given":"","non-dropping-particle":"","parse-names":false,"suffix":""}],"id":"ITEM-1","issued":{"date-parts":[["0"]]},"title":"CDC Wonder: Underlying Cause of Death, Multiple Cause of Death Files, 1999-2016","type":"webpage"},"uris":["http://www.mendeley.com/documents/?uuid=ff5b17ef-dfd9-4599-a182-d30739ac3cea"]}],"mendeley":{"formattedCitation":"[1]","plainTextFormattedCitation":"[1]","previouslyFormattedCitation":"[1]"},"properties":{"noteIndex":0},"schema":"https://github.com/citation-style-language/schema/raw/master/csl-citation.json"}</w:instrText>
      </w:r>
      <w:r>
        <w:fldChar w:fldCharType="separate"/>
      </w:r>
      <w:r w:rsidR="00B80518" w:rsidRPr="00B80518">
        <w:rPr>
          <w:noProof/>
        </w:rPr>
        <w:t>[1]</w:t>
      </w:r>
      <w:r>
        <w:fldChar w:fldCharType="end"/>
      </w:r>
      <w:r>
        <w:t>):</w:t>
      </w:r>
      <w:r w:rsidR="00725882">
        <w:t xml:space="preserve"> </w:t>
      </w:r>
      <m:oMath>
        <m:sSub>
          <m:sSubPr>
            <m:ctrlPr>
              <w:rPr>
                <w:rFonts w:ascii="Cambria Math" w:hAnsi="Cambria Math"/>
                <w:i/>
                <w:lang w:val="el-GR"/>
              </w:rPr>
            </m:ctrlPr>
          </m:sSubPr>
          <m:e>
            <m:r>
              <w:rPr>
                <w:rFonts w:ascii="Cambria Math" w:hAnsi="Cambria Math"/>
                <w:lang w:val="el-GR"/>
              </w:rPr>
              <m:t>φ</m:t>
            </m:r>
          </m:e>
          <m:sub>
            <m:r>
              <w:rPr>
                <w:rFonts w:ascii="Cambria Math" w:hAnsi="Cambria Math"/>
                <w:vertAlign w:val="subscript"/>
              </w:rPr>
              <m:t>U</m:t>
            </m:r>
          </m:sub>
        </m:sSub>
        <m:r>
          <w:rPr>
            <w:rFonts w:ascii="Cambria Math" w:hAnsi="Cambria Math"/>
          </w:rPr>
          <m:t>=</m:t>
        </m:r>
        <m:r>
          <w:rPr>
            <w:rFonts w:ascii="Cambria Math" w:hAnsi="Cambria Math"/>
            <w:lang w:val="el-GR"/>
          </w:rPr>
          <m:t>ψ</m:t>
        </m:r>
        <m:f>
          <m:fPr>
            <m:ctrlPr>
              <w:rPr>
                <w:rFonts w:ascii="Cambria Math" w:hAnsi="Cambria Math"/>
                <w:i/>
              </w:rPr>
            </m:ctrlPr>
          </m:fPr>
          <m:num>
            <m:r>
              <w:rPr>
                <w:rFonts w:ascii="Cambria Math" w:hAnsi="Cambria Math"/>
              </w:rPr>
              <m:t>1-0.137</m:t>
            </m:r>
          </m:num>
          <m:den>
            <m:r>
              <w:rPr>
                <w:rFonts w:ascii="Cambria Math" w:hAnsi="Cambria Math"/>
              </w:rPr>
              <m:t>0.137</m:t>
            </m:r>
          </m:den>
        </m:f>
      </m:oMath>
      <w:r w:rsidR="004934E6">
        <w:rPr>
          <w:rFonts w:eastAsiaTheme="minorEastAsia"/>
        </w:rPr>
        <w:t xml:space="preserve"> and </w:t>
      </w:r>
      <m:oMath>
        <m:r>
          <w:rPr>
            <w:rFonts w:ascii="Cambria Math" w:hAnsi="Cambria Math"/>
            <w:lang w:val="el-GR"/>
          </w:rPr>
          <m:t>φ</m:t>
        </m:r>
        <m:r>
          <w:rPr>
            <w:rFonts w:ascii="Cambria Math" w:hAnsi="Cambria Math"/>
          </w:rPr>
          <m:t xml:space="preserve">= </m:t>
        </m:r>
        <m:r>
          <w:rPr>
            <w:rFonts w:ascii="Cambria Math" w:hAnsi="Cambria Math"/>
            <w:lang w:val="el-GR"/>
          </w:rPr>
          <m:t>ψ</m:t>
        </m:r>
        <m:f>
          <m:fPr>
            <m:ctrlPr>
              <w:rPr>
                <w:rFonts w:ascii="Cambria Math" w:hAnsi="Cambria Math"/>
                <w:i/>
              </w:rPr>
            </m:ctrlPr>
          </m:fPr>
          <m:num>
            <m:r>
              <w:rPr>
                <w:rFonts w:ascii="Cambria Math" w:hAnsi="Cambria Math"/>
              </w:rPr>
              <m:t xml:space="preserve"> 1-0.724 </m:t>
            </m:r>
          </m:num>
          <m:den>
            <m:r>
              <w:rPr>
                <w:rFonts w:ascii="Cambria Math" w:hAnsi="Cambria Math"/>
              </w:rPr>
              <m:t>0.724</m:t>
            </m:r>
          </m:den>
        </m:f>
      </m:oMath>
      <w:r w:rsidR="00725882">
        <w:rPr>
          <w:rFonts w:eastAsiaTheme="minorEastAsia"/>
        </w:rPr>
        <w:t>.</w:t>
      </w:r>
    </w:p>
    <w:p w14:paraId="1150A0F9" w14:textId="77777777" w:rsidR="00653948" w:rsidRDefault="00653948" w:rsidP="004934E6">
      <w:pPr>
        <w:pStyle w:val="Heading3"/>
      </w:pPr>
      <w:r>
        <w:t>Immunity</w:t>
      </w:r>
    </w:p>
    <w:p w14:paraId="5D3C1924" w14:textId="05AE294E" w:rsidR="00653948" w:rsidRDefault="00653948" w:rsidP="00653948">
      <w:pPr>
        <w:spacing w:after="240"/>
        <w:jc w:val="both"/>
      </w:pPr>
      <w:r>
        <w:t xml:space="preserve">The immune structure of the model is summarised in </w:t>
      </w:r>
      <w:r>
        <w:fldChar w:fldCharType="begin"/>
      </w:r>
      <w:r>
        <w:instrText xml:space="preserve"> REF _Ref508875310 \h </w:instrText>
      </w:r>
      <w:r>
        <w:fldChar w:fldCharType="separate"/>
      </w:r>
      <w:r w:rsidRPr="00B45891">
        <w:rPr>
          <w:b/>
        </w:rPr>
        <w:t xml:space="preserve">Supp. Figure </w:t>
      </w:r>
      <w:r w:rsidRPr="00B45891">
        <w:rPr>
          <w:b/>
          <w:noProof/>
        </w:rPr>
        <w:t>1</w:t>
      </w:r>
      <w:r>
        <w:fldChar w:fldCharType="end"/>
      </w:r>
      <w:r>
        <w:t xml:space="preserve">. Non-supressed adults, being treated for CDI are conferred immunity upon end of treatment. Colonised, non-supressed, adults not receiving treatment develop immunity at rate </w:t>
      </w:r>
      <w:r w:rsidRPr="00D24491">
        <w:rPr>
          <w:lang w:val="el-GR"/>
        </w:rPr>
        <w:t>δ</w:t>
      </w:r>
      <w:r>
        <w:t xml:space="preserve"> (</w:t>
      </w:r>
      <w:r w:rsidRPr="0041089E">
        <w:t xml:space="preserve">1/ </w:t>
      </w:r>
      <w:r w:rsidRPr="00D24491">
        <w:rPr>
          <w:lang w:val="el-GR"/>
        </w:rPr>
        <w:t>δ</w:t>
      </w:r>
      <w:r>
        <w:t xml:space="preserve"> = 10 days) as determined in our previous model from </w:t>
      </w:r>
      <w:proofErr w:type="spellStart"/>
      <w:r>
        <w:t>sero</w:t>
      </w:r>
      <w:proofErr w:type="spellEnd"/>
      <w:r>
        <w:t xml:space="preserve">-conversion rate in response to </w:t>
      </w:r>
      <w:r>
        <w:rPr>
          <w:i/>
        </w:rPr>
        <w:t>C. difficile</w:t>
      </w:r>
      <w:r>
        <w:t xml:space="preserve"> toxoid vaccine trials</w:t>
      </w:r>
      <w:r w:rsidR="00B80518">
        <w:t xml:space="preserve"> </w:t>
      </w:r>
      <w:r>
        <w:fldChar w:fldCharType="begin" w:fldLock="1"/>
      </w:r>
      <w:r w:rsidR="00B461B6">
        <w:instrText>ADDIN CSL_CITATION {"citationItems":[{"id":"ITEM-1","itemData":{"DOI":"10.1016/j.vaccine.2012.01.056","PMID":"22682287","author":[{"dropping-particle":"","family":"Foglia","given":"Ginamarie","non-dropping-particle":"","parse-names":false,"suffix":""},{"dropping-particle":"","family":"Shah","given":"Siddhi","non-dropping-particle":"","parse-names":false,"suffix":""},{"dropping-particle":"","family":"Luxemburger","given":"Christine","non-dropping-particle":"","parse-names":false,"suffix":""},{"dropping-particle":"","family":"Pietrobon","given":"Patricia J Freda","non-dropping-particle":"","parse-names":false,"suffix":""}],"container-title":"Vaccine","id":"ITEM-1","issue":"29","issued":{"date-parts":[["2012","6"]]},"page":"4307-4309","publisher":"Elsevier Ltd","title":"Clostridium difficile: Development of a novel candidate vaccine","type":"article-journal","volume":"30"},"uris":["http://www.mendeley.com/documents/?uuid=3b9bf3ac-efea-4ca5-9f3a-1476f8f48097"]},{"id":"ITEM-2","itemData":{"DOI":"10.1016/j.vaccine.2016.03.028","ISBN":"1873-2518 (Electronic)\\r0264-410X (Linking)","ISSN":"0264410X","PMID":"27013431","abstract":"Background: Clostridium difficile, a major cause of nosocomial and antibiotic-associated diarrhea, carries a significant disease and cost burden. This study aimed to select an optimal formulation and schedule for a candidate toxoid vaccine against C. difficile toxins A and B. Methods: Randomized, placebo-controlled, two-stage, Phase 2 study in a total of 661 adults aged 40-75 years. Stage I: low (50 ??g antigen) or high (100 ??g antigen) dose with or without aluminum hydroxide (AlOH) adjuvant, or placebo, administered on Days 0-7-30. Stage II: Days 0-7-30, 0-7-180, and 0-30-180, using the formulation selected in Stage I through a decision tree defined a priori and based principally on a bootstrap ranking approach. Administration was intramuscular. Blood samples were obtained on Days 0, 7, 14, 30, 60 (Stage I and II), 180, and 210 (Stage II); IgG to toxins A and B was measured by ELISA and in vitro functional activity was measured by toxin neutralizing assay (TNA). Safety data were collected using diary cards. Results: In Stage I the composite immune response against toxins A and B (percentage of participants who seroconverted for both toxins) was highest in the high dose + adjuvant group (97% and 92% for Toxins A and B, respectively) and was chosen for Stage II. In Stage II the immune response profile for this formulation through Day 180 given on Days 0-7-30 ranked above the other two administration schedules. There were no safety issues. Conclusions: The high dose + adjuvant (100 ??g antigen + AlOH) formulation administered at 0-7-30 days elicited the best immune response profile, including functional antibody responses, through Day 180 and was selected for use in subsequent clinical trials.","author":[{"dropping-particle":"","family":"Bruyn","given":"Guy","non-dropping-particle":"de","parse-names":false,"suffix":""},{"dropping-particle":"","family":"Saleh","given":"Jamshid","non-dropping-particle":"","parse-names":false,"suffix":""},{"dropping-particle":"","family":"Workman","given":"David","non-dropping-particle":"","parse-names":false,"suffix":""},{"dropping-particle":"","family":"Pollak","given":"Richard","non-dropping-particle":"","parse-names":false,"suffix":""},{"dropping-particle":"","family":"Elinoff","given":"Victor","non-dropping-particle":"","parse-names":false,"suffix":""},{"dropping-particle":"","family":"Fraser","given":"Neil J.","non-dropping-particle":"","parse-names":false,"suffix":""},{"dropping-particle":"","family":"Lefebvre","given":"Gigi","non-dropping-particle":"","parse-names":false,"suffix":""},{"dropping-particle":"","family":"Martens","given":"Mark","non-dropping-particle":"","parse-names":false,"suffix":""},{"dropping-particle":"","family":"Mills","given":"Richard E.","non-dropping-particle":"","parse-names":false,"suffix":""},{"dropping-particle":"","family":"Nathan","given":"Richard","non-dropping-particle":"","parse-names":false,"suffix":""},{"dropping-particle":"","family":"Trevino","given":"Miguel","non-dropping-particle":"","parse-names":false,"suffix":""},{"dropping-particle":"","family":"Cleeff","given":"Martin","non-dropping-particle":"van","parse-names":false,"suffix":""},{"dropping-particle":"","family":"Foglia","given":"Ginamarie","non-dropping-particle":"","parse-names":false,"suffix":""},{"dropping-particle":"","family":"Ozol-Godfrey","given":"Ayca","non-dropping-particle":"","parse-names":false,"suffix":""},{"dropping-particle":"","family":"Patel","given":"Dhaval M.","non-dropping-particle":"","parse-names":false,"suffix":""},{"dropping-particle":"","family":"Pietrobon","given":"Patricia J.","non-dropping-particle":"","parse-names":false,"suffix":""},{"dropping-particle":"","family":"Gesser","given":"Richard","non-dropping-particle":"","parse-names":false,"suffix":""}],"container-title":"Vaccine","id":"ITEM-2","issue":"19","issued":{"date-parts":[["2016","4"]]},"page":"2170-2178","publisher":"Elsevier Ltd","title":"Defining the optimal formulation and schedule of a candidate toxoid vaccine against Clostridium difficile infection: A randomized Phase 2 clinical trial","type":"article-journal","volume":"34"},"uris":["http://www.mendeley.com/documents/?uuid=cae678c1-ef1a-4ec8-8bfc-929574e33ad4"]}],"mendeley":{"formattedCitation":"[2,3]","plainTextFormattedCitation":"[2,3]","previouslyFormattedCitation":"[2,3]"},"properties":{"noteIndex":0},"schema":"https://github.com/citation-style-language/schema/raw/master/csl-citation.json"}</w:instrText>
      </w:r>
      <w:r>
        <w:fldChar w:fldCharType="separate"/>
      </w:r>
      <w:r w:rsidR="00B80518" w:rsidRPr="00B80518">
        <w:rPr>
          <w:noProof/>
        </w:rPr>
        <w:t>[2,3]</w:t>
      </w:r>
      <w:r>
        <w:fldChar w:fldCharType="end"/>
      </w:r>
      <w:r>
        <w:t xml:space="preserve">. To simplify the model infants develop immunity immediately on colonisation. All immune individuals have their immunity wane at rate </w:t>
      </w:r>
      <w:r w:rsidRPr="00D24491">
        <w:rPr>
          <w:lang w:val="el-GR"/>
        </w:rPr>
        <w:t>σ</w:t>
      </w:r>
      <w:r>
        <w:t>, which is estimated with our model.</w:t>
      </w:r>
    </w:p>
    <w:p w14:paraId="659D6C1E" w14:textId="77777777" w:rsidR="00653948" w:rsidRDefault="00653948" w:rsidP="004934E6">
      <w:pPr>
        <w:pStyle w:val="Heading3"/>
      </w:pPr>
      <w:r>
        <w:t>Admissions and discharges</w:t>
      </w:r>
    </w:p>
    <w:p w14:paraId="6349A645" w14:textId="099297C7" w:rsidR="00653948" w:rsidRDefault="00653948" w:rsidP="00653948">
      <w:pPr>
        <w:spacing w:after="240"/>
        <w:jc w:val="both"/>
      </w:pPr>
      <w:r>
        <w:t xml:space="preserve">The hospital and community structure of the model is summarised in </w:t>
      </w:r>
      <w:r>
        <w:fldChar w:fldCharType="begin"/>
      </w:r>
      <w:r>
        <w:instrText xml:space="preserve"> REF _Ref508875310 \h </w:instrText>
      </w:r>
      <w:r>
        <w:fldChar w:fldCharType="separate"/>
      </w:r>
      <w:r w:rsidRPr="00B45891">
        <w:rPr>
          <w:b/>
        </w:rPr>
        <w:t xml:space="preserve">Supp. Figure </w:t>
      </w:r>
      <w:r w:rsidRPr="00B45891">
        <w:rPr>
          <w:b/>
          <w:noProof/>
        </w:rPr>
        <w:t>1</w:t>
      </w:r>
      <w:r>
        <w:fldChar w:fldCharType="end"/>
      </w:r>
      <w:r>
        <w:t>. The hospital discharge rate for suppressed/elderly and non-supressed individuals is the inverse of the mean length of stay in US Hospitals for those over 65 (</w:t>
      </w:r>
      <w:r w:rsidRPr="00D24491">
        <w:rPr>
          <w:lang w:val="el-GR"/>
        </w:rPr>
        <w:t>κ</w:t>
      </w:r>
      <w:r w:rsidRPr="00D24491">
        <w:rPr>
          <w:vertAlign w:val="subscript"/>
        </w:rPr>
        <w:t>U</w:t>
      </w:r>
      <w:r>
        <w:t xml:space="preserve"> = 1/5.2 days) and those under 65 (</w:t>
      </w:r>
      <w:r w:rsidRPr="00D24491">
        <w:rPr>
          <w:vertAlign w:val="subscript"/>
        </w:rPr>
        <w:t xml:space="preserve"> </w:t>
      </w:r>
      <w:r w:rsidRPr="00D24491">
        <w:rPr>
          <w:lang w:val="el-GR"/>
        </w:rPr>
        <w:t>κ</w:t>
      </w:r>
      <w:r>
        <w:t xml:space="preserve"> = 1/4.15 days) respectively (2012 data)</w:t>
      </w:r>
      <w:r w:rsidR="00B80518">
        <w:t xml:space="preserve"> </w:t>
      </w:r>
      <w:r>
        <w:fldChar w:fldCharType="begin" w:fldLock="1"/>
      </w:r>
      <w:r w:rsidR="00786612">
        <w:instrText>ADDIN CSL_CITATION {"citationItems":[{"id":"ITEM-1","itemData":{"abstract":"This Statistical Brief presents data from the Healthcare Cost and Utilization Project (HCUP) on characteristics of inpatient stays in U.S. community hospitals in 2012. The distribution of type of hospital stay (surgical, medical, and maternal or neonatal) is presented for different characteristics (patient age, primary payer, and hospital region). Changes in hospital utilization and costs from 2003 to 2012 are provided, along with changes in hospital utilization by primary payer and patient age. All differences between mean estimates noted in the text are statistically significant at the 0.0005 level or better. Differences between proportions noted in the text differ by at least 10 percent.","author":[{"dropping-particle":"","family":"Weiss (Truven Health Analytics)","given":"Audrey J","non-dropping-particle":"","parse-names":false,"suffix":""},{"dropping-particle":"","family":"Elixhauser (AHRQ)","given":"Anne","non-dropping-particle":"","parse-names":false,"suffix":""}],"container-title":"Healthcare Cost and Utilization Project (HCUP) Statistical Briefs","id":"ITEM-1","issued":{"date-parts":[["2014"]]},"publisher":"Agency for Healthcare Research and Quality","publisher-place":"Rockville, MD","title":"Overview of Hospital Stays in the United States, 2012: Statistical Brief #180","type":"book"},"uris":["http://www.mendeley.com/documents/?uuid=65335cd7-c692-4b03-8f82-ab0dc4d6cfbe"]}],"mendeley":{"formattedCitation":"[4]","plainTextFormattedCitation":"[4]","previouslyFormattedCitation":"[4]"},"properties":{"noteIndex":0},"schema":"https://github.com/citation-style-language/schema/raw/master/csl-citation.json"}</w:instrText>
      </w:r>
      <w:r>
        <w:fldChar w:fldCharType="separate"/>
      </w:r>
      <w:r w:rsidR="00B80518" w:rsidRPr="00B80518">
        <w:rPr>
          <w:noProof/>
        </w:rPr>
        <w:t>[4]</w:t>
      </w:r>
      <w:r>
        <w:fldChar w:fldCharType="end"/>
      </w:r>
      <w:r>
        <w:t>. However, those receiving treatment for CDI in hospital are not discharged. Similarly admission rates are determined from US hospital admission rates which are once every 11.4 years for those under 65 (</w:t>
      </w:r>
      <w:r w:rsidRPr="00D24491">
        <w:rPr>
          <w:lang w:val="el-GR"/>
        </w:rPr>
        <w:t>ν</w:t>
      </w:r>
      <w:r>
        <w:t>) and once every 3.4 years for those over 65 (</w:t>
      </w:r>
      <w:r w:rsidRPr="00D24491">
        <w:rPr>
          <w:lang w:val="el-GR"/>
        </w:rPr>
        <w:t>ν</w:t>
      </w:r>
      <w:r w:rsidRPr="00D24491">
        <w:rPr>
          <w:vertAlign w:val="subscript"/>
        </w:rPr>
        <w:t>U</w:t>
      </w:r>
      <w:r>
        <w:t>) (2012 data)</w:t>
      </w:r>
      <w:r w:rsidR="00B80518">
        <w:t xml:space="preserve"> </w:t>
      </w:r>
      <w:r>
        <w:fldChar w:fldCharType="begin" w:fldLock="1"/>
      </w:r>
      <w:r w:rsidR="00786612">
        <w:instrText>ADDIN CSL_CITATION {"citationItems":[{"id":"ITEM-1","itemData":{"abstract":"This Statistical Brief presents data from the Healthcare Cost and Utilization Project (HCUP) on characteristics of inpatient stays in U.S. community hospitals in 2012. The distribution of type of hospital stay (surgical, medical, and maternal or neonatal) is presented for different characteristics (patient age, primary payer, and hospital region). Changes in hospital utilization and costs from 2003 to 2012 are provided, along with changes in hospital utilization by primary payer and patient age. All differences between mean estimates noted in the text are statistically significant at the 0.0005 level or better. Differences between proportions noted in the text differ by at least 10 percent.","author":[{"dropping-particle":"","family":"Weiss (Truven Health Analytics)","given":"Audrey J","non-dropping-particle":"","parse-names":false,"suffix":""},{"dropping-particle":"","family":"Elixhauser (AHRQ)","given":"Anne","non-dropping-particle":"","parse-names":false,"suffix":""}],"container-title":"Healthcare Cost and Utilization Project (HCUP) Statistical Briefs","id":"ITEM-1","issued":{"date-parts":[["2014"]]},"publisher":"Agency for Healthcare Research and Quality","publisher-place":"Rockville, MD","title":"Overview of Hospital Stays in the United States, 2012: Statistical Brief #180","type":"book"},"uris":["http://www.mendeley.com/documents/?uuid=65335cd7-c692-4b03-8f82-ab0dc4d6cfbe"]}],"mendeley":{"formattedCitation":"[4]","plainTextFormattedCitation":"[4]","previouslyFormattedCitation":"[4]"},"properties":{"noteIndex":0},"schema":"https://github.com/citation-style-language/schema/raw/master/csl-citation.json"}</w:instrText>
      </w:r>
      <w:r>
        <w:fldChar w:fldCharType="separate"/>
      </w:r>
      <w:r w:rsidR="00B80518" w:rsidRPr="00B80518">
        <w:rPr>
          <w:noProof/>
        </w:rPr>
        <w:t>[4]</w:t>
      </w:r>
      <w:r>
        <w:fldChar w:fldCharType="end"/>
      </w:r>
      <w:r>
        <w:t>. We assume that those who have symptoms of CDI in the community are admitted at a much faster rate (</w:t>
      </w:r>
      <w:r w:rsidRPr="00D24491">
        <w:rPr>
          <w:lang w:val="el-GR"/>
        </w:rPr>
        <w:t>ν</w:t>
      </w:r>
      <w:r w:rsidRPr="00D24491">
        <w:rPr>
          <w:vertAlign w:val="subscript"/>
        </w:rPr>
        <w:t>CDI</w:t>
      </w:r>
      <w:r>
        <w:t xml:space="preserve">) estimated with our model. </w:t>
      </w:r>
    </w:p>
    <w:p w14:paraId="7481F2EB" w14:textId="77777777" w:rsidR="00AF067A" w:rsidRDefault="00AF067A" w:rsidP="004934E6">
      <w:pPr>
        <w:pStyle w:val="Heading3"/>
      </w:pPr>
      <w:r>
        <w:t>Colonisation and Gut Flora</w:t>
      </w:r>
    </w:p>
    <w:p w14:paraId="7A05E33C" w14:textId="4A5B75C0" w:rsidR="00725882" w:rsidRDefault="00653948" w:rsidP="0080109D">
      <w:pPr>
        <w:spacing w:after="240"/>
        <w:jc w:val="both"/>
      </w:pPr>
      <w:r>
        <w:t xml:space="preserve">The model structure for gut flora disruption and </w:t>
      </w:r>
      <w:r w:rsidR="00A845D7">
        <w:rPr>
          <w:i/>
        </w:rPr>
        <w:t xml:space="preserve">C. difficile </w:t>
      </w:r>
      <w:r w:rsidR="00A845D7">
        <w:t xml:space="preserve">colonisation is summarised in </w:t>
      </w:r>
      <w:r w:rsidR="00A845D7">
        <w:rPr>
          <w:b/>
        </w:rPr>
        <w:t xml:space="preserve">Figure </w:t>
      </w:r>
      <w:r w:rsidR="00A845D7" w:rsidRPr="00A845D7">
        <w:rPr>
          <w:b/>
        </w:rPr>
        <w:t>1</w:t>
      </w:r>
      <w:r w:rsidR="00A845D7">
        <w:t xml:space="preserve"> in the main text. </w:t>
      </w:r>
      <w:r w:rsidR="00AF067A" w:rsidRPr="00A845D7">
        <w:t>Gut</w:t>
      </w:r>
      <w:r w:rsidR="00AF067A">
        <w:t xml:space="preserve"> flora is disturbed at different rates in the hospitals and communities to reproduce the reported proportion admissions in hospitals</w:t>
      </w:r>
      <w:r w:rsidR="00B80518">
        <w:t xml:space="preserve"> </w:t>
      </w:r>
      <w:r w:rsidR="00AF067A">
        <w:fldChar w:fldCharType="begin" w:fldLock="1"/>
      </w:r>
      <w:r w:rsidR="00B461B6">
        <w:instrText>ADDIN CSL_CITATION {"citationItems":[{"id":"ITEM-1","itemData":{"DOI":"10.1086/528810","PMID":"18257689","abstract":"OBJECTIVE To describe variability in rates of antibacterial use in a large sample of US hospitals and to create risk-adjusted models for interhospital comparison. METHODS We retrospectively surveyed the use of 87 antibacterial agents on the basis of electronic claims data from 130 medical-surgical hospitals in the United States for the period August 2002 to July 2003; these records represented 1,798,084 adult inpatients. Hospitals were assigned randomly to the derivation data set (65 hospitals) or the validation data set (65 hospitals). Multivariable models predicting rates of antibacterial use were created using the derivation data set. These models were then used to predict rates of antibacterial use in the validation data set, which was compared with observed rates of antibacterial use. Rates of antibacterial use was measured in days of therapy per 1,000 patient-days. RESULTS Across the surveyed hospitals, a mean of 59.3% of patients received at least 1 dose of an antimicrobial agent during hospitalization (range for individual hospitals, 44.4%-73.6%). The mean total rate of antibacterial use was 789.8 days of therapy per 1,000 patient-days (range, 454.4-1,153.4). The best model for the total rate of antibacterial use explained 31% of the variance in rates of antibacterial use and included the number of hospital beds, the number of days in the intensive care unit per 1,000 patient-days, the number of surgeries per 1,000 discharges, and the number of cases of pneumonia, bacteremia, and urinary tract infection per 1,000 discharges. Five hospitals in the validation data set were identified as having outlier rates on the basis of observed antibacterial use greater than the upper bound of the 90% prediction interval for predicted antibacterial use in that hospital. CONCLUSION Most adult inpatients receive antimicrobial agents during their hospitalization, but there is substantial variability between hospitals in the volume of antibacterials used. Risk-adjusted models can explain a significant proportion of this variation and allow for comparisons between hospitals for benchmarking purposes.","author":[{"dropping-particle":"","family":"MacDougall","given":"Conan","non-dropping-particle":"","parse-names":false,"suffix":""},{"dropping-particle":"","family":"Polk","given":"Ronald E.","non-dropping-particle":"","parse-names":false,"suffix":""}],"container-title":"Infection control and hospital epidemiology","id":"ITEM-1","issue":"3","issued":{"date-parts":[["2008","3"]]},"page":"203-11","title":"Variability in rates of use of antibacterials among 130 US hospitals and risk-adjustment models for interhospital comparison.","type":"article-journal","volume":"29"},"uris":["http://www.mendeley.com/documents/?uuid=2ed40d20-92d5-4e6b-b9fa-8d64fe01a763"]}],"mendeley":{"formattedCitation":"[5]","plainTextFormattedCitation":"[5]","previouslyFormattedCitation":"[5]"},"properties":{"noteIndex":0},"schema":"https://github.com/citation-style-language/schema/raw/master/csl-citation.json"}</w:instrText>
      </w:r>
      <w:r w:rsidR="00AF067A">
        <w:fldChar w:fldCharType="separate"/>
      </w:r>
      <w:r w:rsidR="00B80518" w:rsidRPr="00B80518">
        <w:rPr>
          <w:noProof/>
        </w:rPr>
        <w:t>[5]</w:t>
      </w:r>
      <w:r w:rsidR="00AF067A">
        <w:fldChar w:fldCharType="end"/>
      </w:r>
      <w:r w:rsidR="00AF067A">
        <w:t xml:space="preserve"> or proportion of adults in the community each </w:t>
      </w:r>
      <w:r w:rsidR="00AF067A">
        <w:lastRenderedPageBreak/>
        <w:t>year</w:t>
      </w:r>
      <w:r w:rsidR="00B80518">
        <w:t xml:space="preserve"> </w:t>
      </w:r>
      <w:r w:rsidR="00AF067A">
        <w:fldChar w:fldCharType="begin" w:fldLock="1"/>
      </w:r>
      <w:r w:rsidR="00B461B6">
        <w:instrText>ADDIN CSL_CITATION {"citationItems":[{"id":"ITEM-1","itemData":{"author":[{"dropping-particle":"","family":"Australian Commonwealth Department of Health - Drug utilisation sub-committee (DUSC)","given":"","non-dropping-particle":"","parse-names":false,"suffix":""}],"id":"ITEM-1","issued":{"date-parts":[["2015"]]},"publisher-place":"Canberra","title":"Antibiotics : PBS / RPBS utilisation","type":"report"},"uris":["http://www.mendeley.com/documents/?uuid=f9e7b235-c9e0-4d09-a079-6f701c260907"]}],"mendeley":{"formattedCitation":"[6]","plainTextFormattedCitation":"[6]","previouslyFormattedCitation":"[6]"},"properties":{"noteIndex":0},"schema":"https://github.com/citation-style-language/schema/raw/master/csl-citation.json"}</w:instrText>
      </w:r>
      <w:r w:rsidR="00AF067A">
        <w:fldChar w:fldCharType="separate"/>
      </w:r>
      <w:r w:rsidR="00B80518" w:rsidRPr="00B80518">
        <w:rPr>
          <w:noProof/>
        </w:rPr>
        <w:t>[6]</w:t>
      </w:r>
      <w:r w:rsidR="00AF067A">
        <w:fldChar w:fldCharType="end"/>
      </w:r>
      <w:r w:rsidR="00AF067A">
        <w:t xml:space="preserve"> that receive antibiotics. In the community those in the suppressed/elderly re</w:t>
      </w:r>
      <w:r w:rsidR="00985E70">
        <w:t>ceived antibiotics at a higher r</w:t>
      </w:r>
      <w:r w:rsidR="00AF067A">
        <w:t xml:space="preserve">ate such that </w:t>
      </w:r>
      <w:r w:rsidR="00AF067A" w:rsidRPr="00F11909">
        <w:rPr>
          <w:lang w:val="el-GR"/>
        </w:rPr>
        <w:t>α</w:t>
      </w:r>
      <w:proofErr w:type="spellStart"/>
      <w:r w:rsidR="00AF067A" w:rsidRPr="00F11909">
        <w:rPr>
          <w:vertAlign w:val="subscript"/>
        </w:rPr>
        <w:t>Comm</w:t>
      </w:r>
      <w:proofErr w:type="spellEnd"/>
      <w:r w:rsidR="00AF067A">
        <w:t xml:space="preserve"> &lt; </w:t>
      </w:r>
      <w:r w:rsidR="00AF067A" w:rsidRPr="00F11909">
        <w:rPr>
          <w:lang w:val="el-GR"/>
        </w:rPr>
        <w:t>α</w:t>
      </w:r>
      <w:proofErr w:type="spellStart"/>
      <w:r w:rsidR="00AF067A" w:rsidRPr="00F11909">
        <w:rPr>
          <w:vertAlign w:val="subscript"/>
        </w:rPr>
        <w:t>U</w:t>
      </w:r>
      <w:proofErr w:type="gramStart"/>
      <w:r w:rsidR="00AF067A">
        <w:t>,</w:t>
      </w:r>
      <w:r w:rsidR="00AF067A" w:rsidRPr="00F11909">
        <w:rPr>
          <w:vertAlign w:val="subscript"/>
        </w:rPr>
        <w:t>Comm</w:t>
      </w:r>
      <w:proofErr w:type="spellEnd"/>
      <w:proofErr w:type="gramEnd"/>
      <w:r w:rsidR="00AF067A">
        <w:t xml:space="preserve"> &lt; </w:t>
      </w:r>
      <w:r w:rsidR="00AF067A" w:rsidRPr="00F11909">
        <w:rPr>
          <w:lang w:val="el-GR"/>
        </w:rPr>
        <w:t>α</w:t>
      </w:r>
      <w:r w:rsidR="00AF067A" w:rsidRPr="00F11909">
        <w:rPr>
          <w:vertAlign w:val="subscript"/>
        </w:rPr>
        <w:t>Hosp</w:t>
      </w:r>
      <w:r w:rsidR="00AF067A">
        <w:t xml:space="preserve"> = </w:t>
      </w:r>
      <w:r w:rsidR="00AF067A" w:rsidRPr="00F11909">
        <w:rPr>
          <w:lang w:val="el-GR"/>
        </w:rPr>
        <w:t>α</w:t>
      </w:r>
      <w:proofErr w:type="spellStart"/>
      <w:r w:rsidR="00AF067A" w:rsidRPr="00F11909">
        <w:rPr>
          <w:vertAlign w:val="subscript"/>
        </w:rPr>
        <w:t>U</w:t>
      </w:r>
      <w:r w:rsidR="00AF067A">
        <w:t>,</w:t>
      </w:r>
      <w:r w:rsidR="00AF067A" w:rsidRPr="00F11909">
        <w:rPr>
          <w:vertAlign w:val="subscript"/>
        </w:rPr>
        <w:t>Hosp</w:t>
      </w:r>
      <w:proofErr w:type="spellEnd"/>
      <w:r w:rsidR="00AF067A">
        <w:t>. The</w:t>
      </w:r>
      <w:r w:rsidR="00670B37">
        <w:t xml:space="preserve"> time take for the</w:t>
      </w:r>
      <w:r w:rsidR="00AF067A">
        <w:t xml:space="preserve"> reco</w:t>
      </w:r>
      <w:r w:rsidR="00670B37">
        <w:t>very of gut flora</w:t>
      </w:r>
      <w:r w:rsidR="00B80518">
        <w:t xml:space="preserve"> </w:t>
      </w:r>
      <w:r w:rsidR="00670B37">
        <w:fldChar w:fldCharType="begin" w:fldLock="1"/>
      </w:r>
      <w:r w:rsidR="00B461B6">
        <w:instrText>ADDIN CSL_CITATION {"citationItems":[{"id":"ITEM-1","itemData":{"PMID":"19337440","abstract":"Antimicrobial agents are the most valuable means available for treating bacterial infections. However, the administration of therapeutic doses of antimicrobial agents to patients is a leading cause of disturbance of the normal gastrointestinal microflora. This disturbance results in diminishing the natural defense mechanisms provided by the colonic microbial ecosystem, making the host vulnerable to infection by commensal microorganisms or nosocomial pathogens. In this minireview, the impacts of antimicrobials, individually and in combinations, on the human colonic microflora are discussed.","author":[{"dropping-particle":"","family":"Rafii","given":"Fatemeh","non-dropping-particle":"","parse-names":false,"suffix":""},{"dropping-particle":"","family":"Sutherland","given":"John B","non-dropping-particle":"","parse-names":false,"suffix":""},{"dropping-particle":"","family":"Cerniglia","given":"Carl E","non-dropping-particle":"","parse-names":false,"suffix":""}],"container-title":"Therapeutics and clinical risk management","id":"ITEM-1","issue":"6","issued":{"date-parts":[["2008","12"]]},"page":"1343-58","title":"Effects of treatment with antimicrobial agents on the human colonic microflora.","type":"article-journal","volume":"4"},"uris":["http://www.mendeley.com/documents/?uuid=8e2ccced-74f1-4d66-92c1-fab12d31ffa9"]}],"mendeley":{"formattedCitation":"[7]","plainTextFormattedCitation":"[7]","previouslyFormattedCitation":"[7]"},"properties":{"noteIndex":0},"schema":"https://github.com/citation-style-language/schema/raw/master/csl-citation.json"}</w:instrText>
      </w:r>
      <w:r w:rsidR="00670B37">
        <w:fldChar w:fldCharType="separate"/>
      </w:r>
      <w:r w:rsidR="00B80518" w:rsidRPr="00B80518">
        <w:rPr>
          <w:noProof/>
        </w:rPr>
        <w:t>[7]</w:t>
      </w:r>
      <w:r w:rsidR="00670B37">
        <w:fldChar w:fldCharType="end"/>
      </w:r>
      <w:r w:rsidR="00670B37">
        <w:t xml:space="preserve">, and the duration of heightened risk of </w:t>
      </w:r>
      <w:r w:rsidR="00670B37" w:rsidRPr="00670B37">
        <w:rPr>
          <w:i/>
        </w:rPr>
        <w:t>C. difficile</w:t>
      </w:r>
      <w:r w:rsidR="00670B37">
        <w:t xml:space="preserve"> following antibiotic exposure</w:t>
      </w:r>
      <w:r w:rsidR="00B80518">
        <w:t xml:space="preserve"> </w:t>
      </w:r>
      <w:r w:rsidR="00670B37">
        <w:fldChar w:fldCharType="begin" w:fldLock="1"/>
      </w:r>
      <w:r w:rsidR="00786612">
        <w:instrText>ADDIN CSL_CITATION {"citationItems":[{"id":"ITEM-1","itemData":{"DOI":"10.1503/cmaj.071812","ISSN":"0820-3946","PMID":"18838451","abstract":"BACKGROUND Previous observations have indicated that infection with Clostridium difficile occurs almost exclusively after exposure to antibiotics, but more recent observations have suggested that prior antibiotic exposure may be less frequent among cases of community-acquired disease. METHODS We used 2 linked health databases to perform a matched, nested case-control study of elderly patients admitted to hospital with community-acquired C. difficile infection. For each of 836 cases among people 65 years of age or older, we selected 10 controls. We determined the proportion of cases that occurred without prior antibiotic exposure and estimated the risk related to exposure to different antibiotics and the duration of increased risk. RESULTS Of the 836 cases, 442 (52.9%) had no exposure to antibiotics in the 45-day period before the index date, and 382 (45.7%) had no exposure in the 90-day period before the index date. Antibiotic exposure was associated with a rate ratio (RR) of 10.6 (95% confidence interval [CI] 8.9-12.8). Clindamycin (RR 31.8, 95% CI 17.6-57.6), cephalosporins (RR 14.9, 95% CI 10.9-20.3) and gatifloxacin (RR 16.7, 95% CI 8.3-33.6) were associated with the highest risk. The RR for C. difficile infection associated with antibiotic exposure declined from 15.4 (95% CI 12.2-19.3) by about 20 days after exposure to 3.2 (95% CI 2.0-5.0) after 45 days. Use of a proton pump inhibitor was associated with increased risk (RR 1.6, 95% CI 1.3-2.0), as were concurrent diagnoses of inflammatory bowel disease (RR 4.1, 95% CI 2.6-6.6), irritable bowel syndrome (RR 3.4, 95% CI 2.3-5.0) and renal failure (RR 1.7, 95% CI 1.2-2.2). INTERPRETATION Community-acquired C. difficile infection occurred in a substantial proportion of individuals with no recent exposure to antibiotics. Among patients who had been exposed to antibiotics, the risk declined markedly by 45 days after discontinuation of use.","author":[{"dropping-particle":"","family":"Dial","given":"Sandra","non-dropping-particle":"","parse-names":false,"suffix":""},{"dropping-particle":"","family":"Kezouh","given":"Abbas","non-dropping-particle":"","parse-names":false,"suffix":""},{"dropping-particle":"","family":"Dascal","given":"Andre","non-dropping-particle":"","parse-names":false,"suffix":""},{"dropping-particle":"","family":"Barkun","given":"Alan","non-dropping-particle":"","parse-names":false,"suffix":""},{"dropping-particle":"","family":"Suissa","given":"Samy","non-dropping-particle":"","parse-names":false,"suffix":""}],"container-title":"Canadian Medical Association Journal","id":"ITEM-1","issue":"8","issued":{"date-parts":[["2008","9","16"]]},"page":"767-772","title":"Patterns of antibiotic use and risk of hospital admission because of Clostridium difficile infection","type":"article-journal","volume":"179"},"uris":["http://www.mendeley.com/documents/?uuid=7d74338f-770e-424a-b079-d131363cc404"]}],"mendeley":{"formattedCitation":"[8]","plainTextFormattedCitation":"[8]","previouslyFormattedCitation":"[8]"},"properties":{"noteIndex":0},"schema":"https://github.com/citation-style-language/schema/raw/master/csl-citation.json"}</w:instrText>
      </w:r>
      <w:r w:rsidR="00670B37">
        <w:fldChar w:fldCharType="separate"/>
      </w:r>
      <w:r w:rsidR="00B80518" w:rsidRPr="00B80518">
        <w:rPr>
          <w:noProof/>
        </w:rPr>
        <w:t>[8]</w:t>
      </w:r>
      <w:r w:rsidR="00670B37">
        <w:fldChar w:fldCharType="end"/>
      </w:r>
      <w:r w:rsidR="00670B37">
        <w:t xml:space="preserve"> depends on the antibiotic but we chose a single recovery rate </w:t>
      </w:r>
      <w:r w:rsidR="00AF067A" w:rsidRPr="00670B37">
        <w:rPr>
          <w:lang w:val="el-GR"/>
        </w:rPr>
        <w:t>λ</w:t>
      </w:r>
      <w:r w:rsidR="00670B37">
        <w:t xml:space="preserve"> = 0.03 day</w:t>
      </w:r>
      <w:r w:rsidR="00670B37" w:rsidRPr="00670B37">
        <w:rPr>
          <w:vertAlign w:val="superscript"/>
        </w:rPr>
        <w:t>-1</w:t>
      </w:r>
      <w:r w:rsidR="00670B37">
        <w:t xml:space="preserve"> which sits in the middle of the range. </w:t>
      </w:r>
      <w:r w:rsidR="00AF067A">
        <w:t>As it has been observed that 20% of hospitalised CDIs recover without specific treatment</w:t>
      </w:r>
      <w:r w:rsidR="00B80518">
        <w:t xml:space="preserve"> </w:t>
      </w:r>
      <w:r w:rsidR="004A1EF4">
        <w:fldChar w:fldCharType="begin" w:fldLock="1"/>
      </w:r>
      <w:r w:rsidR="00B461B6">
        <w:instrText>ADDIN CSL_CITATION {"citationItems":[{"id":"ITEM-1","itemData":{"DOI":"10.1093/clinids/6.Supplement_1.S235","ISSN":"1058-4838","PMID":"6718937","abstract":"The experience of this laboratory with the treatment of Clostridium-induced colitis in experimental animals and in patients was reviewed. Optimal results in hamsters were achieved with the antibiotics vancomycin, metronidazole, and tetracycline. Cholestyramine was less effective. The outcome for animals given corticosteroids and Clostridium sordellii antitoxin systemically was not different from that for untreated control animals. The second facet of the study was a retrospective review of therapy in 272 patients with C. difficile-induced diarrhea or colitis. No specific therapy was given to 56 patients who had mild symptoms or were improving at the time the toxin was detected. The therapy most frequently used was oral vancomycin, which was given to 189 patients, including 100 with confirmed pseudomembranous colitis. The response rate was 97{%}, but 46 patients (24{%}) relapsed when treatment was discontinued. Response to cholestyramine was favorable in 12 of 19 patients. The results with metronidazole and bacitracin were uniformly good, although the experience was limited.","author":[{"dropping-particle":"","family":"Bartlett","given":"J G","non-dropping-particle":"","parse-names":false,"suffix":""}],"container-title":"Clinical Infectious Diseases","id":"ITEM-1","issue":"Supplement 1","issued":{"date-parts":[["1984","3","1"]]},"page":"S235--S241","title":"Treatment of Antibiotic-Associated Pseudomembranous Colitis","type":"article-journal","volume":"6"},"uris":["http://www.mendeley.com/documents/?uuid=817fec1e-7b13-4326-b769-41b54861f860"]}],"mendeley":{"formattedCitation":"[9]","plainTextFormattedCitation":"[9]","previouslyFormattedCitation":"[9]"},"properties":{"noteIndex":0},"schema":"https://github.com/citation-style-language/schema/raw/master/csl-citation.json"}</w:instrText>
      </w:r>
      <w:r w:rsidR="004A1EF4">
        <w:fldChar w:fldCharType="separate"/>
      </w:r>
      <w:r w:rsidR="00B80518" w:rsidRPr="00B80518">
        <w:rPr>
          <w:noProof/>
        </w:rPr>
        <w:t>[9]</w:t>
      </w:r>
      <w:r w:rsidR="004A1EF4">
        <w:fldChar w:fldCharType="end"/>
      </w:r>
      <w:r w:rsidR="00AF067A">
        <w:t>,</w:t>
      </w:r>
      <w:r w:rsidR="0080109D">
        <w:t xml:space="preserve"> the gut flora recovery rate </w:t>
      </w:r>
      <w:r w:rsidR="001C1BD1">
        <w:t xml:space="preserve">for those with overgrowth is </w:t>
      </w:r>
      <m:oMath>
        <m:sSub>
          <m:sSubPr>
            <m:ctrlPr>
              <w:rPr>
                <w:rFonts w:ascii="Cambria Math" w:hAnsi="Cambria Math"/>
                <w:vertAlign w:val="subscript"/>
              </w:rPr>
            </m:ctrlPr>
          </m:sSubPr>
          <m:e>
            <m:r>
              <m:rPr>
                <m:sty m:val="p"/>
              </m:rPr>
              <w:rPr>
                <w:rFonts w:ascii="Cambria Math" w:hAnsi="Cambria Math"/>
                <w:lang w:val="el-GR"/>
              </w:rPr>
              <m:t>λ</m:t>
            </m:r>
          </m:e>
          <m:sub>
            <m:r>
              <m:rPr>
                <m:sty m:val="p"/>
              </m:rPr>
              <w:rPr>
                <w:rFonts w:ascii="Cambria Math" w:hAnsi="Cambria Math"/>
                <w:vertAlign w:val="subscript"/>
              </w:rPr>
              <m:t>o</m:t>
            </m:r>
          </m:sub>
        </m:sSub>
        <m:r>
          <m:rPr>
            <m:sty m:val="p"/>
          </m:rPr>
          <w:rPr>
            <w:rFonts w:ascii="Cambria Math" w:hAnsi="Cambria Math"/>
          </w:rPr>
          <m:t xml:space="preserve"> =</m:t>
        </m:r>
        <m:f>
          <m:fPr>
            <m:ctrlPr>
              <w:rPr>
                <w:rFonts w:ascii="Cambria Math" w:hAnsi="Cambria Math"/>
                <w:i/>
              </w:rPr>
            </m:ctrlPr>
          </m:fPr>
          <m:num>
            <m:sSub>
              <m:sSubPr>
                <m:ctrlPr>
                  <w:rPr>
                    <w:rFonts w:ascii="Cambria Math" w:hAnsi="Cambria Math"/>
                    <w:i/>
                    <w:lang w:val="el-GR"/>
                  </w:rPr>
                </m:ctrlPr>
              </m:sSubPr>
              <m:e>
                <m:r>
                  <w:rPr>
                    <w:rFonts w:ascii="Cambria Math" w:hAnsi="Cambria Math"/>
                    <w:lang w:val="el-GR"/>
                  </w:rPr>
                  <m:t>ρ</m:t>
                </m:r>
              </m:e>
              <m:sub>
                <m:r>
                  <w:rPr>
                    <w:rFonts w:ascii="Cambria Math" w:hAnsi="Cambria Math"/>
                    <w:vertAlign w:val="subscript"/>
                  </w:rPr>
                  <m:t>Hosp</m:t>
                </m:r>
              </m:sub>
            </m:sSub>
          </m:num>
          <m:den>
            <m:f>
              <m:fPr>
                <m:type m:val="skw"/>
                <m:ctrlPr>
                  <w:rPr>
                    <w:rFonts w:ascii="Cambria Math" w:hAnsi="Cambria Math"/>
                    <w:i/>
                  </w:rPr>
                </m:ctrlPr>
              </m:fPr>
              <m:num>
                <m:r>
                  <w:rPr>
                    <w:rFonts w:ascii="Cambria Math" w:hAnsi="Cambria Math"/>
                  </w:rPr>
                  <m:t>1</m:t>
                </m:r>
              </m:num>
              <m:den>
                <m:r>
                  <w:rPr>
                    <w:rFonts w:ascii="Cambria Math" w:hAnsi="Cambria Math"/>
                  </w:rPr>
                  <m:t>0.2</m:t>
                </m:r>
              </m:den>
            </m:f>
            <m:r>
              <w:rPr>
                <w:rFonts w:ascii="Cambria Math" w:hAnsi="Cambria Math"/>
              </w:rPr>
              <m:t xml:space="preserve"> -1</m:t>
            </m:r>
          </m:den>
        </m:f>
      </m:oMath>
      <w:r w:rsidR="001C1BD1">
        <w:rPr>
          <w:rFonts w:eastAsiaTheme="minorEastAsia"/>
        </w:rPr>
        <w:t>.</w:t>
      </w:r>
    </w:p>
    <w:p w14:paraId="3851191C" w14:textId="687E4DD6" w:rsidR="00AF067A" w:rsidRDefault="00AF067A" w:rsidP="0080109D">
      <w:pPr>
        <w:spacing w:after="240"/>
        <w:jc w:val="both"/>
      </w:pPr>
      <w:r>
        <w:t xml:space="preserve">The colonisation clearance rate is the same </w:t>
      </w:r>
      <w:r w:rsidRPr="0041089E">
        <w:t>(</w:t>
      </w:r>
      <w:r w:rsidRPr="00A0634A">
        <w:rPr>
          <w:lang w:val="el-GR"/>
        </w:rPr>
        <w:t>γ</w:t>
      </w:r>
      <w:r w:rsidR="0080109D">
        <w:t>)</w:t>
      </w:r>
      <w:r>
        <w:t xml:space="preserve"> in all colonised adults</w:t>
      </w:r>
      <w:r w:rsidR="0080109D">
        <w:t xml:space="preserve"> and </w:t>
      </w:r>
      <w:r w:rsidR="00B5065D">
        <w:t xml:space="preserve">was determined in our previous model of </w:t>
      </w:r>
      <w:r w:rsidR="00B5065D">
        <w:rPr>
          <w:i/>
        </w:rPr>
        <w:t>C. difficile</w:t>
      </w:r>
      <w:r w:rsidR="00B5065D" w:rsidRPr="00B5065D">
        <w:t xml:space="preserve"> transmission in a hospital</w:t>
      </w:r>
      <w:r w:rsidR="00B80518">
        <w:t xml:space="preserve"> </w:t>
      </w:r>
      <w:r w:rsidR="00B5065D">
        <w:fldChar w:fldCharType="begin" w:fldLock="1"/>
      </w:r>
      <w:r w:rsidR="00B461B6">
        <w:instrText>ADDIN CSL_CITATION {"citationItems":[{"id":"ITEM-1","itemData":{"DOI":"10.1007/s11538-017-0328-8","author":[{"dropping-particle":"","family":"McLure","given":"Angus","non-dropping-particle":"","parse-names":false,"suffix":""},{"dropping-particle":"","family":"Clements","given":"Archie C. A.","non-dropping-particle":"","parse-names":false,"suffix":""},{"dropping-particle":"","family":"Kirk","given":"Martyn","non-dropping-particle":"","parse-names":false,"suffix":""},{"dropping-particle":"","family":"Glass","given":"Kathryn","non-dropping-particle":"","parse-names":false,"suffix":""}],"container-title":"Bulletin of Mathematical Biology","id":"ITEM-1","issue":"10","issued":{"date-parts":[["2017","10","3"]]},"page":"2242-2257","title":"Healthcare-Associated Clostridium difficile Infections are Sustained by Disease from the Community","type":"article-journal","volume":"79"},"uris":["http://www.mendeley.com/documents/?uuid=40b1ba2d-b9b0-4e6c-926b-4577ae64411f"]}],"mendeley":{"formattedCitation":"[10]","plainTextFormattedCitation":"[10]","previouslyFormattedCitation":"[10]"},"properties":{"noteIndex":0},"schema":"https://github.com/citation-style-language/schema/raw/master/csl-citation.json"}</w:instrText>
      </w:r>
      <w:r w:rsidR="00B5065D">
        <w:fldChar w:fldCharType="separate"/>
      </w:r>
      <w:r w:rsidR="00B80518" w:rsidRPr="00B80518">
        <w:rPr>
          <w:noProof/>
        </w:rPr>
        <w:t>[10]</w:t>
      </w:r>
      <w:r w:rsidR="00B5065D">
        <w:fldChar w:fldCharType="end"/>
      </w:r>
      <w:r w:rsidR="00B5065D">
        <w:t xml:space="preserve"> </w:t>
      </w:r>
      <w:r w:rsidR="0080109D">
        <w:t xml:space="preserve">based on the clearance rate in the control group in a trial for treating asymptomatic colonisation with </w:t>
      </w:r>
      <w:r w:rsidR="0080109D" w:rsidRPr="0080109D">
        <w:t xml:space="preserve">vancomycin </w:t>
      </w:r>
      <w:r w:rsidR="0080109D">
        <w:t>and</w:t>
      </w:r>
      <w:r w:rsidR="0080109D" w:rsidRPr="0080109D">
        <w:t xml:space="preserve"> metronidazole</w:t>
      </w:r>
      <w:r w:rsidR="00B80518">
        <w:t xml:space="preserve"> </w:t>
      </w:r>
      <w:r w:rsidR="0080109D">
        <w:fldChar w:fldCharType="begin" w:fldLock="1"/>
      </w:r>
      <w:r w:rsidR="00C45F1D">
        <w:instrText>ADDIN CSL_CITATION {"citationItems":[{"id":"ITEM-1","itemData":{"DOI":"10.7326/0003-4819-117-4-297","PMID":"1322075","abstract":"OBJECTIVE To compare the efficacy of vancomycin and metronidazole for eradication of asymptomatic Clostridium difficile fecal excretion as a means of controlling nosocomial outbreaks of C. difficile diarrhea. DESIGN Randomized, placebo-controlled, non-blinded trial. SETTING Six hundred-bed regional referral Veterans Affairs Medical Center. PATIENTS Thirty patients excreting C. difficile without diarrhea or abdominal symptoms. INTERVENTIONS All patients were randomized to receive 10 days of oral vancomycin, 125 mg four times daily; metronidazole, 500 mg twice daily; or placebo, three times daily. MEASUREMENTS Stool cultures were obtained during treatment and for 2 months after treatment. All C. difficile isolates were typed by restriction endonuclease analysis (REA). RESULTS Clostridium difficile organisms were not detected during and immediately after treatment in 9 of 10 patients treated with vancomycin compared with 3 of 10 patients treated with metronidazole (P = 0.02) and 2 of 10 patients in the placebo group (P = 0.005). The fecal vancomycin concentration was 1406 +/- 1164 micrograms/g feces, but metronidazole was not detectable in 9 of 10 patients. Eight of the nine evaluable patients who had negative stool cultures after treatment with vancomycin began to excrete C. difficile again 20 +/- 8 days after completing treatment. Three of these patients received additional antibiotics before C. difficile excretion recurred, and five acquired new C. difficile REA strains. Four of six patients who received only vancomycin before C. difficile excretion recurred were culture-positive at the end of the study compared with one of nine patients who received only placebo (P = 0.047). CONCLUSIONS Asymptomatic fecal excretion of C. difficile is transient in most patients, and treatment with metronidazole is not effective. Although treatment with vancomycin is temporarily effective, it is associated with a significantly higher rate of C. difficile carriage 2 months after treatment and is not recommended.","author":[{"dropping-particle":"","family":"Johnson","given":"S","non-dropping-particle":"","parse-names":false,"suffix":""},{"dropping-particle":"","family":"Homann","given":"S R","non-dropping-particle":"","parse-names":false,"suffix":""},{"dropping-particle":"","family":"Bettin","given":"K M","non-dropping-particle":"","parse-names":false,"suffix":""},{"dropping-particle":"","family":"Quick","given":"J N","non-dropping-particle":"","parse-names":false,"suffix":""},{"dropping-particle":"","family":"Clabots","given":"C R","non-dropping-particle":"","parse-names":false,"suffix":""},{"dropping-particle":"","family":"Peterson","given":"L R","non-dropping-particle":"","parse-names":false,"suffix":""},{"dropping-particle":"","family":"Gerding","given":"D N","non-dropping-particle":"","parse-names":false,"suffix":""}],"container-title":"Annals of Internal Medicine","id":"ITEM-1","issue":"4","issued":{"date-parts":[["1992","8","15"]]},"page":"297-302","title":"Treatment of asymptomatic Clostridium difficile carriers (fecal excretors) with vancomycin or metronidazole. A randomized, placebo-controlled trial.","type":"article-journal","volume":"117"},"uris":["http://www.mendeley.com/documents/?uuid=14debb71-46bc-4c14-ad98-a6f3bdc590de"]}],"mendeley":{"formattedCitation":"[11]","plainTextFormattedCitation":"[11]","previouslyFormattedCitation":"[11]"},"properties":{"noteIndex":0},"schema":"https://github.com/citation-style-language/schema/raw/master/csl-citation.json"}</w:instrText>
      </w:r>
      <w:r w:rsidR="0080109D">
        <w:fldChar w:fldCharType="separate"/>
      </w:r>
      <w:r w:rsidR="00B80518" w:rsidRPr="00B80518">
        <w:rPr>
          <w:noProof/>
        </w:rPr>
        <w:t>[11]</w:t>
      </w:r>
      <w:r w:rsidR="0080109D">
        <w:fldChar w:fldCharType="end"/>
      </w:r>
      <w:r>
        <w:t>. The clearance rate in infants (</w:t>
      </w:r>
      <w:r w:rsidRPr="00A0634A">
        <w:rPr>
          <w:lang w:val="el-GR"/>
        </w:rPr>
        <w:t>γ</w:t>
      </w:r>
      <w:r w:rsidRPr="00A0634A">
        <w:rPr>
          <w:vertAlign w:val="subscript"/>
        </w:rPr>
        <w:t>infant</w:t>
      </w:r>
      <w:r w:rsidR="0080109D">
        <w:t xml:space="preserve">) is estimated in our model </w:t>
      </w:r>
      <w:r>
        <w:t xml:space="preserve">to the colonisation profile for infants. </w:t>
      </w:r>
      <w:r w:rsidR="001C1BD1">
        <w:t>The r</w:t>
      </w:r>
      <w:r>
        <w:t xml:space="preserve">ate at which </w:t>
      </w:r>
      <w:r w:rsidRPr="00A0634A">
        <w:rPr>
          <w:i/>
        </w:rPr>
        <w:t>C. difficile</w:t>
      </w:r>
      <w:r>
        <w:t xml:space="preserve"> overgrows in those with damaged gut flora (</w:t>
      </w:r>
      <w:r w:rsidR="00413893" w:rsidRPr="00D84624">
        <w:rPr>
          <w:i/>
          <w:kern w:val="16"/>
          <w:sz w:val="20"/>
          <w:szCs w:val="20"/>
        </w:rPr>
        <w:t>ω</w:t>
      </w:r>
      <w:r w:rsidRPr="0041089E">
        <w:t>)</w:t>
      </w:r>
      <w:r>
        <w:t xml:space="preserve"> is the same in all adults and was </w:t>
      </w:r>
      <w:r w:rsidR="001C1BD1">
        <w:t>determined</w:t>
      </w:r>
      <w:r>
        <w:t xml:space="preserve"> for </w:t>
      </w:r>
      <w:r w:rsidR="004A1EF4">
        <w:t xml:space="preserve">our </w:t>
      </w:r>
      <w:r>
        <w:t>previo</w:t>
      </w:r>
      <w:r w:rsidR="004A1EF4">
        <w:t xml:space="preserve">us model from observations of </w:t>
      </w:r>
      <w:r w:rsidR="004A1EF4">
        <w:rPr>
          <w:i/>
        </w:rPr>
        <w:t>C. difficile</w:t>
      </w:r>
      <w:r w:rsidR="004A1EF4">
        <w:t xml:space="preserve"> overgrowth in a chemostat model of gut flora in human gastrointestinal tract</w:t>
      </w:r>
      <w:r w:rsidR="00B80518">
        <w:t xml:space="preserve"> </w:t>
      </w:r>
      <w:r w:rsidR="004A1EF4">
        <w:fldChar w:fldCharType="begin" w:fldLock="1"/>
      </w:r>
      <w:r w:rsidR="00B461B6">
        <w:instrText>ADDIN CSL_CITATION {"citationItems":[{"id":"ITEM-1","itemData":{"DOI":"10.1093/jac/dkg267","ISBN":"4411334356","ISSN":"1460-2091","PMID":"12775682","abstract":"Clostridium difficile is recognized as an important nosocomial pathogen. C. difficile infection (CDI) is thought to arise as a result of depletion of the normal gut flora by antimicrobial agents. Cefotaxime (CTX) is well-known for its propensity to cause CDI, but the reasons behind its particular predisposition to the disease remain unclear. Previous investigations have so far relied upon the hamster model of CDI or human volunteers. We have used a triple-stage chemostat model of the human gut to investigate the behaviour of C. difficile and components of the normal gut flora, in response to exposure to CTX alone, and in combination with its active metabolite desacetylcefotaxime (dCTX). C. difficile remained in a steady state during non-antibiotic exposed periods, with no detectable cytotoxin. During both antibiotic exposure regimens, proliferation of C. difficile and elevated cytotoxin levels were observed. Cessation of antibiotic instillation produced a reduction in cytotoxin levels and viable counts. Decreases in bacterial counts were observed in response to both antibiotic exposure regimens, notably for bifidobacteria and bacteroides. Numbers of bacteroides were profoundly affected by exposure to the CTX/dCTX combination, and this may indicate a possible role for bacteroides in colonization resistance. We believe that the gut model is a promising method for studying C. difficile pathogenesis in conditions analogous to the in vivo situation.","author":[{"dropping-particle":"","family":"Freeman","given":"Jane","non-dropping-particle":"","parse-names":false,"suffix":""}],"container-title":"Journal of Antimicrobial Chemotherapy","id":"ITEM-1","issue":"1","issued":{"date-parts":[["2003","6","12"]]},"page":"96-102","title":"Effects of cefotaxime and desacetylcefotaxime upon Clostridium difficile proliferation and toxin production in a triple-stage chemostat model of the human gut","type":"article-journal","volume":"52"},"uris":["http://www.mendeley.com/documents/?uuid=983681fd-4571-4122-b1dd-a2fb877e3baf"]}],"mendeley":{"formattedCitation":"[12]","plainTextFormattedCitation":"[12]","previouslyFormattedCitation":"[12]"},"properties":{"noteIndex":0},"schema":"https://github.com/citation-style-language/schema/raw/master/csl-citation.json"}</w:instrText>
      </w:r>
      <w:r w:rsidR="004A1EF4">
        <w:fldChar w:fldCharType="separate"/>
      </w:r>
      <w:r w:rsidR="00B80518" w:rsidRPr="00B80518">
        <w:rPr>
          <w:noProof/>
        </w:rPr>
        <w:t>[12]</w:t>
      </w:r>
      <w:r w:rsidR="004A1EF4">
        <w:fldChar w:fldCharType="end"/>
      </w:r>
      <w:r w:rsidR="004A1EF4">
        <w:t>.</w:t>
      </w:r>
    </w:p>
    <w:p w14:paraId="43D307B9" w14:textId="77777777" w:rsidR="00AF067A" w:rsidRDefault="00AF067A" w:rsidP="004934E6">
      <w:pPr>
        <w:pStyle w:val="Heading3"/>
      </w:pPr>
      <w:r>
        <w:t>Transmission</w:t>
      </w:r>
    </w:p>
    <w:p w14:paraId="11DC0B3E" w14:textId="720374DE" w:rsidR="00AF067A" w:rsidRDefault="00AF067A" w:rsidP="00AF067A">
      <w:pPr>
        <w:spacing w:after="240"/>
        <w:jc w:val="both"/>
      </w:pPr>
      <w:r>
        <w:t xml:space="preserve">Transmission is well mixed within </w:t>
      </w:r>
      <w:r w:rsidR="00AA4400">
        <w:t>each of the hospital and community</w:t>
      </w:r>
      <w:r>
        <w:t xml:space="preserve"> but there is no transmission between </w:t>
      </w:r>
      <w:r w:rsidR="00AA4400">
        <w:t>these two locations</w:t>
      </w:r>
      <w:r>
        <w:t xml:space="preserve"> (only movement of individuals), so there is a separate force of colonisation for the community and hospital. Person-to-person transmission comes from colonised adults with disrupted gut flora (</w:t>
      </w:r>
      <w:r w:rsidRPr="004F591C">
        <w:rPr>
          <w:lang w:val="el-GR"/>
        </w:rPr>
        <w:t>β</w:t>
      </w:r>
      <w:r w:rsidRPr="004F591C">
        <w:rPr>
          <w:vertAlign w:val="subscript"/>
        </w:rPr>
        <w:t>Disrupt</w:t>
      </w:r>
      <w:r>
        <w:t>), colonised adults with intact gut flora (</w:t>
      </w:r>
      <w:r w:rsidRPr="004F591C">
        <w:rPr>
          <w:lang w:val="el-GR"/>
        </w:rPr>
        <w:t>β</w:t>
      </w:r>
      <w:r w:rsidRPr="004F591C">
        <w:rPr>
          <w:vertAlign w:val="subscript"/>
        </w:rPr>
        <w:t>Intact</w:t>
      </w:r>
      <w:r>
        <w:t>) and from infants (</w:t>
      </w:r>
      <w:r w:rsidRPr="004F591C">
        <w:rPr>
          <w:lang w:val="el-GR"/>
        </w:rPr>
        <w:t>β</w:t>
      </w:r>
      <w:r w:rsidRPr="004F591C">
        <w:rPr>
          <w:vertAlign w:val="subscript"/>
        </w:rPr>
        <w:t>infants</w:t>
      </w:r>
      <w:r w:rsidRPr="00D24491">
        <w:t>;</w:t>
      </w:r>
      <w:r>
        <w:t xml:space="preserve"> community only). The transmissio</w:t>
      </w:r>
      <w:r w:rsidR="0080109D">
        <w:t>n parameters from adults are estimated with our</w:t>
      </w:r>
      <w:r>
        <w:t xml:space="preserve"> model. The base assumption is that infants are half as infectious as disrupted adults (</w:t>
      </w:r>
      <w:r w:rsidRPr="004F591C">
        <w:rPr>
          <w:lang w:val="el-GR"/>
        </w:rPr>
        <w:t>β</w:t>
      </w:r>
      <w:r w:rsidRPr="004F591C">
        <w:rPr>
          <w:vertAlign w:val="subscript"/>
        </w:rPr>
        <w:t>infants</w:t>
      </w:r>
      <w:r>
        <w:t xml:space="preserve"> = 0.5 </w:t>
      </w:r>
      <w:r w:rsidRPr="004F591C">
        <w:rPr>
          <w:lang w:val="el-GR"/>
        </w:rPr>
        <w:t>β</w:t>
      </w:r>
      <w:r w:rsidRPr="004F591C">
        <w:rPr>
          <w:vertAlign w:val="subscript"/>
        </w:rPr>
        <w:t>Disrupt</w:t>
      </w:r>
      <w:r>
        <w:t xml:space="preserve">), but we consider </w:t>
      </w:r>
      <w:r w:rsidRPr="004F591C">
        <w:rPr>
          <w:lang w:val="el-GR"/>
        </w:rPr>
        <w:t>β</w:t>
      </w:r>
      <w:r w:rsidRPr="004F591C">
        <w:rPr>
          <w:vertAlign w:val="subscript"/>
        </w:rPr>
        <w:t>infants</w:t>
      </w:r>
      <w:r>
        <w:t xml:space="preserve"> in the range 0 - </w:t>
      </w:r>
      <w:r w:rsidRPr="004F591C">
        <w:rPr>
          <w:lang w:val="el-GR"/>
        </w:rPr>
        <w:t>β</w:t>
      </w:r>
      <w:r w:rsidRPr="004F591C">
        <w:rPr>
          <w:vertAlign w:val="subscript"/>
        </w:rPr>
        <w:t>Disrupt</w:t>
      </w:r>
      <w:r>
        <w:t xml:space="preserve"> in our sensitivity analysis. Contact precautions (for patients receiving treatment) reduces transmission from these individual by factor q</w:t>
      </w:r>
      <w:r w:rsidR="004A1EF4">
        <w:t xml:space="preserve">, </w:t>
      </w:r>
      <w:r w:rsidR="001C1BD1">
        <w:t>determined</w:t>
      </w:r>
      <w:r w:rsidR="004A1EF4">
        <w:t xml:space="preserve"> for our previous model from contact precaution adherence rates</w:t>
      </w:r>
      <w:r w:rsidR="00B80518">
        <w:t xml:space="preserve"> </w:t>
      </w:r>
      <w:r w:rsidR="00E254AA">
        <w:fldChar w:fldCharType="begin" w:fldLock="1"/>
      </w:r>
      <w:r w:rsidR="00B461B6">
        <w:instrText>ADDIN CSL_CITATION {"citationItems":[{"id":"ITEM-1","itemData":{"DOI":"10.1086/502539","abstract":"Background and Objective:","author":[{"dropping-particle":"","family":"Muto","given":"Carlene A.","non-dropping-particle":"","parse-names":false,"suffix":""},{"dropping-particle":"","family":"Pokrywka","given":"Marian","non-dropping-particle":"","parse-names":false,"suffix":""},{"dropping-particle":"","family":"Shutt","given":"Kathleen","non-dropping-particle":"","parse-names":false,"suffix":""},{"dropping-particle":"","family":"Mendelsohn","given":"Aaron B.","non-dropping-particle":"","parse-names":false,"suffix":""},{"dropping-particle":"","family":"Nouri","given":"Kathy","non-dropping-particle":"","parse-names":false,"suffix":""},{"dropping-particle":"","family":"Posey","given":"Kathy","non-dropping-particle":"","parse-names":false,"suffix":""},{"dropping-particle":"","family":"Roberts","given":"Terri","non-dropping-particle":"","parse-names":false,"suffix":""},{"dropping-particle":"","family":"Croyle","given":"Karen","non-dropping-particle":"","parse-names":false,"suffix":""},{"dropping-particle":"","family":"Krystoflak","given":"Sharon","non-dropping-particle":"","parse-names":false,"suffix":""},{"dropping-particle":"","family":"Patel-Brown","given":"Sujata","non-dropping-particle":"","parse-names":false,"suffix":""},{"dropping-particle":"","family":"Pasculle","given":"A. William","non-dropping-particle":"","parse-names":false,"suffix":""},{"dropping-particle":"","family":"Paterson","given":"David L.","non-dropping-particle":"","parse-names":false,"suffix":""},{"dropping-particle":"","family":"Saul","given":"Melissa","non-dropping-particle":"","parse-names":false,"suffix":""},{"dropping-particle":"","family":"Harrison","given":"Lee H.","non-dropping-particle":"","parse-names":false,"suffix":""}],"container-title":"Infection Control &amp; Hospital Epidemiology","id":"ITEM-1","issue":"03","issued":{"date-parts":[["2005","3","21"]]},"page":"273-280","title":"A Large Outbreak of Clostridium difficile–Associated Disease with an Unexpected Proportion of Deaths and Colectomies at a Teaching Hospital Following Increased Fluoroquinolone Use","type":"article-journal","volume":"26"},"uris":["http://www.mendeley.com/documents/?uuid=2989d6de-1dbe-4416-b0d1-563674ddd58f"]}],"mendeley":{"formattedCitation":"[13]","plainTextFormattedCitation":"[13]","previouslyFormattedCitation":"[13]"},"properties":{"noteIndex":0},"schema":"https://github.com/citation-style-language/schema/raw/master/csl-citation.json"}</w:instrText>
      </w:r>
      <w:r w:rsidR="00E254AA">
        <w:fldChar w:fldCharType="separate"/>
      </w:r>
      <w:r w:rsidR="00B80518" w:rsidRPr="00B80518">
        <w:rPr>
          <w:noProof/>
        </w:rPr>
        <w:t>[13]</w:t>
      </w:r>
      <w:r w:rsidR="00E254AA">
        <w:fldChar w:fldCharType="end"/>
      </w:r>
      <w:r>
        <w:t xml:space="preserve">. (We assume no contact precautions in community, i.e. </w:t>
      </w:r>
      <w:proofErr w:type="spellStart"/>
      <w:r>
        <w:t>q</w:t>
      </w:r>
      <w:r w:rsidRPr="00302785">
        <w:rPr>
          <w:vertAlign w:val="subscript"/>
        </w:rPr>
        <w:t>Comm</w:t>
      </w:r>
      <w:proofErr w:type="spellEnd"/>
      <w:r>
        <w:t xml:space="preserve"> = 1). Foodborne transmission adds to the force of colonisation in the community. Infants have different susceptibility to colonisation given by the factor </w:t>
      </w:r>
      <w:r w:rsidRPr="00302785">
        <w:rPr>
          <w:lang w:val="el-GR"/>
        </w:rPr>
        <w:t>θ</w:t>
      </w:r>
      <w:r>
        <w:t xml:space="preserve">. Therefore the force of colonisation for infants is </w:t>
      </w:r>
      <w:r w:rsidRPr="00302785">
        <w:rPr>
          <w:lang w:val="el-GR"/>
        </w:rPr>
        <w:t>θ</w:t>
      </w:r>
      <w:r>
        <w:t xml:space="preserve"> times the force of colonisation in the community.</w:t>
      </w:r>
    </w:p>
    <w:p w14:paraId="460765E5" w14:textId="77777777" w:rsidR="005B594C" w:rsidRDefault="005B594C" w:rsidP="004934E6">
      <w:pPr>
        <w:pStyle w:val="Heading3"/>
      </w:pPr>
      <w:r>
        <w:t>CDI treatment and outcomes</w:t>
      </w:r>
    </w:p>
    <w:p w14:paraId="73F62C1E" w14:textId="6A5DE8EE" w:rsidR="005B594C" w:rsidRDefault="005B594C" w:rsidP="00AF067A">
      <w:pPr>
        <w:spacing w:after="240"/>
        <w:jc w:val="both"/>
      </w:pPr>
      <w:r>
        <w:t>The rate at which individuals with CDI seek treatment in the community was inferred from studies on treatment seeking behaviour for those</w:t>
      </w:r>
      <w:r w:rsidR="00DC453D">
        <w:t xml:space="preserve"> with</w:t>
      </w:r>
      <w:r>
        <w:t xml:space="preserve"> diarrhoea. Van </w:t>
      </w:r>
      <w:proofErr w:type="spellStart"/>
      <w:r>
        <w:t>Cauteren</w:t>
      </w:r>
      <w:proofErr w:type="spellEnd"/>
      <w:r>
        <w:t xml:space="preserve"> et al report that 33% of those who have diarrhoea seek treatment, with mean time to treatment seeking being 1.5 days</w:t>
      </w:r>
      <w:r w:rsidR="00B80518">
        <w:t xml:space="preserve"> </w:t>
      </w:r>
      <w:r w:rsidR="00E254AA">
        <w:fldChar w:fldCharType="begin" w:fldLock="1"/>
      </w:r>
      <w:r w:rsidR="00C45F1D">
        <w:instrText>ADDIN CSL_CITATION {"citationItems":[{"id":"ITEM-1","itemData":{"DOI":"10.1017/S0950268811000999","PMID":"21676346","abstract":"In France surveillance underestimates the true burden of acute gastroenteritis (AG). We conducted a population-based, retrospective cross-sectional telephone survey between May 2009 and April 2010 in order to obtain more accurate estimates of the incidence and the burden of AG and to describe healthcare-seeking behaviour for AG. Of the 10 080 persons included in the survey, 260 respondents reported 263 episodes of AG. The incidence rate of AG was estimated at 0·33 cases/person-year (95% CI 0·28-0·37). It was highest in children aged &lt;5 years and declined with age. Thirty-three percent (95% CI 27-40) of the AG cases consulted a physician and 76% (95% CI 70-82) used medication. Our results indicate that there are more than 21 million episodes of AG each year in France. These results allow a more accurate interpretation of the data derived from existing AG surveillance systems.","author":[{"dropping-particle":"","family":"Cauteren","given":"D","non-dropping-particle":"Van","parse-names":false,"suffix":""},{"dropping-particle":"","family":"Valk","given":"H","non-dropping-particle":"De","parse-names":false,"suffix":""},{"dropping-particle":"","family":"Vaux","given":"S","non-dropping-particle":"","parse-names":false,"suffix":""},{"dropping-particle":"","family":"Strat","given":"Y","non-dropping-particle":"Le","parse-names":false,"suffix":""},{"dropping-particle":"","family":"Vaillant","given":"V","non-dropping-particle":"","parse-names":false,"suffix":""}],"container-title":"Epidemiology and Infection","id":"ITEM-1","issue":"4","issued":{"date-parts":[["2012","4"]]},"page":"697-705","title":"Burden of acute gastroenteritis and healthcare-seeking behaviour in France: a population-based study.","type":"article-journal","volume":"140"},"uris":["http://www.mendeley.com/documents/?uuid=8ef18999-00b0-4dfb-914d-9120b2c7f889"]}],"mendeley":{"formattedCitation":"[14]","plainTextFormattedCitation":"[14]","previouslyFormattedCitation":"[14]"},"properties":{"noteIndex":0},"schema":"https://github.com/citation-style-language/schema/raw/master/csl-citation.json"}</w:instrText>
      </w:r>
      <w:r w:rsidR="00E254AA">
        <w:fldChar w:fldCharType="separate"/>
      </w:r>
      <w:r w:rsidR="00B80518" w:rsidRPr="00B80518">
        <w:rPr>
          <w:noProof/>
        </w:rPr>
        <w:t>[14]</w:t>
      </w:r>
      <w:r w:rsidR="00E254AA">
        <w:fldChar w:fldCharType="end"/>
      </w:r>
      <w:r>
        <w:t>. Assuming a competing hazards model of treatment seeking and recovery, this means that the treatment seeking rate (</w:t>
      </w:r>
      <w:r w:rsidRPr="004F591C">
        <w:rPr>
          <w:lang w:val="el-GR"/>
        </w:rPr>
        <w:t>ρ</w:t>
      </w:r>
      <w:proofErr w:type="spellStart"/>
      <w:r>
        <w:rPr>
          <w:vertAlign w:val="subscript"/>
        </w:rPr>
        <w:t>Comm</w:t>
      </w:r>
      <w:proofErr w:type="spellEnd"/>
      <w:r w:rsidRPr="00F31FFB">
        <w:t>)</w:t>
      </w:r>
      <w:r>
        <w:t xml:space="preserve"> is 0.33/1.5 = 0.22 day</w:t>
      </w:r>
      <w:r>
        <w:rPr>
          <w:vertAlign w:val="superscript"/>
        </w:rPr>
        <w:t>-1</w:t>
      </w:r>
      <w:r w:rsidR="00C63F43">
        <w:t>. Treatment see</w:t>
      </w:r>
      <w:r>
        <w:t>king rate in the hospital is much faster (</w:t>
      </w:r>
      <w:r w:rsidRPr="004F591C">
        <w:rPr>
          <w:lang w:val="el-GR"/>
        </w:rPr>
        <w:t>ρ</w:t>
      </w:r>
      <w:r>
        <w:rPr>
          <w:vertAlign w:val="subscript"/>
        </w:rPr>
        <w:t>Hosp</w:t>
      </w:r>
      <w:r>
        <w:t xml:space="preserve"> = 1 day</w:t>
      </w:r>
      <w:r>
        <w:rPr>
          <w:vertAlign w:val="superscript"/>
        </w:rPr>
        <w:t>-1</w:t>
      </w:r>
      <w:r>
        <w:t>). Treatment rate (</w:t>
      </w:r>
      <w:r w:rsidRPr="004F591C">
        <w:rPr>
          <w:lang w:val="el-GR"/>
        </w:rPr>
        <w:t>τ</w:t>
      </w:r>
      <w:r w:rsidRPr="0041089E">
        <w:t>)</w:t>
      </w:r>
      <w:r>
        <w:t xml:space="preserve"> is same in hospital and community (mean time is 10 days)</w:t>
      </w:r>
      <w:r w:rsidR="00B80518">
        <w:t xml:space="preserve"> </w:t>
      </w:r>
      <w:r w:rsidR="00E254AA">
        <w:fldChar w:fldCharType="begin" w:fldLock="1"/>
      </w:r>
      <w:r w:rsidR="00B461B6">
        <w:instrText>ADDIN CSL_CITATION {"citationItems":[{"id":"ITEM-1","itemData":{"DOI":"10.1053/j.gastro.2008.12.070","ISSN":"1528-0012","PMID":"19457418","abstract":"Clostridium difficile infection is an increasing burden to the health care system, totaling more than $1 billion/year in the United States. Treatment of patients with C difficile infection with metronidazole or vancomycin reduces morbidity and mortality, although the number of patients that do not respond to metronidazole is increasing. Despite initial response rates of greater than 90%, 15%-30% of patients have a relapse in symptoms after successful initial therapy, usually in the first few weeks after treatment is discontinued. Failure to develop specific antibody response has recently been identified as a critical factor in recurrence. The review discusses the different management strategies for initial and recurrent symptomatic C difficile infections.","author":[{"dropping-particle":"","family":"Leffler","given":"Daniel A.","non-dropping-particle":"","parse-names":false,"suffix":""},{"dropping-particle":"","family":"Lamont","given":"J. Thomas","non-dropping-particle":"","parse-names":false,"suffix":""}],"container-title":"Gastroenterology","id":"ITEM-1","issue":"6","issued":{"date-parts":[["2009","5"]]},"page":"1899-912","publisher":"AGA Institute American Gastroenterological Association","title":"Treatment of Clostridium difficile-associated disease.","type":"article-journal","volume":"136"},"uris":["http://www.mendeley.com/documents/?uuid=3c7435b5-cad3-461a-85fd-662bb1098cda"]}],"mendeley":{"formattedCitation":"[15]","plainTextFormattedCitation":"[15]","previouslyFormattedCitation":"[15]"},"properties":{"noteIndex":0},"schema":"https://github.com/citation-style-language/schema/raw/master/csl-citation.json"}</w:instrText>
      </w:r>
      <w:r w:rsidR="00E254AA">
        <w:fldChar w:fldCharType="separate"/>
      </w:r>
      <w:r w:rsidR="00B80518" w:rsidRPr="00B80518">
        <w:rPr>
          <w:noProof/>
        </w:rPr>
        <w:t>[15]</w:t>
      </w:r>
      <w:r w:rsidR="00E254AA">
        <w:fldChar w:fldCharType="end"/>
      </w:r>
      <w:r>
        <w:t>. Treatment success proportion (</w:t>
      </w:r>
      <w:proofErr w:type="spellStart"/>
      <w:r>
        <w:t>p</w:t>
      </w:r>
      <w:r w:rsidRPr="004F591C">
        <w:rPr>
          <w:vertAlign w:val="subscript"/>
        </w:rPr>
        <w:t>t</w:t>
      </w:r>
      <w:proofErr w:type="spellEnd"/>
      <w:r>
        <w:t>) is the same in hospital and community and was estimated in our previous model</w:t>
      </w:r>
      <w:r w:rsidR="00B80518">
        <w:t xml:space="preserve"> </w:t>
      </w:r>
      <w:r w:rsidR="00E254AA">
        <w:fldChar w:fldCharType="begin" w:fldLock="1"/>
      </w:r>
      <w:r w:rsidR="00B461B6">
        <w:instrText>ADDIN CSL_CITATION {"citationItems":[{"id":"ITEM-1","itemData":{"DOI":"10.1007/s11538-017-0328-8","author":[{"dropping-particle":"","family":"McLure","given":"Angus","non-dropping-particle":"","parse-names":false,"suffix":""},{"dropping-particle":"","family":"Clements","given":"Archie C. A.","non-dropping-particle":"","parse-names":false,"suffix":""},{"dropping-particle":"","family":"Kirk","given":"Martyn","non-dropping-particle":"","parse-names":false,"suffix":""},{"dropping-particle":"","family":"Glass","given":"Kathryn","non-dropping-particle":"","parse-names":false,"suffix":""}],"container-title":"Bulletin of Mathematical Biology","id":"ITEM-1","issue":"10","issued":{"date-parts":[["2017","10","3"]]},"page":"2242-2257","title":"Healthcare-Associated Clostridium difficile Infections are Sustained by Disease from the Community","type":"article-journal","volume":"79"},"uris":["http://www.mendeley.com/documents/?uuid=40b1ba2d-b9b0-4e6c-926b-4577ae64411f"]}],"mendeley":{"formattedCitation":"[10]","plainTextFormattedCitation":"[10]","previouslyFormattedCitation":"[10]"},"properties":{"noteIndex":0},"schema":"https://github.com/citation-style-language/schema/raw/master/csl-citation.json"}</w:instrText>
      </w:r>
      <w:r w:rsidR="00E254AA">
        <w:fldChar w:fldCharType="separate"/>
      </w:r>
      <w:r w:rsidR="00B80518" w:rsidRPr="00B80518">
        <w:rPr>
          <w:noProof/>
        </w:rPr>
        <w:t>[10]</w:t>
      </w:r>
      <w:r w:rsidR="00E254AA">
        <w:fldChar w:fldCharType="end"/>
      </w:r>
      <w:r>
        <w:t>. We assume that patients do not have a greater hazard of death with CDI</w:t>
      </w:r>
      <w:r w:rsidR="00B81A43">
        <w:t xml:space="preserve"> as d</w:t>
      </w:r>
      <w:r>
        <w:t xml:space="preserve">eath due to CDI is sufficiently infrequent so as not to significantly affect </w:t>
      </w:r>
      <w:r w:rsidR="00B81A43">
        <w:t>population level outcomes.</w:t>
      </w:r>
    </w:p>
    <w:p w14:paraId="5D57EADF" w14:textId="780A7192" w:rsidR="00BB1B52" w:rsidRDefault="000D60AF" w:rsidP="004934E6">
      <w:pPr>
        <w:pStyle w:val="Heading2"/>
      </w:pPr>
      <w:r>
        <w:t>D</w:t>
      </w:r>
      <w:r w:rsidR="0080109D">
        <w:t>etails of parameter estimation</w:t>
      </w:r>
    </w:p>
    <w:p w14:paraId="10DA5DA2" w14:textId="3E3385B6" w:rsidR="00BB1B52" w:rsidRPr="001D7075" w:rsidRDefault="00BB1B52" w:rsidP="00E710B6">
      <w:pPr>
        <w:spacing w:after="240"/>
        <w:jc w:val="both"/>
      </w:pPr>
      <w:r>
        <w:t xml:space="preserve">We used maximum likelihood estimation to determine the value of eight parameters. The likelihood function was composed of the product of likelihood functions </w:t>
      </w:r>
      <w:r w:rsidR="00775A08">
        <w:t>for</w:t>
      </w:r>
      <w:r>
        <w:t xml:space="preserve"> the colonisation prevalence in infants, the proportion seropositive for </w:t>
      </w:r>
      <w:r>
        <w:rPr>
          <w:i/>
        </w:rPr>
        <w:t>C. difficile</w:t>
      </w:r>
      <w:r>
        <w:t xml:space="preserve"> toxin antibodies by age, the incidence of CDIs in hospitals and communities and number of patients admitted to hospital with CDI as a proportion of all admissions. </w:t>
      </w:r>
    </w:p>
    <w:p w14:paraId="2446C38E" w14:textId="77777777" w:rsidR="00BB1B52" w:rsidRDefault="00BB1B52" w:rsidP="004934E6">
      <w:pPr>
        <w:pStyle w:val="Heading3"/>
      </w:pPr>
      <w:r>
        <w:lastRenderedPageBreak/>
        <w:t xml:space="preserve">Colonisation Prevalence in Infants and Proportion Seropositive by Age </w:t>
      </w:r>
    </w:p>
    <w:p w14:paraId="49C8DECD" w14:textId="77777777" w:rsidR="00BB1B52" w:rsidRDefault="00BB1B52" w:rsidP="00E710B6">
      <w:pPr>
        <w:spacing w:after="240"/>
        <w:jc w:val="both"/>
      </w:pPr>
      <w:r>
        <w:t xml:space="preserve">Kubota et al (2016) collected stool samples from 111 Belgian neonates at approximately one, three, eight, 31, 91, 143 and 182 days after birth. Since the exact number of days since birth was not reported for each sample and infant, for the purposes of likelihood calculations we assumed that each set of samples was taken exactly at exactly one, three, eight, 31, 91 143 and 182 days after birth.  Kubota et al. tested each sample for carriage of </w:t>
      </w:r>
      <w:r>
        <w:rPr>
          <w:i/>
        </w:rPr>
        <w:t xml:space="preserve">C. difficile </w:t>
      </w:r>
      <w:r>
        <w:t xml:space="preserve">and presence of genes for toxins A and B. They reported the sequence of sample results (including missing samples) for the 55 infants who had at least one </w:t>
      </w:r>
      <w:r>
        <w:rPr>
          <w:i/>
        </w:rPr>
        <w:t>C. difficile</w:t>
      </w:r>
      <w:r>
        <w:t xml:space="preserve"> positive sample. For the 56 samples that had no positive tests (for which the sequence of negative and absent samples were not reported) we assumed that there were no missing samples and that all samples were negative. Since we are interested only in toxigenic </w:t>
      </w:r>
      <w:r w:rsidRPr="00786612">
        <w:rPr>
          <w:i/>
        </w:rPr>
        <w:t xml:space="preserve">C. </w:t>
      </w:r>
      <w:r w:rsidRPr="00243701">
        <w:rPr>
          <w:i/>
        </w:rPr>
        <w:t>difficile,</w:t>
      </w:r>
      <w:r>
        <w:t xml:space="preserve"> we considered all </w:t>
      </w:r>
      <w:r>
        <w:rPr>
          <w:i/>
        </w:rPr>
        <w:t>C. difficile</w:t>
      </w:r>
      <w:r>
        <w:t xml:space="preserve"> positive without either toxin genes, as negative samples.</w:t>
      </w:r>
    </w:p>
    <w:p w14:paraId="3A182B80" w14:textId="5C1E200B" w:rsidR="00BB1B52" w:rsidRPr="006C3C6B" w:rsidRDefault="00BB1B52" w:rsidP="00E710B6">
      <w:pPr>
        <w:spacing w:after="240"/>
        <w:jc w:val="both"/>
      </w:pPr>
      <w:r>
        <w:t xml:space="preserve">Rousseau et al (2012) collected monthly stool samples from ten French infants in their first year of life starting at approximately one month. The exact number of days since birth were not given for each sample so we assumed that samples were taken (or were missed) at exactly </w:t>
      </w:r>
      <w:r w:rsidR="00775A08">
        <w:t>30-</w:t>
      </w:r>
      <w:r>
        <w:t xml:space="preserve">day intervals. They performed strain typing on each positive stool sample, typing either one or five colonies. They reported the sequence of sample results including typing and missing results. Since we are interested only in toxigenic </w:t>
      </w:r>
      <w:r w:rsidRPr="00786612">
        <w:rPr>
          <w:i/>
        </w:rPr>
        <w:t xml:space="preserve">C. </w:t>
      </w:r>
      <w:r w:rsidRPr="00243701">
        <w:rPr>
          <w:i/>
        </w:rPr>
        <w:t>difficile</w:t>
      </w:r>
      <w:r>
        <w:t xml:space="preserve">, we </w:t>
      </w:r>
      <w:r w:rsidR="00786612">
        <w:t xml:space="preserve">only </w:t>
      </w:r>
      <w:r>
        <w:t xml:space="preserve">considered </w:t>
      </w:r>
      <w:r w:rsidR="00786612">
        <w:t xml:space="preserve">a </w:t>
      </w:r>
      <w:r>
        <w:t xml:space="preserve">sample </w:t>
      </w:r>
      <w:r w:rsidR="00786612">
        <w:t xml:space="preserve">to be positive if </w:t>
      </w:r>
      <w:r>
        <w:t xml:space="preserve">at least one </w:t>
      </w:r>
      <w:r w:rsidR="00786612">
        <w:t>of the typed isolates was of a toxigenic strain</w:t>
      </w:r>
      <w:r>
        <w:t>.</w:t>
      </w:r>
    </w:p>
    <w:p w14:paraId="4C499CD9" w14:textId="77777777" w:rsidR="00BB1B52" w:rsidRDefault="00BB1B52" w:rsidP="00E710B6">
      <w:pPr>
        <w:spacing w:after="240"/>
        <w:jc w:val="both"/>
      </w:pPr>
      <w:r>
        <w:t xml:space="preserve">Rousseau et al also collected a single stool sample from 85 French children aged 1.5-36.2 months from two day-care centres. They reported the number of samples positive for </w:t>
      </w:r>
      <w:r>
        <w:rPr>
          <w:i/>
        </w:rPr>
        <w:t>C. difficile</w:t>
      </w:r>
      <w:r>
        <w:t xml:space="preserve"> and including the number positive for toxigenic strains of </w:t>
      </w:r>
      <w:r>
        <w:rPr>
          <w:i/>
        </w:rPr>
        <w:t>C. difficile.</w:t>
      </w:r>
      <w:r>
        <w:t xml:space="preserve"> Again, we considered only the samples with a toxigenic strain to be positive and samples with non-toxigenic strains or no strain of </w:t>
      </w:r>
      <w:r>
        <w:rPr>
          <w:i/>
        </w:rPr>
        <w:t>C. difficile</w:t>
      </w:r>
      <w:r>
        <w:t xml:space="preserve"> to be negative.</w:t>
      </w:r>
    </w:p>
    <w:p w14:paraId="3F131862" w14:textId="0659CBD2" w:rsidR="00BB1B52" w:rsidRPr="006400A8" w:rsidRDefault="00BB1B52" w:rsidP="00E710B6">
      <w:pPr>
        <w:spacing w:after="240"/>
        <w:jc w:val="both"/>
      </w:pPr>
      <w:r>
        <w:t xml:space="preserve">Holst et al. (1981) collected stool samples from 130 infants aged 1-12 months and 88 children aged 1-15 years (total 218 samples) and tested for </w:t>
      </w:r>
      <w:r>
        <w:rPr>
          <w:i/>
        </w:rPr>
        <w:t>C. difficile</w:t>
      </w:r>
      <w:r>
        <w:t xml:space="preserve"> carriage. All </w:t>
      </w:r>
      <w:r>
        <w:rPr>
          <w:i/>
        </w:rPr>
        <w:t>C. difficile</w:t>
      </w:r>
      <w:r>
        <w:t xml:space="preserve"> positive samples were for toxigenic strains. The proportion colonised was reported by monthly age brackets for infants under 12 months and larger brackets for older children. For likelihood calculations we assumed that the age of all subjects was exactly in the middle of their age bracket (measured in 30-day months).</w:t>
      </w:r>
    </w:p>
    <w:p w14:paraId="5A9B427D" w14:textId="0AC031BF" w:rsidR="00BB1B52" w:rsidRPr="00D16E1E" w:rsidRDefault="00BB1B52" w:rsidP="00E710B6">
      <w:pPr>
        <w:spacing w:after="240"/>
        <w:jc w:val="both"/>
      </w:pPr>
      <w:proofErr w:type="spellStart"/>
      <w:r>
        <w:t>Adlerberth</w:t>
      </w:r>
      <w:proofErr w:type="spellEnd"/>
      <w:r>
        <w:t xml:space="preserve"> et al</w:t>
      </w:r>
      <w:r w:rsidR="00786612">
        <w:t>.</w:t>
      </w:r>
      <w:r>
        <w:t xml:space="preserve"> </w:t>
      </w:r>
      <w:r w:rsidR="00786612">
        <w:t xml:space="preserve">(2014) </w:t>
      </w:r>
      <w:r>
        <w:t xml:space="preserve">also reported longitudinal </w:t>
      </w:r>
      <w:r>
        <w:rPr>
          <w:i/>
        </w:rPr>
        <w:t xml:space="preserve">C. difficile </w:t>
      </w:r>
      <w:r>
        <w:t>colonisation data in infants, but did not provide denominator data, so their data were not used for fitting the model. However</w:t>
      </w:r>
      <w:r w:rsidR="00775A08">
        <w:t>,</w:t>
      </w:r>
      <w:r>
        <w:t xml:space="preserve"> they did demonstrate that infants </w:t>
      </w:r>
      <w:proofErr w:type="gramStart"/>
      <w:r>
        <w:t>can</w:t>
      </w:r>
      <w:proofErr w:type="gramEnd"/>
      <w:r>
        <w:t xml:space="preserve"> be long-term carriers toxigenic strains of </w:t>
      </w:r>
      <w:r>
        <w:rPr>
          <w:i/>
        </w:rPr>
        <w:t>C. difficile,</w:t>
      </w:r>
      <w:r>
        <w:t xml:space="preserve"> finding that a third of colonised infants were still colonised by the same strain </w:t>
      </w:r>
      <w:r w:rsidR="00786612">
        <w:t>six</w:t>
      </w:r>
      <w:r>
        <w:t xml:space="preserve"> months later</w:t>
      </w:r>
      <w:r w:rsidR="00786612">
        <w:t>.</w:t>
      </w:r>
    </w:p>
    <w:p w14:paraId="11529BEA" w14:textId="1FBAF456" w:rsidR="00BB1B52" w:rsidRDefault="00BB1B52" w:rsidP="00E710B6">
      <w:pPr>
        <w:spacing w:after="240"/>
        <w:jc w:val="both"/>
      </w:pPr>
      <w:proofErr w:type="spellStart"/>
      <w:r>
        <w:t>Viscidi</w:t>
      </w:r>
      <w:proofErr w:type="spellEnd"/>
      <w:r>
        <w:t xml:space="preserve"> et al. (1983) report the age-related prevalence of antibodies to toxin A and toxin B of </w:t>
      </w:r>
      <w:r w:rsidRPr="0073454D">
        <w:rPr>
          <w:i/>
        </w:rPr>
        <w:t>C.</w:t>
      </w:r>
      <w:r>
        <w:rPr>
          <w:i/>
        </w:rPr>
        <w:t xml:space="preserve"> </w:t>
      </w:r>
      <w:r w:rsidRPr="0073454D">
        <w:rPr>
          <w:i/>
        </w:rPr>
        <w:t xml:space="preserve">difficile </w:t>
      </w:r>
      <w:r>
        <w:t>in 98 paediatric in-patients and 242 outpatients from a US hospital. The trends for toxins A and B were similar. Since toxin A and B antibodies were measured from the same set of patients, the two trends cannot be considered independent</w:t>
      </w:r>
      <w:r w:rsidR="00775A08">
        <w:t>,</w:t>
      </w:r>
      <w:r>
        <w:t xml:space="preserve"> so we considered only the data for toxin-B prevalence.</w:t>
      </w:r>
    </w:p>
    <w:p w14:paraId="29342611" w14:textId="3DECE66B" w:rsidR="00BB1B52" w:rsidRDefault="00BB1B52" w:rsidP="00E710B6">
      <w:pPr>
        <w:spacing w:after="240"/>
        <w:jc w:val="both"/>
      </w:pPr>
      <w:r>
        <w:t xml:space="preserve">The probability that an individual would be </w:t>
      </w:r>
      <w:r w:rsidR="00775A08">
        <w:t>in each</w:t>
      </w:r>
      <w:r>
        <w:t xml:space="preserve"> state (i.e. colonised/non-colonised or seropositive/seronegative) at a given age was calculated for a given set of parameters using the Markov chain approximation for an individual, with the force of colonisation at the equilibrium value. For the cross-sectional datasets, the model likelihood was derived from a product of binomially distributed random variables with</w:t>
      </w:r>
      <w:r w:rsidRPr="006323B9">
        <w:t xml:space="preserve"> </w:t>
      </w:r>
      <w:proofErr w:type="spellStart"/>
      <w:r>
        <w:t>n</w:t>
      </w:r>
      <w:r>
        <w:rPr>
          <w:vertAlign w:val="subscript"/>
        </w:rPr>
        <w:t>i</w:t>
      </w:r>
      <w:proofErr w:type="spellEnd"/>
      <w:r>
        <w:rPr>
          <w:vertAlign w:val="subscript"/>
        </w:rPr>
        <w:t xml:space="preserve"> </w:t>
      </w:r>
      <w:r>
        <w:t xml:space="preserve">trials (the number of samples for age group </w:t>
      </w:r>
      <w:proofErr w:type="spellStart"/>
      <w:r w:rsidRPr="006323B9">
        <w:rPr>
          <w:i/>
        </w:rPr>
        <w:t>i</w:t>
      </w:r>
      <w:proofErr w:type="spellEnd"/>
      <w:r>
        <w:t>), x</w:t>
      </w:r>
      <w:r>
        <w:rPr>
          <w:vertAlign w:val="subscript"/>
        </w:rPr>
        <w:t>i</w:t>
      </w:r>
      <w:r>
        <w:t xml:space="preserve"> </w:t>
      </w:r>
      <w:r>
        <w:lastRenderedPageBreak/>
        <w:t xml:space="preserve">successes (i.e. the number of </w:t>
      </w:r>
      <w:r>
        <w:rPr>
          <w:i/>
        </w:rPr>
        <w:t xml:space="preserve">C. difficile </w:t>
      </w:r>
      <w:r>
        <w:t>positive or seropositive samples) and success probability p</w:t>
      </w:r>
      <w:r>
        <w:rPr>
          <w:vertAlign w:val="subscript"/>
        </w:rPr>
        <w:t>i</w:t>
      </w:r>
      <w:r>
        <w:t xml:space="preserve"> (the model predicted probability that an individual of that age group would be </w:t>
      </w:r>
      <w:r>
        <w:rPr>
          <w:i/>
        </w:rPr>
        <w:t>C. difficile</w:t>
      </w:r>
      <w:r>
        <w:t xml:space="preserve"> positive or seropositive). For the datasets reporting the longitudinal sequence of sample results, the model likelihood a given sequence of results was the model probability that Markov chain of the individual would pass through those states at the sample ages.</w:t>
      </w:r>
    </w:p>
    <w:p w14:paraId="4EEA03FA" w14:textId="265B4040" w:rsidR="000D60AF" w:rsidRPr="001D5951" w:rsidRDefault="000D60AF" w:rsidP="00E710B6">
      <w:pPr>
        <w:spacing w:after="240"/>
        <w:jc w:val="both"/>
        <w:rPr>
          <w:sz w:val="20"/>
        </w:rPr>
      </w:pPr>
      <w:r w:rsidRPr="001D5951">
        <w:rPr>
          <w:szCs w:val="24"/>
        </w:rPr>
        <w:t xml:space="preserve">The older, cross-sectional study by Holst et al. </w:t>
      </w:r>
      <w:r w:rsidRPr="001D5951">
        <w:rPr>
          <w:rStyle w:val="None"/>
          <w:szCs w:val="24"/>
          <w:vertAlign w:val="superscript"/>
        </w:rPr>
        <w:fldChar w:fldCharType="begin" w:fldLock="1"/>
      </w:r>
      <w:r w:rsidR="00C45F1D">
        <w:rPr>
          <w:rStyle w:val="None"/>
          <w:rFonts w:cs="Times New Roman"/>
          <w:szCs w:val="24"/>
          <w:vertAlign w:val="superscript"/>
        </w:rPr>
        <w:instrText>ADDIN CSL_CITATION {"citationItems":[{"id":"ITEM-1","itemData":{"DOI":"10.1080/00365548.1981.11690365","PMID":"7244558","abstract":"The occurrence of Clostridium difficile in faecal specimens of 218 children, aged 2 weeks to 15 years, was studied. The organism was recovered from 43 (20%) of the children (range 2 weeks to 10 years). The isolation frequency was significantly correlated to age. Thus, in children 1 to 8 months of age the organism occurred in 64%, while in children below and above that age C. difficile could only be recovered in 4%. No significant difference in the recovery frequency could be demonstrated between children with (23%) and without (17%) gastroenteritis. C. difficile occurred numerically more often in non-antibiotic treated children (22%) than in those given such drugs (13%). None of the children in the present study had evidence of pseudomembranous colitis. A comparative study of different selective media did not demonstrate any difference in the recovery frequency of C. difficile. The media used were Chopped Meat Glucose broth with cycloserine and either kanamycin or cefoxitin, and Cycloserine-Cefoxitin-Fructose agar.","author":[{"dropping-particle":"","family":"Holst","given":"E.","non-dropping-particle":"","parse-names":false,"suffix":""},{"dropping-particle":"","family":"Helin","given":"I.","non-dropping-particle":"","parse-names":false,"suffix":""},{"dropping-particle":"","family":"Mårdh","given":"P A","non-dropping-particle":"","parse-names":false,"suffix":""}],"container-title":"Scandinavian Journal of Infectious Diseases","id":"ITEM-1","issue":"1","issued":{"date-parts":[["1981"]]},"page":"41-5","title":"Recovery of Clostridium difficile from children.","type":"article-journal","volume":"13"},"uris":["http://www.mendeley.com/documents/?uuid=d86aa5d3-8be0-4292-8f1b-3d9b95103aa5"]}],"mendeley":{"formattedCitation":"[16]","plainTextFormattedCitation":"[16]","previouslyFormattedCitation":"[16]"},"properties":{"noteIndex":0},"schema":"https://github.com/citation-style-language/schema/raw/master/csl-citation.json"}</w:instrText>
      </w:r>
      <w:r w:rsidRPr="001D5951">
        <w:rPr>
          <w:rStyle w:val="None"/>
          <w:szCs w:val="24"/>
          <w:vertAlign w:val="superscript"/>
        </w:rPr>
        <w:fldChar w:fldCharType="separate"/>
      </w:r>
      <w:r w:rsidR="00B80518" w:rsidRPr="001D5951">
        <w:rPr>
          <w:rStyle w:val="None"/>
          <w:rFonts w:cs="Times New Roman"/>
          <w:noProof/>
          <w:szCs w:val="24"/>
        </w:rPr>
        <w:t>[16]</w:t>
      </w:r>
      <w:r w:rsidRPr="001D5951">
        <w:rPr>
          <w:rStyle w:val="None"/>
          <w:szCs w:val="24"/>
          <w:vertAlign w:val="superscript"/>
        </w:rPr>
        <w:fldChar w:fldCharType="end"/>
      </w:r>
      <w:r w:rsidRPr="001D5951">
        <w:rPr>
          <w:szCs w:val="24"/>
        </w:rPr>
        <w:t xml:space="preserve"> found much higher prevalence of toxigenic colonisation amongst infants than recent studies </w:t>
      </w:r>
      <w:r w:rsidRPr="001D5951">
        <w:rPr>
          <w:szCs w:val="24"/>
        </w:rPr>
        <w:fldChar w:fldCharType="begin" w:fldLock="1"/>
      </w:r>
      <w:r w:rsidR="00C45F1D">
        <w:rPr>
          <w:szCs w:val="24"/>
        </w:rPr>
        <w:instrText>ADDIN CSL_CITATION {"citationItems":[{"id":"ITEM-1","itemData":{"DOI":"10.1093/cid/cis637","PMID":"22843784","abstract":"BACKGROUND: Clostridium difficile has long been considered to be a nosocomial pathogen but has emerged in the community in recent years. During infancy, asymptomatic C. difficile colonization is common. However, knowledge of colonization determinants and strain characteristics is limited. We studied the dynamics of C. difficile colonization in healthy infants from the community. Determinants of colonization and strain genotypes were also determined in a cohort of infants attending day nurseries.\\n\\nMETHODS: A 1-year follow-up study involving 10 healthy infants was performed to determine the incidence and kinetics of intestinal C. difficile colonization. In addition, a 1-point study involving 85 healthy infants (age, 0-3 years) from 2 day nurseries was performed. C. difficile isolates were typed by polymerase chain reaction-ribotyping and analyzed for the presence of toxin genes.\\n\\nRESULTS: During the follow-up study, all infants acquired C. difficile and were colonized for several months. An early (neonatal) and a late (4-6 months of age) acquisition period were identified. In day nurseries, 38 infants (45%) carried C. difficile, with 11 (13%) carrying a toxigenic isolate. Age and several environmental factors were associated with the C. difficile carrier state. Strains causing disease in adults were identified in infants. Interestingly, no infant carried the common epidemic 027 or 078 strains.\\n\\nCONCLUSIONS: This study provides information on the dynamics of colonization in infants in the community and on the genotype of involved strains. C. difficile colonization appears mainly as an age-dependent process. Pathogenic strains circulate in asymptomatic infants from the community, who represent a potential reservoir of pathogenic strains.","author":[{"dropping-particle":"","family":"Rousseau","given":"Clotilde","non-dropping-particle":"","parse-names":false,"suffix":""},{"dropping-particle":"","family":"Poilane","given":"Isabelle","non-dropping-particle":"","parse-names":false,"suffix":""},{"dropping-particle":"","family":"Pontual","given":"Loic","non-dropping-particle":"De","parse-names":false,"suffix":""},{"dropping-particle":"","family":"Maherault","given":"A.-C.","non-dropping-particle":"","parse-names":false,"suffix":""},{"dropping-particle":"","family":"Monnier","given":"Alban","non-dropping-particle":"Le","parse-names":false,"suffix":""},{"dropping-particle":"","family":"Collignon","given":"Anne","non-dropping-particle":"","parse-names":false,"suffix":""}],"container-title":"Clinical Infectious Diseases","id":"ITEM-1","issue":"9","issued":{"date-parts":[["2012","11","1"]]},"page":"1209-1215","title":"Clostridium difficile Carriage in Healthy Infants in the Community: A Potential Reservoir for Pathogenic Strains","type":"article-journal","volume":"55"},"uris":["http://www.mendeley.com/documents/?uuid=de12f32c-ae8a-4dca-861e-104c28da2d5c"]},{"id":"ITEM-2","itemData":{"DOI":"10.1128/AEM.01540-16","ISBN":"1098-5336 (Electronic) 0099-2240 (Linking)","ISSN":"1098-5336","PMID":"27451451","abstract":"Asymptomatic infant carriers of toxigenic Clostridium difficile are suggested to play a role in the transmission of C. difficile infection (CDI) in adults. However, the mode of C. difficile carriage in infants remains to be fully elucidated. We investigated longitudinal changes in carriage rates, counts, and strain types of toxigenic C. difficile in infants. Stools collected from 111 healthy infants in Belgium periodically from birth until the age of 6 months were examined by quantitative PCR targeting 16S rRNA and toxin genes. Toxigenic C. difficile was detected in 18 of 111 infants (16%) in the period up to the age of 6 months. The carriage rate of toxigenic C. difficile remained below 5% until the age of 3 months. The carriage rate increased to 13% 1 week after weaning (average age, 143 days) and reached 16% at the age of 6 months. Counts of toxigenic C. difficile bacteria ranged from 10(4) to 10(8) cells/g of stool. Notably, two infants retained &gt;10(8) cells/g of stool for at least several weeks. Average counts in the 18 infants hovered around 10(7) cells/g of stool from the age of 3 days until the age of 6 months, showing no age-related trend. Genotyping of toxigenic C. difficile isolates from the 18 infants revealed that 11 infants each retained a particular monophyletic strain for at least a month. The genotype most frequently identified was the same as that frequently identified in symptomatic adult CDI patients. Thus, toxigenic C. difficile strains-potential causes of CDI in adults-colonized the infants' intestines. IMPORTANCE Our study provides longitudinal data on counts and strain types of toxigenic C. difficile in infants. We found that considerable numbers of toxigenic C. difficile bacteria colonized the infants' intestines. The results of strain typing suggest that toxigenic C. difficile carried by healthy infants could be potentially pathogenic to adults. These results and findings are informative not only for ecological studies but also for efforts to prevent or control the spread of CDI in adults.","author":[{"dropping-particle":"","family":"Kubota","given":"Hiroyuki","non-dropping-particle":"","parse-names":false,"suffix":""},{"dropping-particle":"","family":"Makino","given":"Hiroshi","non-dropping-particle":"","parse-names":false,"suffix":""},{"dropping-particle":"","family":"Gawad","given":"Agata","non-dropping-particle":"","parse-names":false,"suffix":""},{"dropping-particle":"","family":"Kushiro","given":"Akira","non-dropping-particle":"","parse-names":false,"suffix":""},{"dropping-particle":"","family":"Ishikawa","given":"Eiji","non-dropping-particle":"","parse-names":false,"suffix":""},{"dropping-particle":"","family":"Sakai","given":"Takafumi","non-dropping-particle":"","parse-names":false,"suffix":""},{"dropping-particle":"","family":"Akiyama","given":"Takuya","non-dropping-particle":"","parse-names":false,"suffix":""},{"dropping-particle":"","family":"Matsuda","given":"Kazunori","non-dropping-particle":"","parse-names":false,"suffix":""},{"dropping-particle":"","family":"Martin","given":"Rocio","non-dropping-particle":"","parse-names":false,"suffix":""},{"dropping-particle":"","family":"Knol","given":"Jan","non-dropping-particle":"","parse-names":false,"suffix":""},{"dropping-particle":"","family":"Oishi","given":"Kenji","non-dropping-particle":"","parse-names":false,"suffix":""}],"container-title":"Applied and Environmental Microbiology","id":"ITEM-2","issue":"19","issued":{"date-parts":[["2016","10","1"]]},"page":"5806-14","title":"Longitudinal Investigation of Carriage Rates, Counts, and Genotypes of Toxigenic Clostridium difficile in Early Infancy.","type":"article-journal","volume":"82"},"uris":["http://www.mendeley.com/documents/?uuid=e9670c78-69e3-4d68-80cf-e799355e9a8d"]}],"mendeley":{"formattedCitation":"[17,18]","plainTextFormattedCitation":"[17,18]","previouslyFormattedCitation":"[17,18]"},"properties":{"noteIndex":0},"schema":"https://github.com/citation-style-language/schema/raw/master/csl-citation.json"}</w:instrText>
      </w:r>
      <w:r w:rsidRPr="001D5951">
        <w:rPr>
          <w:szCs w:val="24"/>
        </w:rPr>
        <w:fldChar w:fldCharType="separate"/>
      </w:r>
      <w:r w:rsidR="00B80518" w:rsidRPr="001D5951">
        <w:rPr>
          <w:noProof/>
          <w:szCs w:val="24"/>
        </w:rPr>
        <w:t>[17,18]</w:t>
      </w:r>
      <w:r w:rsidRPr="001D5951">
        <w:rPr>
          <w:szCs w:val="24"/>
        </w:rPr>
        <w:fldChar w:fldCharType="end"/>
      </w:r>
      <w:r w:rsidRPr="001D5951">
        <w:rPr>
          <w:szCs w:val="24"/>
        </w:rPr>
        <w:t>, lead to poor model fit when combined with the recent studies or when used as the only infant colonisation data set and was therefore excluded.</w:t>
      </w:r>
    </w:p>
    <w:p w14:paraId="50A52DA5" w14:textId="77777777" w:rsidR="00BB1B52" w:rsidRDefault="00BB1B52" w:rsidP="004934E6">
      <w:pPr>
        <w:pStyle w:val="Heading3"/>
      </w:pPr>
      <w:r>
        <w:t>Incidence of healthcare-associated and community-associated CDI</w:t>
      </w:r>
    </w:p>
    <w:p w14:paraId="6BD4FA1E" w14:textId="46D3992A" w:rsidR="00BB1B52" w:rsidRPr="00804429" w:rsidRDefault="00BB1B52" w:rsidP="00E710B6">
      <w:pPr>
        <w:spacing w:after="240"/>
        <w:jc w:val="both"/>
        <w:rPr>
          <w:rFonts w:eastAsiaTheme="minorEastAsia"/>
        </w:rPr>
      </w:pPr>
      <w:proofErr w:type="spellStart"/>
      <w:r>
        <w:t>Lessa</w:t>
      </w:r>
      <w:proofErr w:type="spellEnd"/>
      <w:r>
        <w:t xml:space="preserve"> et al. (2015) estimate</w:t>
      </w:r>
      <w:r w:rsidR="00DF42F5">
        <w:t>d</w:t>
      </w:r>
      <w:r>
        <w:t xml:space="preserve"> the incidence of CDIs in the United States based on surveillance data from </w:t>
      </w:r>
      <w:r w:rsidR="00775A08">
        <w:t>several</w:t>
      </w:r>
      <w:r>
        <w:t xml:space="preserve"> US counties. They used a three-day cut-off for hospital onset CDIs and a single twelve-week cut-off for community onset CDIs to differentiate healthcare and community acquired CDIs. In their </w:t>
      </w:r>
      <w:r w:rsidR="008052D2">
        <w:t>article</w:t>
      </w:r>
      <w:r>
        <w:t xml:space="preserve"> they further subdivided healthcare associated cases into community-onset healthcare acquired, nursing-home onset and hospital-onset hospital-acquired cases. We simulated the application of the three-day and twelve-week cut-off to determine the mod</w:t>
      </w:r>
      <w:r w:rsidR="00746854">
        <w:t xml:space="preserve">el incidence of hospital-onset </w:t>
      </w:r>
      <w:r>
        <w:t>hospital-acquired CDIs, community-onset hospital acquired CDIs and community acquired CDIs. However, because our model did not differentiate between nursing home and the general community, we included nursing home onset cases in with community acquired cases for the construction of the likelihood function.</w:t>
      </w:r>
      <w:r w:rsidR="00764A6D">
        <w:t xml:space="preserve"> Recurrent cases – defined as any case with a period of symptoms in the 8 weeks</w:t>
      </w:r>
      <w:r w:rsidR="00DF42F5">
        <w:t xml:space="preserve"> prior to onset of symptoms (community-onset cases) or hospital admission (hospital-onset cases)</w:t>
      </w:r>
      <w:r w:rsidR="00764A6D">
        <w:t xml:space="preserve"> – were excluded</w:t>
      </w:r>
      <w:r w:rsidR="00DF42F5">
        <w:t xml:space="preserve"> for the purposes of incidence estimation</w:t>
      </w:r>
      <w:r w:rsidR="00764A6D">
        <w:t xml:space="preserve">. </w:t>
      </w:r>
      <w:r>
        <w:t xml:space="preserve">The likelihood functions for the incidence of each category </w:t>
      </w:r>
      <w:r w:rsidR="00DF42F5">
        <w:t xml:space="preserve">(e.g. community-onset hospital acquired) </w:t>
      </w:r>
      <w:r>
        <w:t xml:space="preserve">of CDI were normal </w:t>
      </w:r>
      <w:r w:rsidR="00DF42F5">
        <w:t>and independent</w:t>
      </w:r>
      <w:r>
        <w:t xml:space="preserve"> with mean equal to the reported incidence and standard deviation equal to width of the reported confidence interval divided by </w:t>
      </w:r>
      <m:oMath>
        <m:r>
          <w:rPr>
            <w:rFonts w:ascii="Cambria Math" w:hAnsi="Cambria Math"/>
          </w:rPr>
          <m:t>2×1.96</m:t>
        </m:r>
      </m:oMath>
      <w:r>
        <w:rPr>
          <w:rFonts w:eastAsiaTheme="minorEastAsia"/>
        </w:rPr>
        <w:t>.</w:t>
      </w:r>
    </w:p>
    <w:p w14:paraId="648C2F4E" w14:textId="77777777" w:rsidR="00BB1B52" w:rsidRDefault="00BB1B52" w:rsidP="004934E6">
      <w:pPr>
        <w:pStyle w:val="Heading3"/>
      </w:pPr>
      <w:r>
        <w:t>Proportion of Admissions with CDI</w:t>
      </w:r>
    </w:p>
    <w:p w14:paraId="70FFBE71" w14:textId="3248E17C" w:rsidR="00BB1B52" w:rsidRDefault="00BB1B52" w:rsidP="00E710B6">
      <w:pPr>
        <w:spacing w:after="240"/>
        <w:jc w:val="both"/>
        <w:rPr>
          <w:rFonts w:eastAsiaTheme="minorEastAsia"/>
        </w:rPr>
      </w:pPr>
      <w:r>
        <w:t xml:space="preserve">HCUP provide information on hospitalisations in the Unites States stratified by diagnoses. We extracted the total number of hospital inpatient discharges and the number of hospital inpatient discharged where the principal diagnosis was </w:t>
      </w:r>
      <w:r>
        <w:rPr>
          <w:i/>
        </w:rPr>
        <w:t>C. difficile</w:t>
      </w:r>
      <w:r>
        <w:t xml:space="preserve"> infection (</w:t>
      </w:r>
      <w:r w:rsidRPr="001D7075">
        <w:t xml:space="preserve">Diagnoses--ICD-9-CM Codes (ICD9), Principal Diagnosis: 008.45 </w:t>
      </w:r>
      <w:proofErr w:type="spellStart"/>
      <w:r w:rsidRPr="001D7075">
        <w:t>Int</w:t>
      </w:r>
      <w:proofErr w:type="spellEnd"/>
      <w:r w:rsidRPr="001D7075">
        <w:t xml:space="preserve"> </w:t>
      </w:r>
      <w:proofErr w:type="spellStart"/>
      <w:r w:rsidRPr="001D7075">
        <w:t>Inf</w:t>
      </w:r>
      <w:proofErr w:type="spellEnd"/>
      <w:r w:rsidRPr="001D7075">
        <w:t xml:space="preserve"> </w:t>
      </w:r>
      <w:proofErr w:type="spellStart"/>
      <w:r w:rsidRPr="001D7075">
        <w:t>Clstrdium</w:t>
      </w:r>
      <w:proofErr w:type="spellEnd"/>
      <w:r w:rsidRPr="001D7075">
        <w:t xml:space="preserve"> </w:t>
      </w:r>
      <w:proofErr w:type="spellStart"/>
      <w:r w:rsidRPr="001D7075">
        <w:t>Dfcile</w:t>
      </w:r>
      <w:proofErr w:type="spellEnd"/>
      <w:r>
        <w:t>) for the year 2014 (the most recent available data at time of extraction)</w:t>
      </w:r>
      <w:r w:rsidR="00B80518">
        <w:t xml:space="preserve"> </w:t>
      </w:r>
      <w:r w:rsidR="005B310C">
        <w:fldChar w:fldCharType="begin" w:fldLock="1"/>
      </w:r>
      <w:r w:rsidR="00B461B6">
        <w:instrText>ADDIN CSL_CITATION {"citationItems":[{"id":"ITEM-1","itemData":{"author":[{"dropping-particle":"","family":"Healthcare Cost and Utilization Project (HCUP)","given":"","non-dropping-particle":"","parse-names":false,"suffix":""}],"id":"ITEM-1","issued":{"date-parts":[["2014"]]},"publisher":"Agency for Healthcare Research and Quality","publisher-place":"Rockville, MD","title":"HCUP National Inpatient Sample (NIS)","type":"article"},"uris":["http://www.mendeley.com/documents/?uuid=4af05b08-6a53-45d2-9b0d-0cecdae1baf7"]}],"mendeley":{"formattedCitation":"[19]","plainTextFormattedCitation":"[19]","previouslyFormattedCitation":"[19]"},"properties":{"noteIndex":0},"schema":"https://github.com/citation-style-language/schema/raw/master/csl-citation.json"}</w:instrText>
      </w:r>
      <w:r w:rsidR="005B310C">
        <w:fldChar w:fldCharType="separate"/>
      </w:r>
      <w:r w:rsidR="00B80518" w:rsidRPr="00B80518">
        <w:rPr>
          <w:noProof/>
        </w:rPr>
        <w:t>[19]</w:t>
      </w:r>
      <w:r w:rsidR="005B310C">
        <w:fldChar w:fldCharType="end"/>
      </w:r>
      <w:r>
        <w:t xml:space="preserve">. The likelihood function for the proportion of admissions with CDI was normally distributed with mean equal to the proportion of all discharges where CDI was the primary diagnosis and standard deviation equal to the reported confidence interval divided by </w:t>
      </w:r>
      <m:oMath>
        <m:r>
          <w:rPr>
            <w:rFonts w:ascii="Cambria Math" w:hAnsi="Cambria Math"/>
          </w:rPr>
          <m:t>2×1.96.</m:t>
        </m:r>
      </m:oMath>
    </w:p>
    <w:p w14:paraId="2225405B" w14:textId="77777777" w:rsidR="000D32FE" w:rsidRDefault="000D32FE" w:rsidP="004934E6">
      <w:pPr>
        <w:pStyle w:val="Heading3"/>
      </w:pPr>
      <w:r>
        <w:t>Alternate fitting assumptions</w:t>
      </w:r>
    </w:p>
    <w:p w14:paraId="0A22AED1" w14:textId="387918AE" w:rsidR="000D32FE" w:rsidRPr="00E710B6" w:rsidRDefault="000D32FE" w:rsidP="000D32FE">
      <w:pPr>
        <w:jc w:val="both"/>
      </w:pPr>
      <w:r>
        <w:t xml:space="preserve">We considered multiple sets of assumptions when trying to estimate the transmission rates which are best expressed in terms of the transmission parameters giving the transmission rate from each type of colonised individual by setting (hospital or community): </w:t>
      </w:r>
      <w:r>
        <w:rPr>
          <w:lang w:val="el-GR"/>
        </w:rPr>
        <w:t>β</w:t>
      </w:r>
      <w:proofErr w:type="spellStart"/>
      <w:r>
        <w:rPr>
          <w:vertAlign w:val="subscript"/>
        </w:rPr>
        <w:t>Comm</w:t>
      </w:r>
      <w:proofErr w:type="gramStart"/>
      <w:r>
        <w:rPr>
          <w:vertAlign w:val="subscript"/>
        </w:rPr>
        <w:t>,Intact</w:t>
      </w:r>
      <w:proofErr w:type="spellEnd"/>
      <w:proofErr w:type="gramEnd"/>
      <w:r>
        <w:rPr>
          <w:vertAlign w:val="subscript"/>
        </w:rPr>
        <w:t>,</w:t>
      </w:r>
      <w:r w:rsidRPr="0041089E">
        <w:t xml:space="preserve"> </w:t>
      </w:r>
      <w:r>
        <w:rPr>
          <w:lang w:val="el-GR"/>
        </w:rPr>
        <w:t>β</w:t>
      </w:r>
      <w:proofErr w:type="spellStart"/>
      <w:r>
        <w:rPr>
          <w:vertAlign w:val="subscript"/>
        </w:rPr>
        <w:t>Hosp,Intact</w:t>
      </w:r>
      <w:proofErr w:type="spellEnd"/>
      <w:r>
        <w:rPr>
          <w:vertAlign w:val="subscript"/>
        </w:rPr>
        <w:t>,</w:t>
      </w:r>
      <w:r w:rsidRPr="0041089E">
        <w:t xml:space="preserve"> </w:t>
      </w:r>
      <w:r>
        <w:rPr>
          <w:lang w:val="el-GR"/>
        </w:rPr>
        <w:t>β</w:t>
      </w:r>
      <w:proofErr w:type="spellStart"/>
      <w:r>
        <w:rPr>
          <w:vertAlign w:val="subscript"/>
        </w:rPr>
        <w:t>Comm,Disrupt</w:t>
      </w:r>
      <w:proofErr w:type="spellEnd"/>
      <w:r>
        <w:rPr>
          <w:vertAlign w:val="subscript"/>
        </w:rPr>
        <w:t>,</w:t>
      </w:r>
      <w:r w:rsidRPr="0041089E">
        <w:t xml:space="preserve"> </w:t>
      </w:r>
      <w:r>
        <w:rPr>
          <w:lang w:val="el-GR"/>
        </w:rPr>
        <w:t>β</w:t>
      </w:r>
      <w:proofErr w:type="spellStart"/>
      <w:r>
        <w:rPr>
          <w:vertAlign w:val="subscript"/>
        </w:rPr>
        <w:t>Hosp,Disrupt</w:t>
      </w:r>
      <w:proofErr w:type="spellEnd"/>
      <w:r>
        <w:t xml:space="preserve"> and </w:t>
      </w:r>
      <w:r>
        <w:rPr>
          <w:lang w:val="el-GR"/>
        </w:rPr>
        <w:t>β</w:t>
      </w:r>
      <w:r>
        <w:rPr>
          <w:vertAlign w:val="subscript"/>
        </w:rPr>
        <w:t>infant</w:t>
      </w:r>
      <w:r>
        <w:t xml:space="preserve">. Throughout we assumed that </w:t>
      </w:r>
      <w:r>
        <w:rPr>
          <w:lang w:val="el-GR"/>
        </w:rPr>
        <w:t>β</w:t>
      </w:r>
      <w:r>
        <w:rPr>
          <w:vertAlign w:val="subscript"/>
        </w:rPr>
        <w:t>infant</w:t>
      </w:r>
      <w:r>
        <w:t xml:space="preserve"> was some fraction 0-1</w:t>
      </w:r>
      <w:r w:rsidR="00F95D60">
        <w:t xml:space="preserve"> </w:t>
      </w:r>
      <w:r>
        <w:t xml:space="preserve">of </w:t>
      </w:r>
      <w:r>
        <w:rPr>
          <w:lang w:val="el-GR"/>
        </w:rPr>
        <w:t>β</w:t>
      </w:r>
      <w:proofErr w:type="spellStart"/>
      <w:r>
        <w:rPr>
          <w:vertAlign w:val="subscript"/>
        </w:rPr>
        <w:t>Comm</w:t>
      </w:r>
      <w:proofErr w:type="gramStart"/>
      <w:r>
        <w:rPr>
          <w:vertAlign w:val="subscript"/>
        </w:rPr>
        <w:t>,Disrupt</w:t>
      </w:r>
      <w:proofErr w:type="spellEnd"/>
      <w:proofErr w:type="gramEnd"/>
      <w:r>
        <w:t xml:space="preserve">, however we considered multiple relations between the other parameters. </w:t>
      </w:r>
    </w:p>
    <w:p w14:paraId="6F992D8A" w14:textId="77777777" w:rsidR="000D32FE" w:rsidRDefault="000D32FE" w:rsidP="000D32FE">
      <w:pPr>
        <w:jc w:val="both"/>
      </w:pPr>
      <w:r>
        <w:t xml:space="preserve">We tried assuming </w:t>
      </w:r>
      <w:r>
        <w:rPr>
          <w:lang w:val="el-GR"/>
        </w:rPr>
        <w:t>β</w:t>
      </w:r>
      <w:proofErr w:type="spellStart"/>
      <w:r>
        <w:rPr>
          <w:vertAlign w:val="subscript"/>
        </w:rPr>
        <w:t>Comm</w:t>
      </w:r>
      <w:proofErr w:type="gramStart"/>
      <w:r>
        <w:rPr>
          <w:vertAlign w:val="subscript"/>
        </w:rPr>
        <w:t>,Intact</w:t>
      </w:r>
      <w:proofErr w:type="spellEnd"/>
      <w:proofErr w:type="gramEnd"/>
      <w:r>
        <w:rPr>
          <w:vertAlign w:val="subscript"/>
        </w:rPr>
        <w:t>,</w:t>
      </w:r>
      <w:r w:rsidRPr="0041089E">
        <w:t xml:space="preserve">= </w:t>
      </w:r>
      <w:r>
        <w:rPr>
          <w:lang w:val="el-GR"/>
        </w:rPr>
        <w:t>β</w:t>
      </w:r>
      <w:proofErr w:type="spellStart"/>
      <w:r>
        <w:rPr>
          <w:vertAlign w:val="subscript"/>
        </w:rPr>
        <w:t>Hosp,Intact</w:t>
      </w:r>
      <w:proofErr w:type="spellEnd"/>
      <w:r>
        <w:rPr>
          <w:vertAlign w:val="subscript"/>
        </w:rPr>
        <w:t>,</w:t>
      </w:r>
      <w:r>
        <w:t xml:space="preserve">= 0 and </w:t>
      </w:r>
      <w:r>
        <w:rPr>
          <w:lang w:val="el-GR"/>
        </w:rPr>
        <w:t>β</w:t>
      </w:r>
      <w:proofErr w:type="spellStart"/>
      <w:r>
        <w:rPr>
          <w:vertAlign w:val="subscript"/>
        </w:rPr>
        <w:t>Comm,Disrupt</w:t>
      </w:r>
      <w:proofErr w:type="spellEnd"/>
      <w:r>
        <w:rPr>
          <w:vertAlign w:val="subscript"/>
        </w:rPr>
        <w:t>,</w:t>
      </w:r>
      <w:r>
        <w:t xml:space="preserve">= </w:t>
      </w:r>
      <w:r>
        <w:rPr>
          <w:lang w:val="el-GR"/>
        </w:rPr>
        <w:t>β</w:t>
      </w:r>
      <w:proofErr w:type="spellStart"/>
      <w:r>
        <w:rPr>
          <w:vertAlign w:val="subscript"/>
        </w:rPr>
        <w:t>Hosp,Disrupt</w:t>
      </w:r>
      <w:proofErr w:type="spellEnd"/>
      <w:r>
        <w:t xml:space="preserve"> with generally poor results. Model fit was reasonable when adult colonisation prevalence was low and infants as infectious as adults, however nearly all transmission came from infants in this scenario. For high colonisation prevalence and equal infant infectiousness, though the model fit was still good, this could only be </w:t>
      </w:r>
      <w:r>
        <w:lastRenderedPageBreak/>
        <w:t>achieved with very high transmission rates in the community and very low (~10%) antibiotics disruption probability and still nearly all transmission came from infants. With lower infant infectiousness in the range 0-0.2 times adult infectiousness, the model had a very poor fit with the incidence in the community being very low (&lt;1/3 of data), and infant colonisation rates being high, transmission rates from adults being excessive (&gt;3) and probability that antibiotics disrupt being very low (&lt;10%).</w:t>
      </w:r>
    </w:p>
    <w:p w14:paraId="6274E803" w14:textId="77777777" w:rsidR="000D32FE" w:rsidRDefault="000D32FE" w:rsidP="000D32FE">
      <w:pPr>
        <w:jc w:val="both"/>
      </w:pPr>
      <w:r>
        <w:t xml:space="preserve">We tried assuming a single transmission rate </w:t>
      </w:r>
      <w:r>
        <w:rPr>
          <w:lang w:val="el-GR"/>
        </w:rPr>
        <w:t>β</w:t>
      </w:r>
      <w:proofErr w:type="spellStart"/>
      <w:r>
        <w:rPr>
          <w:vertAlign w:val="subscript"/>
        </w:rPr>
        <w:t>Comm</w:t>
      </w:r>
      <w:proofErr w:type="gramStart"/>
      <w:r>
        <w:rPr>
          <w:vertAlign w:val="subscript"/>
        </w:rPr>
        <w:t>,Intact</w:t>
      </w:r>
      <w:proofErr w:type="spellEnd"/>
      <w:proofErr w:type="gramEnd"/>
      <w:r>
        <w:rPr>
          <w:vertAlign w:val="subscript"/>
        </w:rPr>
        <w:t>,</w:t>
      </w:r>
      <w:r w:rsidRPr="0041089E">
        <w:t xml:space="preserve">= </w:t>
      </w:r>
      <w:r>
        <w:rPr>
          <w:lang w:val="el-GR"/>
        </w:rPr>
        <w:t>β</w:t>
      </w:r>
      <w:proofErr w:type="spellStart"/>
      <w:r>
        <w:rPr>
          <w:vertAlign w:val="subscript"/>
        </w:rPr>
        <w:t>Hosp,Intact</w:t>
      </w:r>
      <w:proofErr w:type="spellEnd"/>
      <w:r>
        <w:rPr>
          <w:vertAlign w:val="subscript"/>
        </w:rPr>
        <w:t>,</w:t>
      </w:r>
      <w:r>
        <w:t xml:space="preserve">= 0 with </w:t>
      </w:r>
      <w:r>
        <w:rPr>
          <w:lang w:val="el-GR"/>
        </w:rPr>
        <w:t>β</w:t>
      </w:r>
      <w:proofErr w:type="spellStart"/>
      <w:r>
        <w:rPr>
          <w:vertAlign w:val="subscript"/>
        </w:rPr>
        <w:t>Comm,Disrupt</w:t>
      </w:r>
      <w:proofErr w:type="spellEnd"/>
      <w:r>
        <w:rPr>
          <w:vertAlign w:val="subscript"/>
        </w:rPr>
        <w:t>,</w:t>
      </w:r>
      <w:r>
        <w:t xml:space="preserve"> and </w:t>
      </w:r>
      <w:r>
        <w:rPr>
          <w:lang w:val="el-GR"/>
        </w:rPr>
        <w:t>β</w:t>
      </w:r>
      <w:proofErr w:type="spellStart"/>
      <w:r>
        <w:rPr>
          <w:vertAlign w:val="subscript"/>
        </w:rPr>
        <w:t>Hosp,Disrupt</w:t>
      </w:r>
      <w:proofErr w:type="spellEnd"/>
      <w:r>
        <w:t xml:space="preserve"> independent. This allowed for arbitrary and independent forces of colonisation in hospital and community and had good model fit for all assumptions. However, in the resulting model nearly all transmission in the community came from infants for most assumed values of infant infectiousness and adult colonisation prevalence. When infant infectiousness was restricted to lower levels (&lt;0.2 </w:t>
      </w:r>
      <w:r>
        <w:rPr>
          <w:lang w:val="el-GR"/>
        </w:rPr>
        <w:t>β</w:t>
      </w:r>
      <w:proofErr w:type="spellStart"/>
      <w:r>
        <w:rPr>
          <w:vertAlign w:val="subscript"/>
        </w:rPr>
        <w:t>Comm</w:t>
      </w:r>
      <w:proofErr w:type="gramStart"/>
      <w:r>
        <w:rPr>
          <w:vertAlign w:val="subscript"/>
        </w:rPr>
        <w:t>,Disrupt</w:t>
      </w:r>
      <w:proofErr w:type="spellEnd"/>
      <w:proofErr w:type="gramEnd"/>
      <w:r>
        <w:t xml:space="preserve">), </w:t>
      </w:r>
      <w:r>
        <w:rPr>
          <w:lang w:val="el-GR"/>
        </w:rPr>
        <w:t>β</w:t>
      </w:r>
      <w:proofErr w:type="spellStart"/>
      <w:r>
        <w:rPr>
          <w:vertAlign w:val="subscript"/>
        </w:rPr>
        <w:t>Comm,Disrupt</w:t>
      </w:r>
      <w:proofErr w:type="spellEnd"/>
      <w:r>
        <w:t xml:space="preserve"> was up to 50 times greater than </w:t>
      </w:r>
      <w:r>
        <w:rPr>
          <w:lang w:val="el-GR"/>
        </w:rPr>
        <w:t>β</w:t>
      </w:r>
      <w:proofErr w:type="spellStart"/>
      <w:r>
        <w:rPr>
          <w:vertAlign w:val="subscript"/>
        </w:rPr>
        <w:t>Hosp,Disrupt</w:t>
      </w:r>
      <w:proofErr w:type="spellEnd"/>
      <w:r>
        <w:t>, which is highly implausible.</w:t>
      </w:r>
    </w:p>
    <w:p w14:paraId="2F92D77F" w14:textId="1732801A" w:rsidR="00503BAB" w:rsidRDefault="000D32FE" w:rsidP="000D32FE">
      <w:pPr>
        <w:jc w:val="both"/>
      </w:pPr>
      <w:r>
        <w:t>Finally, our default assumptions (</w:t>
      </w:r>
      <w:r>
        <w:rPr>
          <w:lang w:val="el-GR"/>
        </w:rPr>
        <w:t>β</w:t>
      </w:r>
      <w:proofErr w:type="spellStart"/>
      <w:r>
        <w:rPr>
          <w:vertAlign w:val="subscript"/>
        </w:rPr>
        <w:t>Comm</w:t>
      </w:r>
      <w:proofErr w:type="gramStart"/>
      <w:r>
        <w:rPr>
          <w:vertAlign w:val="subscript"/>
        </w:rPr>
        <w:t>,Intact</w:t>
      </w:r>
      <w:proofErr w:type="spellEnd"/>
      <w:proofErr w:type="gramEnd"/>
      <w:r>
        <w:rPr>
          <w:vertAlign w:val="subscript"/>
        </w:rPr>
        <w:t>,</w:t>
      </w:r>
      <w:r w:rsidRPr="0041089E">
        <w:t xml:space="preserve">= </w:t>
      </w:r>
      <w:r>
        <w:rPr>
          <w:lang w:val="el-GR"/>
        </w:rPr>
        <w:t>β</w:t>
      </w:r>
      <w:proofErr w:type="spellStart"/>
      <w:r>
        <w:rPr>
          <w:vertAlign w:val="subscript"/>
        </w:rPr>
        <w:t>Hosp,Intact</w:t>
      </w:r>
      <w:proofErr w:type="spellEnd"/>
      <w:r>
        <w:t xml:space="preserve"> and </w:t>
      </w:r>
      <w:r>
        <w:rPr>
          <w:lang w:val="el-GR"/>
        </w:rPr>
        <w:t>β</w:t>
      </w:r>
      <w:proofErr w:type="spellStart"/>
      <w:r>
        <w:rPr>
          <w:vertAlign w:val="subscript"/>
        </w:rPr>
        <w:t>Comm,Disrupt</w:t>
      </w:r>
      <w:proofErr w:type="spellEnd"/>
      <w:r>
        <w:rPr>
          <w:vertAlign w:val="subscript"/>
        </w:rPr>
        <w:t>,</w:t>
      </w:r>
      <w:r>
        <w:t xml:space="preserve">= </w:t>
      </w:r>
      <w:r>
        <w:rPr>
          <w:lang w:val="el-GR"/>
        </w:rPr>
        <w:t>β</w:t>
      </w:r>
      <w:proofErr w:type="spellStart"/>
      <w:r>
        <w:rPr>
          <w:vertAlign w:val="subscript"/>
        </w:rPr>
        <w:t>Hosp,Disrupt</w:t>
      </w:r>
      <w:proofErr w:type="spellEnd"/>
      <w:r>
        <w:t xml:space="preserve">) resulted in equally good model fit  to the previous set of assumptions, but with much more believable transmission rates and proportion of transmission attributable to infants under most combinations of assumptions. However, when infant infectiousness was high and adult colonisation prevalence was low the estimated value </w:t>
      </w:r>
      <w:proofErr w:type="gramStart"/>
      <w:r>
        <w:t xml:space="preserve">of  </w:t>
      </w:r>
      <w:r>
        <w:rPr>
          <w:lang w:val="el-GR"/>
        </w:rPr>
        <w:t>β</w:t>
      </w:r>
      <w:proofErr w:type="spellStart"/>
      <w:r>
        <w:rPr>
          <w:vertAlign w:val="subscript"/>
        </w:rPr>
        <w:t>Comm,Intact</w:t>
      </w:r>
      <w:proofErr w:type="spellEnd"/>
      <w:proofErr w:type="gramEnd"/>
      <w:r>
        <w:rPr>
          <w:vertAlign w:val="subscript"/>
        </w:rPr>
        <w:t>,</w:t>
      </w:r>
      <w:r w:rsidRPr="0041089E">
        <w:t xml:space="preserve"> and </w:t>
      </w:r>
      <w:r>
        <w:rPr>
          <w:lang w:val="el-GR"/>
        </w:rPr>
        <w:t>β</w:t>
      </w:r>
      <w:proofErr w:type="spellStart"/>
      <w:r>
        <w:rPr>
          <w:vertAlign w:val="subscript"/>
        </w:rPr>
        <w:t>Hosp,Intact</w:t>
      </w:r>
      <w:proofErr w:type="spellEnd"/>
      <w:r>
        <w:rPr>
          <w:vertAlign w:val="subscript"/>
        </w:rPr>
        <w:t>,</w:t>
      </w:r>
      <w:r>
        <w:t xml:space="preserve"> were 0, leading to poorer model fit and unbelievably high proportion of transmission from infants and so the result from these extremes were omitted from our sensitivity analyses in the main text and the supplementary figures.</w:t>
      </w:r>
    </w:p>
    <w:p w14:paraId="5B4412DF" w14:textId="6120684A" w:rsidR="004C5E9C" w:rsidRPr="00691B34" w:rsidRDefault="000D32FE" w:rsidP="004934E6">
      <w:pPr>
        <w:pStyle w:val="Heading2"/>
      </w:pPr>
      <w:r>
        <w:t xml:space="preserve">Further details </w:t>
      </w:r>
      <w:r w:rsidR="004F3324">
        <w:t xml:space="preserve">of </w:t>
      </w:r>
      <w:r>
        <w:t>model f</w:t>
      </w:r>
      <w:r w:rsidR="004C5E9C">
        <w:t>it</w:t>
      </w:r>
    </w:p>
    <w:p w14:paraId="5D94EA59" w14:textId="246F0860" w:rsidR="004C5E9C" w:rsidRDefault="004F3324" w:rsidP="004C5E9C">
      <w:pPr>
        <w:spacing w:after="240"/>
        <w:jc w:val="both"/>
      </w:pPr>
      <w:r>
        <w:t>The model fit</w:t>
      </w:r>
      <w:r w:rsidR="004C5E9C">
        <w:t xml:space="preserve"> the data well reproducing the observed age profile of colonisation, immunity, reported incidence of infection, pr</w:t>
      </w:r>
      <w:r w:rsidR="00E15125">
        <w:t>oportion of admissions for CDI (</w:t>
      </w:r>
      <w:r w:rsidR="00172891">
        <w:fldChar w:fldCharType="begin"/>
      </w:r>
      <w:r w:rsidR="00172891">
        <w:instrText xml:space="preserve"> REF _Ref506546182 \h </w:instrText>
      </w:r>
      <w:r w:rsidR="00172891">
        <w:fldChar w:fldCharType="separate"/>
      </w:r>
      <w:r w:rsidR="00B45891" w:rsidRPr="00E15125">
        <w:rPr>
          <w:b/>
        </w:rPr>
        <w:t>Supp. Figure</w:t>
      </w:r>
      <w:r w:rsidR="00B45891" w:rsidRPr="00E15125">
        <w:rPr>
          <w:b/>
          <w:sz w:val="28"/>
        </w:rPr>
        <w:t xml:space="preserve"> </w:t>
      </w:r>
      <w:r w:rsidR="00B45891">
        <w:rPr>
          <w:b/>
          <w:noProof/>
        </w:rPr>
        <w:t>2</w:t>
      </w:r>
      <w:r w:rsidR="00172891">
        <w:fldChar w:fldCharType="end"/>
      </w:r>
      <w:r w:rsidR="004C5E9C" w:rsidRPr="00172891">
        <w:t>)</w:t>
      </w:r>
      <w:r w:rsidR="004C5E9C">
        <w:t xml:space="preserve">. The model was also verified by outcomes not used to fit the model. The reported recurrence </w:t>
      </w:r>
      <w:r w:rsidR="00B80518">
        <w:t xml:space="preserve">proportion </w:t>
      </w:r>
      <w:r w:rsidR="004C5E9C">
        <w:t>is approximately 20% for hospital</w:t>
      </w:r>
      <w:r w:rsidR="00A71FC9">
        <w:t>-</w:t>
      </w:r>
      <w:r w:rsidR="004C5E9C">
        <w:t>acquired cases and approximately 10% of community</w:t>
      </w:r>
      <w:r w:rsidR="00A71FC9">
        <w:t>-</w:t>
      </w:r>
      <w:r w:rsidR="004C5E9C">
        <w:t>acquired cases</w:t>
      </w:r>
      <w:r w:rsidR="00B80518">
        <w:t xml:space="preserve"> </w:t>
      </w:r>
      <w:r w:rsidR="004C5E9C">
        <w:fldChar w:fldCharType="begin" w:fldLock="1"/>
      </w:r>
      <w:r w:rsidR="00B461B6">
        <w:instrText>ADDIN CSL_CITATION {"citationItems":[{"id":"ITEM-1","itemData":{"DOI":"10.1016/j.idc.2014.11.004","PMID":"25582647","abstract":"This article describes the global changes in Clostridium difficile epidemiology since the late twentieth century and into the twenty-first century when the new epidemic strain BI/NAP1/027 emerged. The article provides an overview of how understanding of C difficile epidemiology has rapidly evolved since its initial association with colitis in 1974. It also discusses how C difficile has spread across the globe, the role of asymptomatic carriers in disease transmission, the increased recognition of C difficile outside health care settings, the changes in epidemiology of C difficile infection in children, and the risk factors for disease.","author":[{"dropping-particle":"","family":"Gerding","given":"Dale N.","non-dropping-particle":"","parse-names":false,"suffix":""},{"dropping-particle":"","family":"Lessa","given":"Fernanda C.","non-dropping-particle":"","parse-names":false,"suffix":""}],"container-title":"Infectious disease clinics of North America","id":"ITEM-1","issue":"1","issued":{"date-parts":[["2015","3"]]},"page":"37-50","title":"The epidemiology of Clostridium difficile infection inside and outside health care institutions.","type":"article-journal","volume":"29"},"uris":["http://www.mendeley.com/documents/?uuid=0ec709b6-d94b-477a-905c-05cb3e27f729"]}],"mendeley":{"formattedCitation":"[20]","plainTextFormattedCitation":"[20]","previouslyFormattedCitation":"[20]"},"properties":{"noteIndex":0},"schema":"https://github.com/citation-style-language/schema/raw/master/csl-citation.json"}</w:instrText>
      </w:r>
      <w:r w:rsidR="004C5E9C">
        <w:fldChar w:fldCharType="separate"/>
      </w:r>
      <w:r w:rsidR="00B80518" w:rsidRPr="00B80518">
        <w:rPr>
          <w:noProof/>
        </w:rPr>
        <w:t>[20]</w:t>
      </w:r>
      <w:r w:rsidR="004C5E9C">
        <w:fldChar w:fldCharType="end"/>
      </w:r>
      <w:r w:rsidR="004C5E9C">
        <w:t>.</w:t>
      </w:r>
      <w:r w:rsidR="00503BAB">
        <w:t xml:space="preserve"> We estimated that 18% (range 13-30%) of transmission in hospitals was from patients r</w:t>
      </w:r>
      <w:r w:rsidR="004C256D">
        <w:t>eceiving treatment for CDI</w:t>
      </w:r>
      <w:r w:rsidR="00503BAB">
        <w:t>.</w:t>
      </w:r>
      <w:r w:rsidR="004C256D">
        <w:t xml:space="preserve"> A study using whole genome sequencing to compare isolates from CDI cases in Oxfordshire hospital</w:t>
      </w:r>
      <w:r w:rsidR="00B461B6">
        <w:t xml:space="preserve">s estimated that approximately one </w:t>
      </w:r>
      <w:r w:rsidR="004C256D">
        <w:t>quarter of cases could be linked to ward-based transmission fr</w:t>
      </w:r>
      <w:r w:rsidR="00F95D60">
        <w:t xml:space="preserve">om another </w:t>
      </w:r>
      <w:r w:rsidR="00B6288D">
        <w:t xml:space="preserve">identified </w:t>
      </w:r>
      <w:r w:rsidR="00F95D60">
        <w:t>symptomatic carrier</w:t>
      </w:r>
      <w:r w:rsidR="00B461B6">
        <w:t xml:space="preserve"> </w:t>
      </w:r>
      <w:r w:rsidR="00B461B6">
        <w:fldChar w:fldCharType="begin" w:fldLock="1"/>
      </w:r>
      <w:r w:rsidR="00786612">
        <w:instrText>ADDIN CSL_CITATION {"citationItems":[{"id":"ITEM-1","itemData":{"DOI":"10.1371/journal.pmed.1001172","PMID":"22346738","abstract":"BACKGROUND Clostridium difficile infection (CDI) is a leading cause of antibiotic-associated diarrhoea and is endemic in hospitals, hindering the identification of sources and routes of transmission based on shared time and space alone. This may compromise rational control despite costly prevention strategies. This study aimed to investigate ward-based transmission of C. difficile, by subdividing outbreaks into distinct lineages defined by multi-locus sequence typing (MLST). METHODS AND FINDINGS All C. difficile toxin enzyme-immunoassay-positive and culture-positive samples over 2.5 y from a geographically defined population of ~600,000 persons underwent MLST. Sequence types (STs) were combined with admission and ward movement data from an integrated comprehensive healthcare system incorporating three hospitals (1,700 beds) providing all acute care for the defined geographical population. Networks of cases and potential transmission events were constructed for each ST. Potential infection sources for each case and transmission timescales were defined by prior ward-based contact with other cases sharing the same ST. From 1 September 2007 to 31 March 2010, there were means of 102 tests and 9.4 CDIs per 10,000 overnight stays in inpatients, and 238 tests and 15.7 CDIs per month in outpatients/primary care. In total, 1,276 C. difficile isolates of 69 STs were studied. From MLST, no more than 25% of cases could be linked to a potential ward-based inpatient source, ranging from 37% in renal/transplant, 29% in haematology/oncology, and 28% in acute/elderly medicine to 6% in specialist surgery. Most of the putative transmissions identified occurred shortly (≤ 1 wk) after the onset of symptoms (141/218, 65%), with few &gt;8 wk (21/218, 10%). Most incubation periods were ≤ 4 wk (132/218, 61%), with few &gt;12 wk (28/218, 13%). Allowing for persistent ward contamination following ward discharge of a CDI case did not increase the proportion of linked cases after allowing for random meeting of matched controls. CONCLUSIONS In an endemic setting with well-implemented infection control measures, ward-based contact with symptomatic enzyme-immunoassay-positive patients cannot account for most new CDI cases.","author":[{"dropping-particle":"","family":"Walker","given":"A Sarah","non-dropping-particle":"","parse-names":false,"suffix":""},{"dropping-particle":"","family":"Eyre","given":"David W","non-dropping-particle":"","parse-names":false,"suffix":""},{"dropping-particle":"","family":"Wyllie","given":"David H","non-dropping-particle":"","parse-names":false,"suffix":""},{"dropping-particle":"","family":"Dingle","given":"Kate E","non-dropping-particle":"","parse-names":false,"suffix":""},{"dropping-particle":"","family":"Harding","given":"Rosalind M","non-dropping-particle":"","parse-names":false,"suffix":""},{"dropping-particle":"","family":"O'Connor","given":"Lily","non-dropping-particle":"","parse-names":false,"suffix":""},{"dropping-particle":"","family":"Griffiths","given":"David","non-dropping-particle":"","parse-names":false,"suffix":""},{"dropping-particle":"","family":"Vaughan","given":"Ali","non-dropping-particle":"","parse-names":false,"suffix":""},{"dropping-particle":"","family":"Finney","given":"John","non-dropping-particle":"","parse-names":false,"suffix":""},{"dropping-particle":"","family":"Wilcox","given":"Mark H","non-dropping-particle":"","parse-names":false,"suffix":""},{"dropping-particle":"","family":"Crook","given":"Derrick W","non-dropping-particle":"","parse-names":false,"suffix":""},{"dropping-particle":"","family":"Peto","given":"Tim E A","non-dropping-particle":"","parse-names":false,"suffix":""}],"container-title":"PLoS medicine","id":"ITEM-1","issue":"2","issued":{"date-parts":[["2012","2","7"]]},"page":"e1001172","title":"Characterisation of Clostridium difficile hospital ward-based transmission using extensive epidemiological data and molecular typing.","type":"article-journal","volume":"9"},"uris":["http://www.mendeley.com/documents/?uuid=ff72ab37-729f-4d70-af35-9c0227675257"]}],"mendeley":{"formattedCitation":"[21]","plainTextFormattedCitation":"[21]","previouslyFormattedCitation":"[21]"},"properties":{"noteIndex":0},"schema":"https://github.com/citation-style-language/schema/raw/master/csl-citation.json"}</w:instrText>
      </w:r>
      <w:r w:rsidR="00B461B6">
        <w:fldChar w:fldCharType="separate"/>
      </w:r>
      <w:r w:rsidR="00B461B6" w:rsidRPr="00B461B6">
        <w:rPr>
          <w:noProof/>
        </w:rPr>
        <w:t>[21]</w:t>
      </w:r>
      <w:r w:rsidR="00B461B6">
        <w:fldChar w:fldCharType="end"/>
      </w:r>
      <w:r w:rsidR="004C256D">
        <w:t xml:space="preserve">. </w:t>
      </w:r>
      <w:r w:rsidR="004C5E9C">
        <w:t xml:space="preserve">Using the same reporting and treatment seeking assumptions used for initial cases and defining a recurrence as a return to symptomatic colonisation within 8 weeks of resolution of symptoms, the model predicted a </w:t>
      </w:r>
      <w:r w:rsidR="00391593">
        <w:t>19</w:t>
      </w:r>
      <w:r w:rsidR="004C5E9C">
        <w:t>.</w:t>
      </w:r>
      <w:r w:rsidR="00391593">
        <w:t>4</w:t>
      </w:r>
      <w:r w:rsidR="004C5E9C">
        <w:t xml:space="preserve">% recurrence </w:t>
      </w:r>
      <w:r w:rsidR="00B80518">
        <w:t xml:space="preserve">proportion </w:t>
      </w:r>
      <w:r w:rsidR="004C5E9C">
        <w:t>in hospital-</w:t>
      </w:r>
      <w:r w:rsidR="00391593">
        <w:t>acquired</w:t>
      </w:r>
      <w:r w:rsidR="004C5E9C">
        <w:t xml:space="preserve"> cases (range: </w:t>
      </w:r>
      <w:r w:rsidR="00391593">
        <w:t>18</w:t>
      </w:r>
      <w:r w:rsidR="004C5E9C">
        <w:t>.</w:t>
      </w:r>
      <w:r w:rsidR="00391593">
        <w:t>5</w:t>
      </w:r>
      <w:r w:rsidR="004C5E9C">
        <w:t>-2</w:t>
      </w:r>
      <w:r w:rsidR="00391593">
        <w:t>1</w:t>
      </w:r>
      <w:r w:rsidR="004C5E9C">
        <w:t>.</w:t>
      </w:r>
      <w:r w:rsidR="00391593">
        <w:t>5</w:t>
      </w:r>
      <w:r w:rsidR="004C5E9C">
        <w:t>%) and a 1</w:t>
      </w:r>
      <w:r w:rsidR="00391593">
        <w:t>4</w:t>
      </w:r>
      <w:r w:rsidR="004C5E9C">
        <w:t>.</w:t>
      </w:r>
      <w:r w:rsidR="00391593">
        <w:t>0</w:t>
      </w:r>
      <w:r w:rsidR="00622B49">
        <w:t xml:space="preserve">% recurrence </w:t>
      </w:r>
      <w:r w:rsidR="00B80518">
        <w:t xml:space="preserve">proportion </w:t>
      </w:r>
      <w:r w:rsidR="00622B49">
        <w:t>in community-</w:t>
      </w:r>
      <w:r w:rsidR="00391593">
        <w:t>acquired</w:t>
      </w:r>
      <w:r w:rsidR="004C5E9C">
        <w:t xml:space="preserve"> cases (range: 1</w:t>
      </w:r>
      <w:r w:rsidR="00391593">
        <w:t>3</w:t>
      </w:r>
      <w:r w:rsidR="004C5E9C">
        <w:t>.</w:t>
      </w:r>
      <w:r w:rsidR="00391593">
        <w:t>3</w:t>
      </w:r>
      <w:r w:rsidR="004C5E9C">
        <w:t>-1</w:t>
      </w:r>
      <w:r w:rsidR="00391593">
        <w:t>5</w:t>
      </w:r>
      <w:r w:rsidR="004C5E9C">
        <w:t>.</w:t>
      </w:r>
      <w:r w:rsidR="00391593">
        <w:t>8</w:t>
      </w:r>
      <w:r w:rsidR="004C5E9C">
        <w:t>%).</w:t>
      </w:r>
      <w:r>
        <w:t xml:space="preserve"> </w:t>
      </w:r>
      <w:r w:rsidR="00391593">
        <w:t xml:space="preserve">Notably, the true recurrence proportions (i.e. without simulating underreporting and misclassification) were higher for both hospital-acquired (24.6-26.8%) and community-acquired (17.8-18.5%) infections. </w:t>
      </w:r>
      <w:proofErr w:type="spellStart"/>
      <w:r w:rsidR="004C5E9C">
        <w:t>Adlerberth</w:t>
      </w:r>
      <w:proofErr w:type="spellEnd"/>
      <w:r w:rsidR="004C5E9C">
        <w:t xml:space="preserve"> et al</w:t>
      </w:r>
      <w:r w:rsidR="00B80518">
        <w:t xml:space="preserve"> </w:t>
      </w:r>
      <w:r w:rsidR="004C5E9C">
        <w:fldChar w:fldCharType="begin" w:fldLock="1"/>
      </w:r>
      <w:r w:rsidR="00C45F1D">
        <w:instrText>ADDIN CSL_CITATION {"citationItems":[{"id":"ITEM-1","itemData":{"DOI":"10.1128/JCM.01701-13","PMID":"24172156","abstract":"Clostridium difficile is a colonizer of the human gut, and toxin-producing strains may cause diarrhea if the infectious burden is heavy. Infants are more frequently colonized than adults, but they rarely develop C. difficile disease. It is not known whether strains of C. difficile differ in the capacity to colonize and persist in the human gut microbiota. Here, we strain typed isolates of C. difficile that had colonized 42 healthy infants followed from birth to ≥12 months of age by using PCR ribotyping of the 16S-23S rRNA intergenic spacer region. The isolates were also characterized regarding carriage of the toxin genes tcdA, tcdB, and cdtA/B and the capacity to produce toxin B in vitro. Most strains (71%) were toxin producers, and 51% belonged to the 001 or 014 ribotypes, which often cause disease in adults. These ribotypes were significantly more likely than others to persist for ≥6 months in the infant micobiota, and they were isolated from 13/15 children carrying such long-term-colonizing strains. Ribotype 001 strains were often acquired in the first week of life and attained higher population counts than other C. difficile ribotypes in newborn infants' feces. Several toxin-negative ribotypes were identified, two of which (GI and GIII) were long-term colonizers, each found in one infant. Our results suggest that the toxin-producing C. difficile ribotypes 001 and 014 have special fitness in the infantile gut microbiota. Toxin-producing strains colonizing young children for long time periods may represent a reservoir for strains causing disease in adults.","author":[{"dropping-particle":"","family":"Adlerberth","given":"Ingegerd","non-dropping-particle":"","parse-names":false,"suffix":""},{"dropping-particle":"","family":"Huang","given":"Haihui","non-dropping-particle":"","parse-names":false,"suffix":""},{"dropping-particle":"","family":"Lindberg","given":"Erika","non-dropping-particle":"","parse-names":false,"suffix":""},{"dropping-particle":"","family":"Åberg","given":"Nils","non-dropping-particle":"","parse-names":false,"suffix":""},{"dropping-particle":"","family":"Hesselmar","given":"Bill","non-dropping-particle":"","parse-names":false,"suffix":""},{"dropping-particle":"","family":"Saalman","given":"Robert","non-dropping-particle":"","parse-names":false,"suffix":""},{"dropping-particle":"","family":"Nord","given":"Carl Erik","non-dropping-particle":"","parse-names":false,"suffix":""},{"dropping-particle":"","family":"Wold","given":"Agnes E.","non-dropping-particle":"","parse-names":false,"suffix":""},{"dropping-particle":"","family":"Weintraub","given":"Andrej","non-dropping-particle":"","parse-names":false,"suffix":""}],"container-title":"Journal of Clinical Microbiology","id":"ITEM-1","issue":"1","issued":{"date-parts":[["2014","1","1"]]},"page":"173-9","title":"Toxin-producing Clostridium difficile strains as long-term gut colonizers in healthy infants.","type":"article-journal","volume":"52"},"uris":["http://www.mendeley.com/documents/?uuid=10e652cd-aab5-4311-a32e-a22cefbf0fa9"]}],"mendeley":{"formattedCitation":"[22]","plainTextFormattedCitation":"[22]","previouslyFormattedCitation":"[22]"},"properties":{"noteIndex":0},"schema":"https://github.com/citation-style-language/schema/raw/master/csl-citation.json"}</w:instrText>
      </w:r>
      <w:r w:rsidR="004C5E9C">
        <w:fldChar w:fldCharType="separate"/>
      </w:r>
      <w:r w:rsidR="00B461B6" w:rsidRPr="00B461B6">
        <w:rPr>
          <w:noProof/>
        </w:rPr>
        <w:t>[22]</w:t>
      </w:r>
      <w:r w:rsidR="004C5E9C">
        <w:fldChar w:fldCharType="end"/>
      </w:r>
      <w:r w:rsidR="004C5E9C">
        <w:t xml:space="preserve"> found that a third of all infants colonised with </w:t>
      </w:r>
      <w:r w:rsidR="004C5E9C" w:rsidRPr="00720A6C">
        <w:rPr>
          <w:i/>
        </w:rPr>
        <w:t>C. difficile</w:t>
      </w:r>
      <w:r w:rsidR="004C5E9C">
        <w:t xml:space="preserve"> were colonised by the same strain when sampled at least six months later, while the model predicted that 40% (33-42%) of colonised six-month-old infants remain colonised at 12 months of age. A previous estimate of the force of colonisation in a hospital setting</w:t>
      </w:r>
      <w:r w:rsidR="00B80518">
        <w:t xml:space="preserve"> </w:t>
      </w:r>
      <w:r w:rsidR="004C5E9C">
        <w:fldChar w:fldCharType="begin" w:fldLock="1"/>
      </w:r>
      <w:r w:rsidR="00B461B6">
        <w:instrText>ADDIN CSL_CITATION {"citationItems":[{"id":"ITEM-1","itemData":{"DOI":"10.1007/s11538-017-0328-8","author":[{"dropping-particle":"","family":"McLure","given":"Angus","non-dropping-particle":"","parse-names":false,"suffix":""},{"dropping-particle":"","family":"Clements","given":"Archie C. A.","non-dropping-particle":"","parse-names":false,"suffix":""},{"dropping-particle":"","family":"Kirk","given":"Martyn","non-dropping-particle":"","parse-names":false,"suffix":""},{"dropping-particle":"","family":"Glass","given":"Kathryn","non-dropping-particle":"","parse-names":false,"suffix":""}],"container-title":"Bulletin of Mathematical Biology","id":"ITEM-1","issue":"10","issued":{"date-parts":[["2017","10","3"]]},"page":"2242-2257","title":"Healthcare-Associated Clostridium difficile Infections are Sustained by Disease from the Community","type":"article-journal","volume":"79"},"uris":["http://www.mendeley.com/documents/?uuid=40b1ba2d-b9b0-4e6c-926b-4577ae64411f"]}],"mendeley":{"formattedCitation":"[10]","plainTextFormattedCitation":"[10]","previouslyFormattedCitation":"[10]"},"properties":{"noteIndex":0},"schema":"https://github.com/citation-style-language/schema/raw/master/csl-citation.json"}</w:instrText>
      </w:r>
      <w:r w:rsidR="004C5E9C">
        <w:fldChar w:fldCharType="separate"/>
      </w:r>
      <w:r w:rsidR="00B80518" w:rsidRPr="00B80518">
        <w:rPr>
          <w:noProof/>
        </w:rPr>
        <w:t>[10]</w:t>
      </w:r>
      <w:r w:rsidR="004C5E9C">
        <w:fldChar w:fldCharType="end"/>
      </w:r>
      <w:r w:rsidR="004C5E9C">
        <w:t xml:space="preserve"> derived from the reported risk of colonisation and infection as a function of days of hospital stay</w:t>
      </w:r>
      <w:r w:rsidR="00B80518">
        <w:t xml:space="preserve"> </w:t>
      </w:r>
      <w:r w:rsidR="004C5E9C">
        <w:fldChar w:fldCharType="begin" w:fldLock="1"/>
      </w:r>
      <w:r w:rsidR="00786612">
        <w:instrText>ADDIN CSL_CITATION {"citationItems":[{"id":"ITEM-1","itemData":{"DOI":"10.1056/NEJMoa1012413","author":[{"dropping-particle":"","family":"Loo","given":"Vivian G.","non-dropping-particle":"","parse-names":false,"suffix":""},{"dropping-particle":"","family":"Bourgault","given":"Anne-Marie","non-dropping-particle":"","parse-names":false,"suffix":""},{"dropping-particle":"","family":"Poirier","given":"Louise","non-dropping-particle":"","parse-names":false,"suffix":""},{"dropping-particle":"","family":"Lamothe","given":"François","non-dropping-particle":"","parse-names":false,"suffix":""},{"dropping-particle":"","family":"Michaud","given":"Sophie","non-dropping-particle":"","parse-names":false,"suffix":""},{"dropping-particle":"","family":"Turgeon","given":"Nathalie","non-dropping-particle":"","parse-names":false,"suffix":""},{"dropping-particle":"","family":"Toye","given":"Baldwin","non-dropping-particle":"","parse-names":false,"suffix":""},{"dropping-particle":"","family":"Beaudoin","given":"Axelle","non-dropping-particle":"","parse-names":false,"suffix":""},{"dropping-particle":"","family":"Frost","given":"Eric H.","non-dropping-particle":"","parse-names":false,"suffix":""},{"dropping-particle":"","family":"Gilca","given":"Rodica","non-dropping-particle":"","parse-names":false,"suffix":""},{"dropping-particle":"","family":"Brassard","given":"Paul","non-dropping-particle":"","parse-names":false,"suffix":""},{"dropping-particle":"","family":"Dendukuri","given":"Nandini","non-dropping-particle":"","parse-names":false,"suffix":""},{"dropping-particle":"","family":"Béliveau","given":"Claire","non-dropping-particle":"","parse-names":false,"suffix":""},{"dropping-particle":"","family":"Oughton","given":"Matthew","non-dropping-particle":"","parse-names":false,"suffix":""},{"dropping-particle":"","family":"Brukner","given":"Ivan","non-dropping-particle":"","parse-names":false,"suffix":""},{"dropping-particle":"","family":"Dascal","given":"Andre","non-dropping-particle":"","parse-names":false,"suffix":""}],"container-title":"New England Journal of Medicine","id":"ITEM-1","issue":"18","issued":{"date-parts":[["2011","11","3"]]},"page":"1693-1703","title":"Host and Pathogen Factors for Clostridium difficile Infection and Colonization","type":"article-journal","volume":"365"},"uris":["http://www.mendeley.com/documents/?uuid=7875b4ee-bc8d-47b2-a5ca-a9d7662e2319"]}],"mendeley":{"formattedCitation":"[23]","plainTextFormattedCitation":"[23]","previouslyFormattedCitation":"[23]"},"properties":{"noteIndex":0},"schema":"https://github.com/citation-style-language/schema/raw/master/csl-citation.json"}</w:instrText>
      </w:r>
      <w:r w:rsidR="004C5E9C">
        <w:fldChar w:fldCharType="separate"/>
      </w:r>
      <w:r w:rsidR="00B461B6" w:rsidRPr="00B461B6">
        <w:rPr>
          <w:noProof/>
        </w:rPr>
        <w:t>[23]</w:t>
      </w:r>
      <w:r w:rsidR="004C5E9C">
        <w:fldChar w:fldCharType="end"/>
      </w:r>
      <w:r w:rsidR="004C5E9C">
        <w:t xml:space="preserve"> was 0.007 day</w:t>
      </w:r>
      <w:r w:rsidR="004C5E9C">
        <w:rPr>
          <w:vertAlign w:val="superscript"/>
        </w:rPr>
        <w:t>-1</w:t>
      </w:r>
      <w:r w:rsidR="004C5E9C">
        <w:t xml:space="preserve"> (95% CI: 0.004-0.011). In this model the estimated force of colonisation was a little lower: 0.0033 day</w:t>
      </w:r>
      <w:r w:rsidR="004C5E9C">
        <w:rPr>
          <w:vertAlign w:val="superscript"/>
        </w:rPr>
        <w:t>-1</w:t>
      </w:r>
      <w:r w:rsidR="004C5E9C">
        <w:t xml:space="preserve"> (range: 0.0031-0.0035 day</w:t>
      </w:r>
      <w:r w:rsidR="004C5E9C">
        <w:rPr>
          <w:vertAlign w:val="superscript"/>
        </w:rPr>
        <w:t>-1</w:t>
      </w:r>
      <w:r w:rsidR="004C5E9C">
        <w:t>).</w:t>
      </w:r>
      <w:r w:rsidR="000D32FE">
        <w:t xml:space="preserve"> However the previous estimate was drawn from a hospital during a period high incidence. </w:t>
      </w:r>
      <w:r w:rsidR="008052D2" w:rsidRPr="008052D2">
        <w:t xml:space="preserve">In our model, a higher proportion (89.6%, range: 87.9-90.4%) of those classified as hospital-acquired CDI were elderly/immune-supressed compared to cases classified as community-acquired CDI (78.4% range: 77.6-78.6%), in agreement with the observation that community-acquired cases are younger, with fewer comorbidities </w:t>
      </w:r>
      <w:r w:rsidR="008052D2" w:rsidRPr="008052D2">
        <w:rPr>
          <w:vertAlign w:val="superscript"/>
        </w:rPr>
        <w:fldChar w:fldCharType="begin" w:fldLock="1"/>
      </w:r>
      <w:r w:rsidR="00786612">
        <w:rPr>
          <w:vertAlign w:val="superscript"/>
        </w:rPr>
        <w:instrText>ADDIN CSL_CITATION {"citationItems":[{"id":"ITEM-1","itemData":{"DOI":"10.1038/ajg.2011.398","author":[{"dropping-particle":"","family":"Khanna","given":"Sahil","non-dropping-particle":"","parse-names":false,"suffix":""},{"dropping-particle":"","family":"Pardi","given":"Darrell S","non-dropping-particle":"","parse-names":false,"suffix":""},{"dropping-particle":"","family":"Aronson","given":"Scott L","non-dropping-particle":"","parse-names":false,"suffix":""},{"dropping-particle":"","family":"Kammer","given":"Patricia P","non-dropping-particle":"","parse-names":false,"suffix":""},{"dropping-particle":"","family":"Orenstein","given":"Robert","non-dropping-particle":"","parse-names":false,"suffix":""},{"dropping-particle":"","family":"St Sauver","given":"Jennifer L","non-dropping-particle":"","parse-names":false,"suffix":""},{"dropping-particle":"","family":"Harmsen","given":"W Scott","non-dropping-particle":"","parse-names":false,"suffix":""},{"dropping-particle":"","family":"Zinsmeister","given":"Alan R","non-dropping-particle":"","parse-names":false,"suffix":""}],"container-title":"The American Journal of Gastroenterology","id":"ITEM-1","issue":"1","issued":{"date-parts":[["2012","1","22"]]},"page":"89-95","publisher":"Nature Publishing Group","title":"The Epidemiology of Community-Acquired Clostridium difficile Infection: A Population-Based Study","type":"article-journal","volume":"107"},"uris":["http://www.mendeley.com/documents/?uuid=d08cab9d-822e-4d55-a4ea-c4950dcddf22"]}],"mendeley":{"formattedCitation":"[24]","plainTextFormattedCitation":"[24]","previouslyFormattedCitation":"[24]"},"properties":{"noteIndex":0},"schema":"https://github.com/citation-style-language/schema/raw/master/csl-citation.json"}</w:instrText>
      </w:r>
      <w:r w:rsidR="008052D2" w:rsidRPr="008052D2">
        <w:rPr>
          <w:vertAlign w:val="superscript"/>
        </w:rPr>
        <w:fldChar w:fldCharType="separate"/>
      </w:r>
      <w:r w:rsidR="00B461B6" w:rsidRPr="00B461B6">
        <w:rPr>
          <w:noProof/>
        </w:rPr>
        <w:t>[24]</w:t>
      </w:r>
      <w:r w:rsidR="008052D2" w:rsidRPr="008052D2">
        <w:fldChar w:fldCharType="end"/>
      </w:r>
      <w:r w:rsidR="00B80518">
        <w:t>.</w:t>
      </w:r>
    </w:p>
    <w:p w14:paraId="11391E8E" w14:textId="77777777" w:rsidR="00141165" w:rsidRDefault="00141165">
      <w:pPr>
        <w:rPr>
          <w:rFonts w:asciiTheme="majorHAnsi" w:eastAsiaTheme="majorEastAsia" w:hAnsiTheme="majorHAnsi" w:cstheme="majorBidi"/>
          <w:color w:val="2E74B5" w:themeColor="accent1" w:themeShade="BF"/>
          <w:sz w:val="32"/>
          <w:szCs w:val="32"/>
        </w:rPr>
      </w:pPr>
      <w:r>
        <w:br w:type="page"/>
      </w:r>
    </w:p>
    <w:p w14:paraId="4B6EFB16" w14:textId="0164C07D" w:rsidR="008F373F" w:rsidRDefault="00985E70" w:rsidP="004934E6">
      <w:pPr>
        <w:pStyle w:val="Heading2"/>
      </w:pPr>
      <w:r>
        <w:lastRenderedPageBreak/>
        <w:t xml:space="preserve">Supplementary </w:t>
      </w:r>
      <w:r w:rsidR="00EB52BF">
        <w:t xml:space="preserve">Tables and </w:t>
      </w:r>
      <w:r>
        <w:t>Figures</w:t>
      </w:r>
    </w:p>
    <w:p w14:paraId="2A736002" w14:textId="67EC66AF" w:rsidR="00EB52BF" w:rsidRPr="001D5951" w:rsidRDefault="00424096" w:rsidP="001D5951">
      <w:pPr>
        <w:pStyle w:val="Caption"/>
        <w:keepNext/>
        <w:jc w:val="both"/>
        <w:rPr>
          <w:rStyle w:val="None"/>
          <w:rFonts w:ascii="Calibri" w:eastAsia="Calibri" w:hAnsi="Calibri" w:cs="Times New Roman"/>
          <w:i w:val="0"/>
          <w:iCs w:val="0"/>
          <w:color w:val="44546A"/>
          <w:sz w:val="24"/>
          <w:szCs w:val="24"/>
          <w:u w:color="44546A"/>
          <w:lang w:eastAsia="en-AU"/>
        </w:rPr>
      </w:pPr>
      <w:r>
        <w:rPr>
          <w:rStyle w:val="None"/>
          <w:rFonts w:ascii="Calibri" w:hAnsi="Calibri" w:cs="Times New Roman"/>
          <w:b/>
          <w:bCs/>
          <w:i w:val="0"/>
          <w:iCs w:val="0"/>
          <w:sz w:val="24"/>
          <w:szCs w:val="24"/>
        </w:rPr>
        <w:t xml:space="preserve">Supp. </w:t>
      </w:r>
      <w:r w:rsidR="00EB52BF" w:rsidRPr="001D5951">
        <w:rPr>
          <w:rStyle w:val="None"/>
          <w:rFonts w:ascii="Calibri" w:hAnsi="Calibri" w:cs="Times New Roman"/>
          <w:b/>
          <w:bCs/>
          <w:i w:val="0"/>
          <w:iCs w:val="0"/>
          <w:sz w:val="24"/>
          <w:szCs w:val="24"/>
        </w:rPr>
        <w:t>Table 1</w:t>
      </w:r>
      <w:r w:rsidR="00EB52BF" w:rsidRPr="001D5951">
        <w:rPr>
          <w:rStyle w:val="None"/>
          <w:rFonts w:ascii="Calibri" w:hAnsi="Calibri" w:cs="Times New Roman"/>
          <w:i w:val="0"/>
          <w:iCs w:val="0"/>
          <w:sz w:val="24"/>
          <w:szCs w:val="24"/>
        </w:rPr>
        <w:t xml:space="preserve"> Definitions, values and references for all parameters used in the model. All rates are in units of </w:t>
      </w:r>
      <w:r w:rsidR="00EB52BF" w:rsidRPr="001D5951">
        <w:rPr>
          <w:rStyle w:val="None"/>
          <w:rFonts w:ascii="Calibri" w:hAnsi="Calibri" w:cs="Times New Roman"/>
          <w:sz w:val="24"/>
          <w:szCs w:val="24"/>
        </w:rPr>
        <w:t>day</w:t>
      </w:r>
      <w:r w:rsidR="00EB52BF" w:rsidRPr="001D5951">
        <w:rPr>
          <w:rStyle w:val="None"/>
          <w:rFonts w:ascii="Calibri" w:hAnsi="Calibri" w:cs="Times New Roman"/>
          <w:sz w:val="24"/>
          <w:szCs w:val="24"/>
          <w:vertAlign w:val="superscript"/>
        </w:rPr>
        <w:t>-1</w:t>
      </w:r>
      <w:r w:rsidR="00EB52BF" w:rsidRPr="001D5951">
        <w:rPr>
          <w:rStyle w:val="None"/>
          <w:rFonts w:ascii="Calibri" w:hAnsi="Calibri" w:cs="Times New Roman"/>
          <w:i w:val="0"/>
          <w:iCs w:val="0"/>
          <w:sz w:val="24"/>
          <w:szCs w:val="24"/>
        </w:rPr>
        <w:t>. *These parameters were fit to the model, with the range indicating values over sensitivity analysis. †Only these parameters were affected by assumptions around infant infectiousness, being estimated under the assumption that β</w:t>
      </w:r>
      <w:r w:rsidR="00EB52BF" w:rsidRPr="001D5951">
        <w:rPr>
          <w:rStyle w:val="None"/>
          <w:rFonts w:ascii="Calibri" w:hAnsi="Calibri" w:cs="Times New Roman"/>
          <w:i w:val="0"/>
          <w:iCs w:val="0"/>
          <w:sz w:val="24"/>
          <w:szCs w:val="24"/>
          <w:vertAlign w:val="subscript"/>
        </w:rPr>
        <w:t>Infant</w:t>
      </w:r>
      <w:r w:rsidR="00EB52BF" w:rsidRPr="001D5951">
        <w:rPr>
          <w:rStyle w:val="None"/>
          <w:rFonts w:ascii="Calibri" w:hAnsi="Calibri" w:cs="Times New Roman"/>
          <w:i w:val="0"/>
          <w:iCs w:val="0"/>
          <w:sz w:val="24"/>
          <w:szCs w:val="24"/>
        </w:rPr>
        <w:t>= k × β</w:t>
      </w:r>
      <w:r w:rsidR="00EB52BF" w:rsidRPr="001D5951">
        <w:rPr>
          <w:rStyle w:val="None"/>
          <w:rFonts w:ascii="Calibri" w:hAnsi="Calibri" w:cs="Times New Roman"/>
          <w:i w:val="0"/>
          <w:iCs w:val="0"/>
          <w:sz w:val="24"/>
          <w:szCs w:val="24"/>
          <w:vertAlign w:val="subscript"/>
        </w:rPr>
        <w:t>Disrupt</w:t>
      </w:r>
      <w:r w:rsidR="00EB52BF" w:rsidRPr="001D5951">
        <w:rPr>
          <w:rStyle w:val="None"/>
          <w:rFonts w:ascii="Calibri" w:hAnsi="Calibri" w:cs="Times New Roman"/>
          <w:i w:val="0"/>
          <w:iCs w:val="0"/>
          <w:sz w:val="24"/>
          <w:szCs w:val="24"/>
        </w:rPr>
        <w:t xml:space="preserve"> for k in the range 0-1. ‡ These parameter values are the same as our previous model of hospital transmission </w:t>
      </w:r>
      <w:r w:rsidR="00EB52BF" w:rsidRPr="001D5951">
        <w:rPr>
          <w:rStyle w:val="None"/>
          <w:rFonts w:ascii="Calibri" w:hAnsi="Calibri" w:cs="Times New Roman"/>
          <w:i w:val="0"/>
          <w:iCs w:val="0"/>
          <w:sz w:val="24"/>
          <w:szCs w:val="24"/>
        </w:rPr>
        <w:fldChar w:fldCharType="begin" w:fldLock="1"/>
      </w:r>
      <w:r w:rsidR="00B461B6">
        <w:rPr>
          <w:rStyle w:val="None"/>
          <w:rFonts w:cs="Times New Roman"/>
          <w:i w:val="0"/>
          <w:iCs w:val="0"/>
          <w:sz w:val="24"/>
          <w:szCs w:val="24"/>
        </w:rPr>
        <w:instrText>ADDIN CSL_CITATION {"citationItems":[{"id":"ITEM-1","itemData":{"DOI":"10.1007/s11538-017-0328-8","author":[{"dropping-particle":"","family":"McLure","given":"Angus","non-dropping-particle":"","parse-names":false,"suffix":""},{"dropping-particle":"","family":"Clements","given":"Archie C. A.","non-dropping-particle":"","parse-names":false,"suffix":""},{"dropping-particle":"","family":"Kirk","given":"Martyn","non-dropping-particle":"","parse-names":false,"suffix":""},{"dropping-particle":"","family":"Glass","given":"Kathryn","non-dropping-particle":"","parse-names":false,"suffix":""}],"container-title":"Bulletin of Mathematical Biology","id":"ITEM-1","issue":"10","issued":{"date-parts":[["2017","10","3"]]},"page":"2242-2257","title":"Healthcare-Associated Clostridium difficile Infections are Sustained by Disease from the Community","type":"article-journal","volume":"79"},"uris":["http://www.mendeley.com/documents/?uuid=40b1ba2d-b9b0-4e6c-926b-4577ae64411f"]}],"mendeley":{"formattedCitation":"[10]","plainTextFormattedCitation":"[10]","previouslyFormattedCitation":"[10]"},"properties":{"noteIndex":0},"schema":"https://github.com/citation-style-language/schema/raw/master/csl-citation.json"}</w:instrText>
      </w:r>
      <w:r w:rsidR="00EB52BF" w:rsidRPr="001D5951">
        <w:rPr>
          <w:rStyle w:val="None"/>
          <w:rFonts w:ascii="Calibri" w:hAnsi="Calibri" w:cs="Times New Roman"/>
          <w:i w:val="0"/>
          <w:iCs w:val="0"/>
          <w:sz w:val="24"/>
          <w:szCs w:val="24"/>
        </w:rPr>
        <w:fldChar w:fldCharType="separate"/>
      </w:r>
      <w:r w:rsidR="00B80518" w:rsidRPr="00B80518">
        <w:rPr>
          <w:rStyle w:val="None"/>
          <w:rFonts w:cs="Times New Roman"/>
          <w:i w:val="0"/>
          <w:iCs w:val="0"/>
          <w:noProof/>
          <w:sz w:val="24"/>
          <w:szCs w:val="24"/>
        </w:rPr>
        <w:t>[10]</w:t>
      </w:r>
      <w:r w:rsidR="00EB52BF" w:rsidRPr="001D5951">
        <w:rPr>
          <w:rStyle w:val="None"/>
          <w:rFonts w:ascii="Calibri" w:hAnsi="Calibri" w:cs="Times New Roman"/>
          <w:i w:val="0"/>
          <w:iCs w:val="0"/>
          <w:sz w:val="24"/>
          <w:szCs w:val="24"/>
        </w:rPr>
        <w:fldChar w:fldCharType="end"/>
      </w:r>
      <w:r w:rsidR="00EB52BF" w:rsidRPr="001D5951">
        <w:rPr>
          <w:rStyle w:val="None"/>
          <w:rFonts w:ascii="Calibri" w:hAnsi="Calibri" w:cs="Times New Roman"/>
          <w:i w:val="0"/>
          <w:iCs w:val="0"/>
          <w:sz w:val="24"/>
          <w:szCs w:val="24"/>
        </w:rPr>
        <w:t>.</w:t>
      </w:r>
    </w:p>
    <w:tbl>
      <w:tblPr>
        <w:tblW w:w="902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168"/>
        <w:gridCol w:w="3827"/>
        <w:gridCol w:w="1418"/>
        <w:gridCol w:w="1417"/>
        <w:gridCol w:w="1196"/>
      </w:tblGrid>
      <w:tr w:rsidR="00EB52BF" w:rsidRPr="0045681F" w14:paraId="18B290DB" w14:textId="77777777" w:rsidTr="00503BAB">
        <w:trPr>
          <w:trHeight w:val="635"/>
        </w:trPr>
        <w:tc>
          <w:tcPr>
            <w:tcW w:w="1168" w:type="dxa"/>
            <w:tcBorders>
              <w:top w:val="nil"/>
              <w:left w:val="nil"/>
              <w:bottom w:val="single" w:sz="3" w:space="0" w:color="000000"/>
              <w:right w:val="single" w:sz="4" w:space="0" w:color="BFBFBF"/>
            </w:tcBorders>
            <w:shd w:val="clear" w:color="auto" w:fill="auto"/>
            <w:tcMar>
              <w:top w:w="80" w:type="dxa"/>
              <w:left w:w="80" w:type="dxa"/>
              <w:bottom w:w="80" w:type="dxa"/>
              <w:right w:w="80" w:type="dxa"/>
            </w:tcMar>
            <w:vAlign w:val="bottom"/>
          </w:tcPr>
          <w:p w14:paraId="2736FA94"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Parameter</w:t>
            </w:r>
          </w:p>
        </w:tc>
        <w:tc>
          <w:tcPr>
            <w:tcW w:w="3827" w:type="dxa"/>
            <w:tcBorders>
              <w:top w:val="nil"/>
              <w:left w:val="single" w:sz="4" w:space="0" w:color="BFBFBF"/>
              <w:bottom w:val="single" w:sz="3" w:space="0" w:color="000000"/>
              <w:right w:val="single" w:sz="4" w:space="0" w:color="BFBFBF"/>
            </w:tcBorders>
            <w:shd w:val="clear" w:color="auto" w:fill="auto"/>
            <w:tcMar>
              <w:top w:w="80" w:type="dxa"/>
              <w:left w:w="80" w:type="dxa"/>
              <w:bottom w:w="80" w:type="dxa"/>
              <w:right w:w="80" w:type="dxa"/>
            </w:tcMar>
            <w:vAlign w:val="bottom"/>
          </w:tcPr>
          <w:p w14:paraId="0337CF0B" w14:textId="77777777" w:rsidR="00EB52BF" w:rsidRPr="001D5951" w:rsidRDefault="00EB52BF" w:rsidP="00503BAB">
            <w:pPr>
              <w:pStyle w:val="TableParagraph"/>
              <w:tabs>
                <w:tab w:val="left" w:pos="1815"/>
              </w:tabs>
              <w:jc w:val="center"/>
              <w:rPr>
                <w:rFonts w:cs="Times New Roman"/>
                <w:lang w:val="en-AU"/>
              </w:rPr>
            </w:pPr>
            <w:r w:rsidRPr="001D5951">
              <w:rPr>
                <w:rStyle w:val="None"/>
                <w:rFonts w:cs="Times New Roman"/>
                <w:kern w:val="16"/>
                <w:lang w:val="en-AU"/>
              </w:rPr>
              <w:t>Description</w:t>
            </w:r>
          </w:p>
        </w:tc>
        <w:tc>
          <w:tcPr>
            <w:tcW w:w="1418" w:type="dxa"/>
            <w:tcBorders>
              <w:top w:val="nil"/>
              <w:left w:val="single" w:sz="4" w:space="0" w:color="BFBFBF"/>
              <w:bottom w:val="single" w:sz="4" w:space="0" w:color="000000"/>
              <w:right w:val="single" w:sz="4" w:space="0" w:color="BFBFBF"/>
            </w:tcBorders>
            <w:shd w:val="clear" w:color="auto" w:fill="auto"/>
            <w:tcMar>
              <w:top w:w="80" w:type="dxa"/>
              <w:left w:w="80" w:type="dxa"/>
              <w:bottom w:w="80" w:type="dxa"/>
              <w:right w:w="80" w:type="dxa"/>
            </w:tcMar>
            <w:vAlign w:val="bottom"/>
          </w:tcPr>
          <w:p w14:paraId="0F0E9338" w14:textId="77777777" w:rsidR="00EB52BF" w:rsidRPr="001D5951" w:rsidRDefault="00EB52BF" w:rsidP="00503BAB">
            <w:pPr>
              <w:pStyle w:val="TableParagraph"/>
              <w:jc w:val="center"/>
              <w:rPr>
                <w:rStyle w:val="None"/>
                <w:rFonts w:cs="Times New Roman"/>
                <w:kern w:val="16"/>
                <w:lang w:val="en-AU"/>
              </w:rPr>
            </w:pPr>
            <w:r w:rsidRPr="001D5951">
              <w:rPr>
                <w:rStyle w:val="None"/>
                <w:rFonts w:cs="Times New Roman"/>
                <w:kern w:val="16"/>
                <w:lang w:val="en-AU"/>
              </w:rPr>
              <w:t>Value</w:t>
            </w:r>
          </w:p>
          <w:p w14:paraId="3D3283FE"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Hospital/ Admission</w:t>
            </w:r>
          </w:p>
        </w:tc>
        <w:tc>
          <w:tcPr>
            <w:tcW w:w="1417" w:type="dxa"/>
            <w:tcBorders>
              <w:top w:val="nil"/>
              <w:left w:val="single" w:sz="4" w:space="0" w:color="BFBFBF"/>
              <w:bottom w:val="single" w:sz="4" w:space="0" w:color="000000"/>
              <w:right w:val="single" w:sz="4" w:space="0" w:color="BFBFBF"/>
            </w:tcBorders>
            <w:shd w:val="clear" w:color="auto" w:fill="auto"/>
            <w:tcMar>
              <w:top w:w="80" w:type="dxa"/>
              <w:left w:w="80" w:type="dxa"/>
              <w:bottom w:w="80" w:type="dxa"/>
              <w:right w:w="80" w:type="dxa"/>
            </w:tcMar>
            <w:vAlign w:val="bottom"/>
          </w:tcPr>
          <w:p w14:paraId="55FE7E0A" w14:textId="77777777" w:rsidR="00EB52BF" w:rsidRPr="001D5951" w:rsidRDefault="00EB52BF" w:rsidP="00503BAB">
            <w:pPr>
              <w:pStyle w:val="TableParagraph"/>
              <w:jc w:val="center"/>
              <w:rPr>
                <w:rStyle w:val="None"/>
                <w:rFonts w:cs="Times New Roman"/>
                <w:kern w:val="16"/>
                <w:lang w:val="en-AU"/>
              </w:rPr>
            </w:pPr>
            <w:r w:rsidRPr="001D5951">
              <w:rPr>
                <w:rStyle w:val="None"/>
                <w:rFonts w:cs="Times New Roman"/>
                <w:kern w:val="16"/>
                <w:lang w:val="en-AU"/>
              </w:rPr>
              <w:t>Value</w:t>
            </w:r>
          </w:p>
          <w:p w14:paraId="1F362C83"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Community/Discharge</w:t>
            </w:r>
          </w:p>
        </w:tc>
        <w:tc>
          <w:tcPr>
            <w:tcW w:w="1196" w:type="dxa"/>
            <w:tcBorders>
              <w:top w:val="nil"/>
              <w:left w:val="single" w:sz="4" w:space="0" w:color="BFBFBF"/>
              <w:bottom w:val="single" w:sz="3" w:space="0" w:color="000000"/>
              <w:right w:val="nil"/>
            </w:tcBorders>
            <w:shd w:val="clear" w:color="auto" w:fill="auto"/>
            <w:tcMar>
              <w:top w:w="80" w:type="dxa"/>
              <w:left w:w="80" w:type="dxa"/>
              <w:bottom w:w="80" w:type="dxa"/>
              <w:right w:w="80" w:type="dxa"/>
            </w:tcMar>
            <w:vAlign w:val="bottom"/>
          </w:tcPr>
          <w:p w14:paraId="7C56601F"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References</w:t>
            </w:r>
          </w:p>
        </w:tc>
      </w:tr>
      <w:tr w:rsidR="00EB52BF" w:rsidRPr="0045681F" w14:paraId="293E1B41" w14:textId="77777777" w:rsidTr="00503BAB">
        <w:trPr>
          <w:trHeight w:val="670"/>
        </w:trPr>
        <w:tc>
          <w:tcPr>
            <w:tcW w:w="1168" w:type="dxa"/>
            <w:tcBorders>
              <w:top w:val="single" w:sz="3" w:space="0" w:color="000000"/>
              <w:left w:val="nil"/>
              <w:bottom w:val="single" w:sz="4" w:space="0" w:color="BFBFBF"/>
              <w:right w:val="single" w:sz="4" w:space="0" w:color="BFBFBF"/>
            </w:tcBorders>
            <w:shd w:val="clear" w:color="auto" w:fill="auto"/>
            <w:tcMar>
              <w:top w:w="80" w:type="dxa"/>
              <w:left w:w="80" w:type="dxa"/>
              <w:bottom w:w="80" w:type="dxa"/>
              <w:right w:w="80" w:type="dxa"/>
            </w:tcMar>
            <w:vAlign w:val="center"/>
          </w:tcPr>
          <w:p w14:paraId="156BE453" w14:textId="77777777" w:rsidR="00EB52BF" w:rsidRPr="001D5951" w:rsidRDefault="00EB52BF" w:rsidP="00503BAB">
            <w:pPr>
              <w:pStyle w:val="TableParagraph"/>
              <w:jc w:val="center"/>
              <w:rPr>
                <w:rFonts w:cs="Times New Roman"/>
                <w:lang w:val="en-AU"/>
              </w:rPr>
            </w:pPr>
            <w:r w:rsidRPr="001D5951">
              <w:rPr>
                <w:rStyle w:val="None"/>
                <w:rFonts w:cs="Times New Roman"/>
                <w:i/>
                <w:iCs/>
                <w:kern w:val="16"/>
                <w:lang w:val="en-AU"/>
              </w:rPr>
              <w:t>α</w:t>
            </w:r>
          </w:p>
        </w:tc>
        <w:tc>
          <w:tcPr>
            <w:tcW w:w="3827" w:type="dxa"/>
            <w:tcBorders>
              <w:top w:val="single" w:sz="3" w:space="0" w:color="000000"/>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6722F18F" w14:textId="77777777" w:rsidR="00EB52BF" w:rsidRPr="001D5951" w:rsidRDefault="00EB52BF" w:rsidP="00503BAB">
            <w:pPr>
              <w:pStyle w:val="TableParagraph"/>
              <w:rPr>
                <w:rFonts w:cs="Times New Roman"/>
                <w:lang w:val="en-AU"/>
              </w:rPr>
            </w:pPr>
            <w:r w:rsidRPr="001D5951">
              <w:rPr>
                <w:rStyle w:val="None"/>
                <w:rFonts w:cs="Times New Roman"/>
                <w:kern w:val="16"/>
                <w:lang w:val="en-AU"/>
              </w:rPr>
              <w:t>Rate at which patients begin new antimicrobial treatment (proxy for rate of gut flora disruption)</w:t>
            </w:r>
          </w:p>
        </w:tc>
        <w:tc>
          <w:tcPr>
            <w:tcW w:w="1418" w:type="dxa"/>
            <w:tcBorders>
              <w:top w:val="single" w:sz="4" w:space="0" w:color="000000"/>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4299D7A3"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0.33</w:t>
            </w:r>
          </w:p>
        </w:tc>
        <w:tc>
          <w:tcPr>
            <w:tcW w:w="1417" w:type="dxa"/>
            <w:tcBorders>
              <w:top w:val="single" w:sz="4" w:space="0" w:color="000000"/>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22F25624"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1.5×10</w:t>
            </w:r>
            <w:r w:rsidRPr="001D5951">
              <w:rPr>
                <w:rStyle w:val="None"/>
                <w:rFonts w:cs="Times New Roman"/>
                <w:kern w:val="16"/>
                <w:vertAlign w:val="superscript"/>
                <w:lang w:val="en-AU"/>
              </w:rPr>
              <w:t>-3</w:t>
            </w:r>
          </w:p>
        </w:tc>
        <w:tc>
          <w:tcPr>
            <w:tcW w:w="1196" w:type="dxa"/>
            <w:tcBorders>
              <w:top w:val="single" w:sz="3" w:space="0" w:color="000000"/>
              <w:left w:val="single" w:sz="4" w:space="0" w:color="BFBFBF"/>
              <w:bottom w:val="single" w:sz="4" w:space="0" w:color="BFBFBF"/>
              <w:right w:val="nil"/>
            </w:tcBorders>
            <w:shd w:val="clear" w:color="auto" w:fill="auto"/>
            <w:tcMar>
              <w:top w:w="80" w:type="dxa"/>
              <w:left w:w="80" w:type="dxa"/>
              <w:bottom w:w="80" w:type="dxa"/>
              <w:right w:w="80" w:type="dxa"/>
            </w:tcMar>
            <w:vAlign w:val="center"/>
          </w:tcPr>
          <w:p w14:paraId="45DF7952" w14:textId="1E609485" w:rsidR="00EB52BF" w:rsidRPr="001D5951" w:rsidRDefault="00EB52BF" w:rsidP="008052D2">
            <w:pPr>
              <w:pStyle w:val="TableParagraph"/>
              <w:jc w:val="center"/>
              <w:rPr>
                <w:rFonts w:cs="Times New Roman"/>
                <w:lang w:val="en-AU"/>
              </w:rPr>
            </w:pPr>
            <w:r w:rsidRPr="001D5951">
              <w:rPr>
                <w:rStyle w:val="None"/>
                <w:rFonts w:cs="Times New Roman"/>
                <w:kern w:val="16"/>
                <w:vertAlign w:val="superscript"/>
                <w:lang w:val="en-AU"/>
              </w:rPr>
              <w:fldChar w:fldCharType="begin" w:fldLock="1"/>
            </w:r>
            <w:r w:rsidR="00B461B6">
              <w:rPr>
                <w:rStyle w:val="None"/>
                <w:rFonts w:cs="Times New Roman"/>
                <w:kern w:val="16"/>
                <w:vertAlign w:val="superscript"/>
                <w:lang w:val="en-AU"/>
              </w:rPr>
              <w:instrText>ADDIN CSL_CITATION {"citationItems":[{"id":"ITEM-1","itemData":{"DOI":"10.1086/528810","PMID":"18257689","abstract":"OBJECTIVE To describe variability in rates of antibacterial use in a large sample of US hospitals and to create risk-adjusted models for interhospital comparison. METHODS We retrospectively surveyed the use of 87 antibacterial agents on the basis of electronic claims data from 130 medical-surgical hospitals in the United States for the period August 2002 to July 2003; these records represented 1,798,084 adult inpatients. Hospitals were assigned randomly to the derivation data set (65 hospitals) or the validation data set (65 hospitals). Multivariable models predicting rates of antibacterial use were created using the derivation data set. These models were then used to predict rates of antibacterial use in the validation data set, which was compared with observed rates of antibacterial use. Rates of antibacterial use was measured in days of therapy per 1,000 patient-days. RESULTS Across the surveyed hospitals, a mean of 59.3% of patients received at least 1 dose of an antimicrobial agent during hospitalization (range for individual hospitals, 44.4%-73.6%). The mean total rate of antibacterial use was 789.8 days of therapy per 1,000 patient-days (range, 454.4-1,153.4). The best model for the total rate of antibacterial use explained 31% of the variance in rates of antibacterial use and included the number of hospital beds, the number of days in the intensive care unit per 1,000 patient-days, the number of surgeries per 1,000 discharges, and the number of cases of pneumonia, bacteremia, and urinary tract infection per 1,000 discharges. Five hospitals in the validation data set were identified as having outlier rates on the basis of observed antibacterial use greater than the upper bound of the 90% prediction interval for predicted antibacterial use in that hospital. CONCLUSION Most adult inpatients receive antimicrobial agents during their hospitalization, but there is substantial variability between hospitals in the volume of antibacterials used. Risk-adjusted models can explain a significant proportion of this variation and allow for comparisons between hospitals for benchmarking purposes.","author":[{"dropping-particle":"","family":"MacDougall","given":"Conan","non-dropping-particle":"","parse-names":false,"suffix":""},{"dropping-particle":"","family":"Polk","given":"Ronald E.","non-dropping-particle":"","parse-names":false,"suffix":""}],"container-title":"Infection control and hospital epidemiology","id":"ITEM-1","issue":"3","issued":{"date-parts":[["2008","3"]]},"page":"203-11","title":"Variability in rates of use of antibacterials among 130 US hospitals and risk-adjustment models for interhospital comparison.","type":"article-journal","volume":"29"},"uris":["http://www.mendeley.com/documents/?uuid=2ed40d20-92d5-4e6b-b9fa-8d64fe01a763"]},{"id":"ITEM-2","itemData":{"author":[{"dropping-particle":"","family":"Australian Commonwealth Department of Health - Drug utilisation sub-committee (DUSC)","given":"","non-dropping-particle":"","parse-names":false,"suffix":""}],"id":"ITEM-2","issued":{"date-parts":[["2015"]]},"publisher-place":"Canberra","title":"Antibiotics : PBS / RPBS utilisation","type":"report"},"uris":["http://www.mendeley.com/documents/?uuid=f9e7b235-c9e0-4d09-a079-6f701c260907"]}],"mendeley":{"formattedCitation":"[5,6]","plainTextFormattedCitation":"[5,6]","previouslyFormattedCitation":"[5,6]"},"properties":{"noteIndex":0},"schema":"https://github.com/citation-style-language/schema/raw/master/csl-citation.json"}</w:instrText>
            </w:r>
            <w:r w:rsidRPr="001D5951">
              <w:rPr>
                <w:rStyle w:val="None"/>
                <w:rFonts w:cs="Times New Roman"/>
                <w:kern w:val="16"/>
                <w:vertAlign w:val="superscript"/>
                <w:lang w:val="en-AU"/>
              </w:rPr>
              <w:fldChar w:fldCharType="separate"/>
            </w:r>
            <w:r w:rsidR="00B80518" w:rsidRPr="00B80518">
              <w:rPr>
                <w:rStyle w:val="None"/>
                <w:rFonts w:cs="Times New Roman"/>
                <w:noProof/>
                <w:kern w:val="16"/>
                <w:lang w:val="en-AU"/>
              </w:rPr>
              <w:t>[5,6]</w:t>
            </w:r>
            <w:r w:rsidRPr="001D5951">
              <w:rPr>
                <w:rStyle w:val="None"/>
                <w:rFonts w:cs="Times New Roman"/>
                <w:kern w:val="16"/>
                <w:vertAlign w:val="superscript"/>
                <w:lang w:val="en-AU"/>
              </w:rPr>
              <w:fldChar w:fldCharType="end"/>
            </w:r>
          </w:p>
        </w:tc>
      </w:tr>
      <w:tr w:rsidR="00EB52BF" w:rsidRPr="0045681F" w14:paraId="1267451E" w14:textId="77777777" w:rsidTr="00503BAB">
        <w:trPr>
          <w:trHeight w:val="670"/>
        </w:trPr>
        <w:tc>
          <w:tcPr>
            <w:tcW w:w="1168" w:type="dxa"/>
            <w:tcBorders>
              <w:top w:val="single" w:sz="4" w:space="0" w:color="BFBFBF"/>
              <w:left w:val="nil"/>
              <w:bottom w:val="single" w:sz="4" w:space="0" w:color="BFBFBF"/>
              <w:right w:val="single" w:sz="4" w:space="0" w:color="BFBFBF"/>
            </w:tcBorders>
            <w:shd w:val="clear" w:color="auto" w:fill="auto"/>
            <w:tcMar>
              <w:top w:w="80" w:type="dxa"/>
              <w:left w:w="80" w:type="dxa"/>
              <w:bottom w:w="80" w:type="dxa"/>
              <w:right w:w="80" w:type="dxa"/>
            </w:tcMar>
            <w:vAlign w:val="center"/>
          </w:tcPr>
          <w:p w14:paraId="4EA845A2" w14:textId="77777777" w:rsidR="00EB52BF" w:rsidRPr="001D5951" w:rsidRDefault="00EB52BF" w:rsidP="00503BAB">
            <w:pPr>
              <w:pStyle w:val="TableParagraph"/>
              <w:jc w:val="center"/>
              <w:rPr>
                <w:rFonts w:cs="Times New Roman"/>
                <w:lang w:val="en-AU"/>
              </w:rPr>
            </w:pPr>
            <w:r w:rsidRPr="001D5951">
              <w:rPr>
                <w:rStyle w:val="None"/>
                <w:rFonts w:cs="Times New Roman"/>
                <w:i/>
                <w:iCs/>
                <w:kern w:val="16"/>
                <w:lang w:val="en-AU"/>
              </w:rPr>
              <w:t>α</w:t>
            </w:r>
            <w:r w:rsidRPr="001D5951">
              <w:rPr>
                <w:rStyle w:val="None"/>
                <w:rFonts w:cs="Times New Roman"/>
                <w:i/>
                <w:iCs/>
                <w:kern w:val="16"/>
                <w:vertAlign w:val="subscript"/>
                <w:lang w:val="en-AU"/>
              </w:rPr>
              <w:t>U</w:t>
            </w:r>
          </w:p>
        </w:tc>
        <w:tc>
          <w:tcPr>
            <w:tcW w:w="382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28843A75" w14:textId="77777777" w:rsidR="00EB52BF" w:rsidRPr="001D5951" w:rsidRDefault="00EB52BF" w:rsidP="00503BAB">
            <w:pPr>
              <w:pStyle w:val="TableParagraph"/>
              <w:rPr>
                <w:rFonts w:cs="Times New Roman"/>
                <w:lang w:val="en-AU"/>
              </w:rPr>
            </w:pPr>
            <w:r w:rsidRPr="001D5951">
              <w:rPr>
                <w:rStyle w:val="None"/>
                <w:rFonts w:cs="Times New Roman"/>
                <w:kern w:val="16"/>
                <w:lang w:val="en-AU"/>
              </w:rPr>
              <w:t>Rate at which patients begin new antimicrobial treatment (proxy for rate of gut flora disruption) for elderly/suppressed</w:t>
            </w:r>
          </w:p>
        </w:tc>
        <w:tc>
          <w:tcPr>
            <w:tcW w:w="1418"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73C375D7"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0.33</w:t>
            </w:r>
          </w:p>
        </w:tc>
        <w:tc>
          <w:tcPr>
            <w:tcW w:w="141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2C8CA30E"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2.5×10</w:t>
            </w:r>
            <w:r w:rsidRPr="001D5951">
              <w:rPr>
                <w:rStyle w:val="None"/>
                <w:rFonts w:cs="Times New Roman"/>
                <w:kern w:val="16"/>
                <w:vertAlign w:val="superscript"/>
                <w:lang w:val="en-AU"/>
              </w:rPr>
              <w:t>-3</w:t>
            </w:r>
          </w:p>
        </w:tc>
        <w:tc>
          <w:tcPr>
            <w:tcW w:w="1196" w:type="dxa"/>
            <w:tcBorders>
              <w:top w:val="single" w:sz="4" w:space="0" w:color="BFBFBF"/>
              <w:left w:val="single" w:sz="4" w:space="0" w:color="BFBFBF"/>
              <w:bottom w:val="single" w:sz="4" w:space="0" w:color="BFBFBF"/>
              <w:right w:val="nil"/>
            </w:tcBorders>
            <w:shd w:val="clear" w:color="auto" w:fill="auto"/>
            <w:tcMar>
              <w:top w:w="80" w:type="dxa"/>
              <w:left w:w="80" w:type="dxa"/>
              <w:bottom w:w="80" w:type="dxa"/>
              <w:right w:w="80" w:type="dxa"/>
            </w:tcMar>
            <w:vAlign w:val="center"/>
          </w:tcPr>
          <w:p w14:paraId="2A5823EF" w14:textId="6DC8A48B" w:rsidR="00EB52BF" w:rsidRPr="001D5951" w:rsidRDefault="00EB52BF" w:rsidP="008052D2">
            <w:pPr>
              <w:pStyle w:val="TableParagraph"/>
              <w:jc w:val="center"/>
              <w:rPr>
                <w:rFonts w:cs="Times New Roman"/>
                <w:lang w:val="en-AU"/>
              </w:rPr>
            </w:pPr>
            <w:r w:rsidRPr="001D5951">
              <w:rPr>
                <w:rStyle w:val="None"/>
                <w:rFonts w:cs="Times New Roman"/>
                <w:kern w:val="16"/>
                <w:vertAlign w:val="superscript"/>
                <w:lang w:val="en-AU"/>
              </w:rPr>
              <w:fldChar w:fldCharType="begin" w:fldLock="1"/>
            </w:r>
            <w:r w:rsidR="00B461B6">
              <w:rPr>
                <w:rStyle w:val="None"/>
                <w:rFonts w:cs="Times New Roman"/>
                <w:kern w:val="16"/>
                <w:vertAlign w:val="superscript"/>
                <w:lang w:val="en-AU"/>
              </w:rPr>
              <w:instrText>ADDIN CSL_CITATION {"citationItems":[{"id":"ITEM-1","itemData":{"DOI":"10.1086/528810","PMID":"18257689","abstract":"OBJECTIVE To describe variability in rates of antibacterial use in a large sample of US hospitals and to create risk-adjusted models for interhospital comparison. METHODS We retrospectively surveyed the use of 87 antibacterial agents on the basis of electronic claims data from 130 medical-surgical hospitals in the United States for the period August 2002 to July 2003; these records represented 1,798,084 adult inpatients. Hospitals were assigned randomly to the derivation data set (65 hospitals) or the validation data set (65 hospitals). Multivariable models predicting rates of antibacterial use were created using the derivation data set. These models were then used to predict rates of antibacterial use in the validation data set, which was compared with observed rates of antibacterial use. Rates of antibacterial use was measured in days of therapy per 1,000 patient-days. RESULTS Across the surveyed hospitals, a mean of 59.3% of patients received at least 1 dose of an antimicrobial agent during hospitalization (range for individual hospitals, 44.4%-73.6%). The mean total rate of antibacterial use was 789.8 days of therapy per 1,000 patient-days (range, 454.4-1,153.4). The best model for the total rate of antibacterial use explained 31% of the variance in rates of antibacterial use and included the number of hospital beds, the number of days in the intensive care unit per 1,000 patient-days, the number of surgeries per 1,000 discharges, and the number of cases of pneumonia, bacteremia, and urinary tract infection per 1,000 discharges. Five hospitals in the validation data set were identified as having outlier rates on the basis of observed antibacterial use greater than the upper bound of the 90% prediction interval for predicted antibacterial use in that hospital. CONCLUSION Most adult inpatients receive antimicrobial agents during their hospitalization, but there is substantial variability between hospitals in the volume of antibacterials used. Risk-adjusted models can explain a significant proportion of this variation and allow for comparisons between hospitals for benchmarking purposes.","author":[{"dropping-particle":"","family":"MacDougall","given":"Conan","non-dropping-particle":"","parse-names":false,"suffix":""},{"dropping-particle":"","family":"Polk","given":"Ronald E.","non-dropping-particle":"","parse-names":false,"suffix":""}],"container-title":"Infection control and hospital epidemiology","id":"ITEM-1","issue":"3","issued":{"date-parts":[["2008","3"]]},"page":"203-11","title":"Variability in rates of use of antibacterials among 130 US hospitals and risk-adjustment models for interhospital comparison.","type":"article-journal","volume":"29"},"uris":["http://www.mendeley.com/documents/?uuid=2ed40d20-92d5-4e6b-b9fa-8d64fe01a763"]},{"id":"ITEM-2","itemData":{"author":[{"dropping-particle":"","family":"Australian Commonwealth Department of Health - Drug utilisation sub-committee (DUSC)","given":"","non-dropping-particle":"","parse-names":false,"suffix":""}],"id":"ITEM-2","issued":{"date-parts":[["2015"]]},"publisher-place":"Canberra","title":"Antibiotics : PBS / RPBS utilisation","type":"report"},"uris":["http://www.mendeley.com/documents/?uuid=f9e7b235-c9e0-4d09-a079-6f701c260907"]}],"mendeley":{"formattedCitation":"[5,6]","plainTextFormattedCitation":"[5,6]","previouslyFormattedCitation":"[5,6]"},"properties":{"noteIndex":0},"schema":"https://github.com/citation-style-language/schema/raw/master/csl-citation.json"}</w:instrText>
            </w:r>
            <w:r w:rsidRPr="001D5951">
              <w:rPr>
                <w:rStyle w:val="None"/>
                <w:rFonts w:cs="Times New Roman"/>
                <w:kern w:val="16"/>
                <w:vertAlign w:val="superscript"/>
                <w:lang w:val="en-AU"/>
              </w:rPr>
              <w:fldChar w:fldCharType="separate"/>
            </w:r>
            <w:r w:rsidR="00B80518" w:rsidRPr="00B80518">
              <w:rPr>
                <w:rStyle w:val="None"/>
                <w:rFonts w:cs="Times New Roman"/>
                <w:noProof/>
                <w:kern w:val="16"/>
                <w:lang w:val="en-AU"/>
              </w:rPr>
              <w:t>[5,6]</w:t>
            </w:r>
            <w:r w:rsidRPr="001D5951">
              <w:rPr>
                <w:rStyle w:val="None"/>
                <w:rFonts w:cs="Times New Roman"/>
                <w:kern w:val="16"/>
                <w:vertAlign w:val="superscript"/>
                <w:lang w:val="en-AU"/>
              </w:rPr>
              <w:fldChar w:fldCharType="end"/>
            </w:r>
          </w:p>
        </w:tc>
      </w:tr>
      <w:tr w:rsidR="00EB52BF" w:rsidRPr="0045681F" w14:paraId="1E24A409" w14:textId="77777777" w:rsidTr="00503BAB">
        <w:trPr>
          <w:trHeight w:val="450"/>
        </w:trPr>
        <w:tc>
          <w:tcPr>
            <w:tcW w:w="1168" w:type="dxa"/>
            <w:tcBorders>
              <w:top w:val="single" w:sz="4" w:space="0" w:color="BFBFBF"/>
              <w:left w:val="nil"/>
              <w:bottom w:val="single" w:sz="4" w:space="0" w:color="BFBFBF"/>
              <w:right w:val="single" w:sz="4" w:space="0" w:color="BFBFBF"/>
            </w:tcBorders>
            <w:shd w:val="clear" w:color="auto" w:fill="auto"/>
            <w:tcMar>
              <w:top w:w="80" w:type="dxa"/>
              <w:left w:w="80" w:type="dxa"/>
              <w:bottom w:w="80" w:type="dxa"/>
              <w:right w:w="80" w:type="dxa"/>
            </w:tcMar>
            <w:vAlign w:val="center"/>
          </w:tcPr>
          <w:p w14:paraId="1ED359B5" w14:textId="77777777" w:rsidR="00EB52BF" w:rsidRPr="001D5951" w:rsidRDefault="00EB52BF" w:rsidP="00503BAB">
            <w:pPr>
              <w:pStyle w:val="TableParagraph"/>
              <w:jc w:val="center"/>
              <w:rPr>
                <w:rFonts w:cs="Times New Roman"/>
                <w:lang w:val="en-AU"/>
              </w:rPr>
            </w:pPr>
            <w:r w:rsidRPr="001D5951">
              <w:rPr>
                <w:rStyle w:val="None"/>
                <w:rFonts w:cs="Times New Roman"/>
                <w:i/>
                <w:iCs/>
                <w:kern w:val="16"/>
                <w:lang w:val="en-AU"/>
              </w:rPr>
              <w:t>λ</w:t>
            </w:r>
          </w:p>
        </w:tc>
        <w:tc>
          <w:tcPr>
            <w:tcW w:w="382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2D252502" w14:textId="77777777" w:rsidR="00EB52BF" w:rsidRPr="001D5951" w:rsidRDefault="00EB52BF" w:rsidP="00503BAB">
            <w:pPr>
              <w:pStyle w:val="TableParagraph"/>
              <w:rPr>
                <w:rFonts w:cs="Times New Roman"/>
                <w:lang w:val="en-AU"/>
              </w:rPr>
            </w:pPr>
            <w:r w:rsidRPr="001D5951">
              <w:rPr>
                <w:rStyle w:val="None"/>
                <w:rFonts w:cs="Times New Roman"/>
                <w:kern w:val="16"/>
                <w:lang w:val="en-AU"/>
              </w:rPr>
              <w:t>Rate at which damaged commensal gut flora recovers</w:t>
            </w:r>
          </w:p>
        </w:tc>
        <w:tc>
          <w:tcPr>
            <w:tcW w:w="2835" w:type="dxa"/>
            <w:gridSpan w:val="2"/>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50996AC"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0.03</w:t>
            </w:r>
            <w:r w:rsidRPr="001D5951">
              <w:rPr>
                <w:rStyle w:val="None"/>
                <w:rFonts w:cs="Times New Roman"/>
                <w:sz w:val="24"/>
                <w:szCs w:val="24"/>
                <w:lang w:val="en-AU"/>
              </w:rPr>
              <w:t>‡</w:t>
            </w:r>
          </w:p>
        </w:tc>
        <w:tc>
          <w:tcPr>
            <w:tcW w:w="1196" w:type="dxa"/>
            <w:tcBorders>
              <w:top w:val="single" w:sz="4" w:space="0" w:color="BFBFBF"/>
              <w:left w:val="single" w:sz="4" w:space="0" w:color="BFBFBF"/>
              <w:bottom w:val="single" w:sz="4" w:space="0" w:color="BFBFBF"/>
              <w:right w:val="nil"/>
            </w:tcBorders>
            <w:shd w:val="clear" w:color="auto" w:fill="auto"/>
            <w:tcMar>
              <w:top w:w="80" w:type="dxa"/>
              <w:left w:w="80" w:type="dxa"/>
              <w:bottom w:w="80" w:type="dxa"/>
              <w:right w:w="80" w:type="dxa"/>
            </w:tcMar>
            <w:vAlign w:val="center"/>
          </w:tcPr>
          <w:p w14:paraId="5BE5E8E6" w14:textId="315E0DE1" w:rsidR="00EB52BF" w:rsidRPr="001D5951" w:rsidRDefault="00EB52BF" w:rsidP="008052D2">
            <w:pPr>
              <w:pStyle w:val="TableParagraph"/>
              <w:jc w:val="center"/>
              <w:rPr>
                <w:rFonts w:cs="Times New Roman"/>
                <w:lang w:val="en-AU"/>
              </w:rPr>
            </w:pPr>
            <w:r w:rsidRPr="001D5951">
              <w:rPr>
                <w:rStyle w:val="None"/>
                <w:rFonts w:cs="Times New Roman"/>
                <w:kern w:val="16"/>
                <w:vertAlign w:val="superscript"/>
                <w:lang w:val="en-AU"/>
              </w:rPr>
              <w:fldChar w:fldCharType="begin" w:fldLock="1"/>
            </w:r>
            <w:r w:rsidR="00786612">
              <w:rPr>
                <w:rStyle w:val="None"/>
                <w:rFonts w:cs="Times New Roman"/>
                <w:kern w:val="16"/>
                <w:vertAlign w:val="superscript"/>
                <w:lang w:val="en-AU"/>
              </w:rPr>
              <w:instrText>ADDIN CSL_CITATION {"citationItems":[{"id":"ITEM-1","itemData":{"PMID":"19337440","abstract":"Antimicrobial agents are the most valuable means available for treating bacterial infections. However, the administration of therapeutic doses of antimicrobial agents to patients is a leading cause of disturbance of the normal gastrointestinal microflora. This disturbance results in diminishing the natural defense mechanisms provided by the colonic microbial ecosystem, making the host vulnerable to infection by commensal microorganisms or nosocomial pathogens. In this minireview, the impacts of antimicrobials, individually and in combinations, on the human colonic microflora are discussed.","author":[{"dropping-particle":"","family":"Rafii","given":"Fatemeh","non-dropping-particle":"","parse-names":false,"suffix":""},{"dropping-particle":"","family":"Sutherland","given":"John B","non-dropping-particle":"","parse-names":false,"suffix":""},{"dropping-particle":"","family":"Cerniglia","given":"Carl E","non-dropping-particle":"","parse-names":false,"suffix":""}],"container-title":"Therapeutics and clinical risk management","id":"ITEM-1","issue":"6","issued":{"date-parts":[["2008","12"]]},"page":"1343-58","title":"Effects of treatment with antimicrobial agents on the human colonic microflora.","type":"article-journal","volume":"4"},"uris":["http://www.mendeley.com/documents/?uuid=8e2ccced-74f1-4d66-92c1-fab12d31ffa9"]},{"id":"ITEM-2","itemData":{"DOI":"10.1503/cmaj.071812","ISSN":"0820-3946","PMID":"18838451","abstract":"BACKGROUND Previous observations have indicated that infection with Clostridium difficile occurs almost exclusively after exposure to antibiotics, but more recent observations have suggested that prior antibiotic exposure may be less frequent among cases of community-acquired disease. METHODS We used 2 linked health databases to perform a matched, nested case-control study of elderly patients admitted to hospital with community-acquired C. difficile infection. For each of 836 cases among people 65 years of age or older, we selected 10 controls. We determined the proportion of cases that occurred without prior antibiotic exposure and estimated the risk related to exposure to different antibiotics and the duration of increased risk. RESULTS Of the 836 cases, 442 (52.9%) had no exposure to antibiotics in the 45-day period before the index date, and 382 (45.7%) had no exposure in the 90-day period before the index date. Antibiotic exposure was associated with a rate ratio (RR) of 10.6 (95% confidence interval [CI] 8.9-12.8). Clindamycin (RR 31.8, 95% CI 17.6-57.6), cephalosporins (RR 14.9, 95% CI 10.9-20.3) and gatifloxacin (RR 16.7, 95% CI 8.3-33.6) were associated with the highest risk. The RR for C. difficile infection associated with antibiotic exposure declined from 15.4 (95% CI 12.2-19.3) by about 20 days after exposure to 3.2 (95% CI 2.0-5.0) after 45 days. Use of a proton pump inhibitor was associated with increased risk (RR 1.6, 95% CI 1.3-2.0), as were concurrent diagnoses of inflammatory bowel disease (RR 4.1, 95% CI 2.6-6.6), irritable bowel syndrome (RR 3.4, 95% CI 2.3-5.0) and renal failure (RR 1.7, 95% CI 1.2-2.2). INTERPRETATION Community-acquired C. difficile infection occurred in a substantial proportion of individuals with no recent exposure to antibiotics. Among patients who had been exposed to antibiotics, the risk declined markedly by 45 days after discontinuation of use.","author":[{"dropping-particle":"","family":"Dial","given":"Sandra","non-dropping-particle":"","parse-names":false,"suffix":""},{"dropping-particle":"","family":"Kezouh","given":"Abbas","non-dropping-particle":"","parse-names":false,"suffix":""},{"dropping-particle":"","family":"Dascal","given":"Andre","non-dropping-particle":"","parse-names":false,"suffix":""},{"dropping-particle":"","family":"Barkun","given":"Alan","non-dropping-particle":"","parse-names":false,"suffix":""},{"dropping-particle":"","family":"Suissa","given":"Samy","non-dropping-particle":"","parse-names":false,"suffix":""}],"container-title":"Canadian Medical Association Journal","id":"ITEM-2","issue":"8","issued":{"date-parts":[["2008","9","16"]]},"page":"767-772","title":"Patterns of antibiotic use and risk of hospital admission because of Clostridium difficile infection","type":"article-journal","volume":"179"},"uris":["http://www.mendeley.com/documents/?uuid=7d74338f-770e-424a-b079-d131363cc404"]}],"mendeley":{"formattedCitation":"[7,8]","plainTextFormattedCitation":"[7,8]","previouslyFormattedCitation":"[7,8]"},"properties":{"noteIndex":0},"schema":"https://github.com/citation-style-language/schema/raw/master/csl-citation.json"}</w:instrText>
            </w:r>
            <w:r w:rsidRPr="001D5951">
              <w:rPr>
                <w:rStyle w:val="None"/>
                <w:rFonts w:cs="Times New Roman"/>
                <w:kern w:val="16"/>
                <w:vertAlign w:val="superscript"/>
                <w:lang w:val="en-AU"/>
              </w:rPr>
              <w:fldChar w:fldCharType="separate"/>
            </w:r>
            <w:r w:rsidR="00B80518" w:rsidRPr="00B80518">
              <w:rPr>
                <w:rStyle w:val="None"/>
                <w:rFonts w:cs="Times New Roman"/>
                <w:noProof/>
                <w:kern w:val="16"/>
                <w:lang w:val="en-AU"/>
              </w:rPr>
              <w:t>[7,8]</w:t>
            </w:r>
            <w:r w:rsidRPr="001D5951">
              <w:rPr>
                <w:rStyle w:val="None"/>
                <w:rFonts w:cs="Times New Roman"/>
                <w:kern w:val="16"/>
                <w:vertAlign w:val="superscript"/>
                <w:lang w:val="en-AU"/>
              </w:rPr>
              <w:fldChar w:fldCharType="end"/>
            </w:r>
          </w:p>
        </w:tc>
      </w:tr>
      <w:tr w:rsidR="00EB52BF" w:rsidRPr="0045681F" w14:paraId="2489AA1E" w14:textId="77777777" w:rsidTr="00503BAB">
        <w:trPr>
          <w:trHeight w:val="450"/>
        </w:trPr>
        <w:tc>
          <w:tcPr>
            <w:tcW w:w="1168" w:type="dxa"/>
            <w:tcBorders>
              <w:top w:val="single" w:sz="4" w:space="0" w:color="BFBFBF"/>
              <w:left w:val="nil"/>
              <w:bottom w:val="single" w:sz="4" w:space="0" w:color="BFBFBF"/>
              <w:right w:val="single" w:sz="4" w:space="0" w:color="BFBFBF"/>
            </w:tcBorders>
            <w:shd w:val="clear" w:color="auto" w:fill="auto"/>
            <w:tcMar>
              <w:top w:w="80" w:type="dxa"/>
              <w:left w:w="80" w:type="dxa"/>
              <w:bottom w:w="80" w:type="dxa"/>
              <w:right w:w="80" w:type="dxa"/>
            </w:tcMar>
            <w:vAlign w:val="center"/>
          </w:tcPr>
          <w:p w14:paraId="7EB5B6FF" w14:textId="77777777" w:rsidR="00EB52BF" w:rsidRPr="001D5951" w:rsidRDefault="00EB52BF" w:rsidP="00503BAB">
            <w:pPr>
              <w:pStyle w:val="TableParagraph"/>
              <w:jc w:val="center"/>
              <w:rPr>
                <w:rFonts w:cs="Times New Roman"/>
                <w:lang w:val="en-AU"/>
              </w:rPr>
            </w:pPr>
            <w:proofErr w:type="spellStart"/>
            <w:r w:rsidRPr="001D5951">
              <w:rPr>
                <w:rStyle w:val="None"/>
                <w:rFonts w:cs="Times New Roman"/>
                <w:i/>
                <w:iCs/>
                <w:kern w:val="16"/>
                <w:lang w:val="en-AU"/>
              </w:rPr>
              <w:t>λ</w:t>
            </w:r>
            <w:r w:rsidRPr="001D5951">
              <w:rPr>
                <w:rStyle w:val="None"/>
                <w:rFonts w:cs="Times New Roman"/>
                <w:i/>
                <w:iCs/>
                <w:kern w:val="16"/>
                <w:vertAlign w:val="subscript"/>
                <w:lang w:val="en-AU"/>
              </w:rPr>
              <w:t>o</w:t>
            </w:r>
            <w:proofErr w:type="spellEnd"/>
          </w:p>
        </w:tc>
        <w:tc>
          <w:tcPr>
            <w:tcW w:w="382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1C3A4AA7" w14:textId="77777777" w:rsidR="00EB52BF" w:rsidRPr="001D5951" w:rsidRDefault="00EB52BF" w:rsidP="00503BAB">
            <w:pPr>
              <w:pStyle w:val="TableParagraph"/>
              <w:rPr>
                <w:rFonts w:cs="Times New Roman"/>
                <w:lang w:val="en-AU"/>
              </w:rPr>
            </w:pPr>
            <w:r w:rsidRPr="001D5951">
              <w:rPr>
                <w:rStyle w:val="None"/>
                <w:rFonts w:cs="Times New Roman"/>
                <w:kern w:val="16"/>
                <w:lang w:val="en-AU"/>
              </w:rPr>
              <w:t>Rate at which damaged commensal gut flora recovers for those with CDI overgrowth</w:t>
            </w:r>
          </w:p>
        </w:tc>
        <w:tc>
          <w:tcPr>
            <w:tcW w:w="2835" w:type="dxa"/>
            <w:gridSpan w:val="2"/>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34E9F72"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0.25</w:t>
            </w:r>
          </w:p>
        </w:tc>
        <w:tc>
          <w:tcPr>
            <w:tcW w:w="1196" w:type="dxa"/>
            <w:tcBorders>
              <w:top w:val="single" w:sz="4" w:space="0" w:color="BFBFBF"/>
              <w:left w:val="single" w:sz="4" w:space="0" w:color="BFBFBF"/>
              <w:bottom w:val="single" w:sz="4" w:space="0" w:color="BFBFBF"/>
              <w:right w:val="nil"/>
            </w:tcBorders>
            <w:shd w:val="clear" w:color="auto" w:fill="auto"/>
            <w:tcMar>
              <w:top w:w="80" w:type="dxa"/>
              <w:left w:w="80" w:type="dxa"/>
              <w:bottom w:w="80" w:type="dxa"/>
              <w:right w:w="80" w:type="dxa"/>
            </w:tcMar>
            <w:vAlign w:val="center"/>
          </w:tcPr>
          <w:p w14:paraId="7A47836B" w14:textId="202CF6D0" w:rsidR="00EB52BF" w:rsidRPr="001D5951" w:rsidRDefault="00EB52BF" w:rsidP="008052D2">
            <w:pPr>
              <w:pStyle w:val="TableParagraph"/>
              <w:jc w:val="center"/>
              <w:rPr>
                <w:rFonts w:cs="Times New Roman"/>
                <w:lang w:val="en-AU"/>
              </w:rPr>
            </w:pPr>
            <w:r w:rsidRPr="001D5951">
              <w:rPr>
                <w:rStyle w:val="None"/>
                <w:rFonts w:cs="Times New Roman"/>
                <w:kern w:val="16"/>
                <w:vertAlign w:val="superscript"/>
                <w:lang w:val="en-AU"/>
              </w:rPr>
              <w:fldChar w:fldCharType="begin" w:fldLock="1"/>
            </w:r>
            <w:r w:rsidR="00B461B6">
              <w:rPr>
                <w:rStyle w:val="None"/>
                <w:rFonts w:cs="Times New Roman"/>
                <w:kern w:val="16"/>
                <w:vertAlign w:val="superscript"/>
                <w:lang w:val="en-AU"/>
              </w:rPr>
              <w:instrText>ADDIN CSL_CITATION {"citationItems":[{"id":"ITEM-1","itemData":{"DOI":"10.1093/clinids/6.Supplement_1.S235","ISSN":"1058-4838","PMID":"6718937","abstract":"The experience of this laboratory with the treatment of Clostridium-induced colitis in experimental animals and in patients was reviewed. Optimal results in hamsters were achieved with the antibiotics vancomycin, metronidazole, and tetracycline. Cholestyramine was less effective. The outcome for animals given corticosteroids and Clostridium sordellii antitoxin systemically was not different from that for untreated control animals. The second facet of the study was a retrospective review of therapy in 272 patients with C. difficile-induced diarrhea or colitis. No specific therapy was given to 56 patients who had mild symptoms or were improving at the time the toxin was detected. The therapy most frequently used was oral vancomycin, which was given to 189 patients, including 100 with confirmed pseudomembranous colitis. The response rate was 97{%}, but 46 patients (24{%}) relapsed when treatment was discontinued. Response to cholestyramine was favorable in 12 of 19 patients. The results with metronidazole and bacitracin were uniformly good, although the experience was limited.","author":[{"dropping-particle":"","family":"Bartlett","given":"J G","non-dropping-particle":"","parse-names":false,"suffix":""}],"container-title":"Clinical Infectious Diseases","id":"ITEM-1","issue":"Supplement 1","issued":{"date-parts":[["1984","3","1"]]},"page":"S235--S241","title":"Treatment of Antibiotic-Associated Pseudomembranous Colitis","type":"article-journal","volume":"6"},"uris":["http://www.mendeley.com/documents/?uuid=817fec1e-7b13-4326-b769-41b54861f860"]}],"mendeley":{"formattedCitation":"[9]","plainTextFormattedCitation":"[9]","previouslyFormattedCitation":"[9]"},"properties":{"noteIndex":0},"schema":"https://github.com/citation-style-language/schema/raw/master/csl-citation.json"}</w:instrText>
            </w:r>
            <w:r w:rsidRPr="001D5951">
              <w:rPr>
                <w:rStyle w:val="None"/>
                <w:rFonts w:cs="Times New Roman"/>
                <w:kern w:val="16"/>
                <w:vertAlign w:val="superscript"/>
                <w:lang w:val="en-AU"/>
              </w:rPr>
              <w:fldChar w:fldCharType="separate"/>
            </w:r>
            <w:r w:rsidR="00B80518" w:rsidRPr="00B80518">
              <w:rPr>
                <w:rStyle w:val="None"/>
                <w:rFonts w:cs="Times New Roman"/>
                <w:noProof/>
                <w:kern w:val="16"/>
                <w:lang w:val="en-AU"/>
              </w:rPr>
              <w:t>[9]</w:t>
            </w:r>
            <w:r w:rsidRPr="001D5951">
              <w:rPr>
                <w:rStyle w:val="None"/>
                <w:rFonts w:cs="Times New Roman"/>
                <w:kern w:val="16"/>
                <w:vertAlign w:val="superscript"/>
                <w:lang w:val="en-AU"/>
              </w:rPr>
              <w:fldChar w:fldCharType="end"/>
            </w:r>
          </w:p>
        </w:tc>
      </w:tr>
      <w:tr w:rsidR="00EB52BF" w:rsidRPr="0045681F" w14:paraId="3AA66657" w14:textId="77777777" w:rsidTr="00503BAB">
        <w:trPr>
          <w:trHeight w:val="450"/>
        </w:trPr>
        <w:tc>
          <w:tcPr>
            <w:tcW w:w="1168" w:type="dxa"/>
            <w:tcBorders>
              <w:top w:val="single" w:sz="4" w:space="0" w:color="BFBFBF"/>
              <w:left w:val="nil"/>
              <w:bottom w:val="single" w:sz="4" w:space="0" w:color="BFBFBF"/>
              <w:right w:val="single" w:sz="4" w:space="0" w:color="BFBFBF"/>
            </w:tcBorders>
            <w:shd w:val="clear" w:color="auto" w:fill="auto"/>
            <w:tcMar>
              <w:top w:w="80" w:type="dxa"/>
              <w:left w:w="80" w:type="dxa"/>
              <w:bottom w:w="80" w:type="dxa"/>
              <w:right w:w="80" w:type="dxa"/>
            </w:tcMar>
            <w:vAlign w:val="center"/>
          </w:tcPr>
          <w:p w14:paraId="5050103F" w14:textId="77777777" w:rsidR="00EB52BF" w:rsidRPr="001D5951" w:rsidRDefault="00EB52BF" w:rsidP="00503BAB">
            <w:pPr>
              <w:pStyle w:val="TableParagraph"/>
              <w:jc w:val="center"/>
              <w:rPr>
                <w:rFonts w:cs="Times New Roman"/>
                <w:lang w:val="en-AU"/>
              </w:rPr>
            </w:pPr>
            <w:r w:rsidRPr="001D5951">
              <w:rPr>
                <w:rStyle w:val="None"/>
                <w:rFonts w:cs="Times New Roman"/>
                <w:i/>
                <w:iCs/>
                <w:kern w:val="16"/>
                <w:lang w:val="en-AU"/>
              </w:rPr>
              <w:t>γ</w:t>
            </w:r>
          </w:p>
        </w:tc>
        <w:tc>
          <w:tcPr>
            <w:tcW w:w="382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2A8C2870" w14:textId="77777777" w:rsidR="00EB52BF" w:rsidRPr="001D5951" w:rsidRDefault="00EB52BF" w:rsidP="00503BAB">
            <w:pPr>
              <w:pStyle w:val="TableParagraph"/>
              <w:rPr>
                <w:rFonts w:cs="Times New Roman"/>
                <w:lang w:val="en-AU"/>
              </w:rPr>
            </w:pPr>
            <w:r w:rsidRPr="001D5951">
              <w:rPr>
                <w:rStyle w:val="None"/>
                <w:rFonts w:cs="Times New Roman"/>
                <w:kern w:val="16"/>
                <w:lang w:val="en-AU"/>
              </w:rPr>
              <w:t xml:space="preserve">Rate at which </w:t>
            </w:r>
            <w:r w:rsidRPr="001D5951">
              <w:rPr>
                <w:rStyle w:val="None"/>
                <w:rFonts w:cs="Times New Roman"/>
                <w:i/>
                <w:iCs/>
                <w:kern w:val="16"/>
                <w:lang w:val="en-AU"/>
              </w:rPr>
              <w:t xml:space="preserve">C. difficile </w:t>
            </w:r>
            <w:r w:rsidRPr="001D5951">
              <w:rPr>
                <w:rStyle w:val="None"/>
                <w:rFonts w:cs="Times New Roman"/>
                <w:kern w:val="16"/>
                <w:lang w:val="en-AU"/>
              </w:rPr>
              <w:t>is cleared in those with intact gut flora</w:t>
            </w:r>
          </w:p>
        </w:tc>
        <w:tc>
          <w:tcPr>
            <w:tcW w:w="2835" w:type="dxa"/>
            <w:gridSpan w:val="2"/>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5DF82B93"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0.023</w:t>
            </w:r>
            <w:r w:rsidRPr="001D5951">
              <w:rPr>
                <w:rStyle w:val="None"/>
                <w:rFonts w:cs="Times New Roman"/>
                <w:sz w:val="24"/>
                <w:szCs w:val="24"/>
                <w:lang w:val="en-AU"/>
              </w:rPr>
              <w:t>‡</w:t>
            </w:r>
          </w:p>
        </w:tc>
        <w:tc>
          <w:tcPr>
            <w:tcW w:w="1196" w:type="dxa"/>
            <w:tcBorders>
              <w:top w:val="single" w:sz="4" w:space="0" w:color="BFBFBF"/>
              <w:left w:val="single" w:sz="4" w:space="0" w:color="BFBFBF"/>
              <w:bottom w:val="single" w:sz="4" w:space="0" w:color="BFBFBF"/>
              <w:right w:val="nil"/>
            </w:tcBorders>
            <w:shd w:val="clear" w:color="auto" w:fill="auto"/>
            <w:tcMar>
              <w:top w:w="80" w:type="dxa"/>
              <w:left w:w="80" w:type="dxa"/>
              <w:bottom w:w="80" w:type="dxa"/>
              <w:right w:w="80" w:type="dxa"/>
            </w:tcMar>
            <w:vAlign w:val="center"/>
          </w:tcPr>
          <w:p w14:paraId="14AC8CE8" w14:textId="2A588E28" w:rsidR="00EB52BF" w:rsidRPr="001D5951" w:rsidRDefault="00EB52BF" w:rsidP="008052D2">
            <w:pPr>
              <w:pStyle w:val="TableParagraph"/>
              <w:jc w:val="center"/>
              <w:rPr>
                <w:rFonts w:cs="Times New Roman"/>
                <w:lang w:val="en-AU"/>
              </w:rPr>
            </w:pPr>
            <w:r w:rsidRPr="001D5951">
              <w:rPr>
                <w:rStyle w:val="None"/>
                <w:rFonts w:cs="Times New Roman"/>
                <w:kern w:val="16"/>
                <w:vertAlign w:val="superscript"/>
                <w:lang w:val="en-AU"/>
              </w:rPr>
              <w:fldChar w:fldCharType="begin" w:fldLock="1"/>
            </w:r>
            <w:r w:rsidR="00C45F1D">
              <w:rPr>
                <w:rStyle w:val="None"/>
                <w:rFonts w:cs="Times New Roman"/>
                <w:kern w:val="16"/>
                <w:vertAlign w:val="superscript"/>
                <w:lang w:val="en-AU"/>
              </w:rPr>
              <w:instrText>ADDIN CSL_CITATION {"citationItems":[{"id":"ITEM-1","itemData":{"DOI":"10.7326/0003-4819-117-4-297","PMID":"1322075","abstract":"OBJECTIVE To compare the efficacy of vancomycin and metronidazole for eradication of asymptomatic Clostridium difficile fecal excretion as a means of controlling nosocomial outbreaks of C. difficile diarrhea. DESIGN Randomized, placebo-controlled, non-blinded trial. SETTING Six hundred-bed regional referral Veterans Affairs Medical Center. PATIENTS Thirty patients excreting C. difficile without diarrhea or abdominal symptoms. INTERVENTIONS All patients were randomized to receive 10 days of oral vancomycin, 125 mg four times daily; metronidazole, 500 mg twice daily; or placebo, three times daily. MEASUREMENTS Stool cultures were obtained during treatment and for 2 months after treatment. All C. difficile isolates were typed by restriction endonuclease analysis (REA). RESULTS Clostridium difficile organisms were not detected during and immediately after treatment in 9 of 10 patients treated with vancomycin compared with 3 of 10 patients treated with metronidazole (P = 0.02) and 2 of 10 patients in the placebo group (P = 0.005). The fecal vancomycin concentration was 1406 +/- 1164 micrograms/g feces, but metronidazole was not detectable in 9 of 10 patients. Eight of the nine evaluable patients who had negative stool cultures after treatment with vancomycin began to excrete C. difficile again 20 +/- 8 days after completing treatment. Three of these patients received additional antibiotics before C. difficile excretion recurred, and five acquired new C. difficile REA strains. Four of six patients who received only vancomycin before C. difficile excretion recurred were culture-positive at the end of the study compared with one of nine patients who received only placebo (P = 0.047). CONCLUSIONS Asymptomatic fecal excretion of C. difficile is transient in most patients, and treatment with metronidazole is not effective. Although treatment with vancomycin is temporarily effective, it is associated with a significantly higher rate of C. difficile carriage 2 months after treatment and is not recommended.","author":[{"dropping-particle":"","family":"Johnson","given":"S","non-dropping-particle":"","parse-names":false,"suffix":""},{"dropping-particle":"","family":"Homann","given":"S R","non-dropping-particle":"","parse-names":false,"suffix":""},{"dropping-particle":"","family":"Bettin","given":"K M","non-dropping-particle":"","parse-names":false,"suffix":""},{"dropping-particle":"","family":"Quick","given":"J N","non-dropping-particle":"","parse-names":false,"suffix":""},{"dropping-particle":"","family":"Clabots","given":"C R","non-dropping-particle":"","parse-names":false,"suffix":""},{"dropping-particle":"","family":"Peterson","given":"L R","non-dropping-particle":"","parse-names":false,"suffix":""},{"dropping-particle":"","family":"Gerding","given":"D N","non-dropping-particle":"","parse-names":false,"suffix":""}],"container-title":"Annals of Internal Medicine","id":"ITEM-1","issue":"4","issued":{"date-parts":[["1992","8","15"]]},"page":"297-302","title":"Treatment of asymptomatic Clostridium difficile carriers (fecal excretors) with vancomycin or metronidazole. A randomized, placebo-controlled trial.","type":"article-journal","volume":"117"},"uris":["http://www.mendeley.com/documents/?uuid=14debb71-46bc-4c14-ad98-a6f3bdc590de"]}],"mendeley":{"formattedCitation":"[11]","plainTextFormattedCitation":"[11]","previouslyFormattedCitation":"[11]"},"properties":{"noteIndex":0},"schema":"https://github.com/citation-style-language/schema/raw/master/csl-citation.json"}</w:instrText>
            </w:r>
            <w:r w:rsidRPr="001D5951">
              <w:rPr>
                <w:rStyle w:val="None"/>
                <w:rFonts w:cs="Times New Roman"/>
                <w:kern w:val="16"/>
                <w:vertAlign w:val="superscript"/>
                <w:lang w:val="en-AU"/>
              </w:rPr>
              <w:fldChar w:fldCharType="separate"/>
            </w:r>
            <w:r w:rsidR="00B80518" w:rsidRPr="00B80518">
              <w:rPr>
                <w:rStyle w:val="None"/>
                <w:rFonts w:cs="Times New Roman"/>
                <w:noProof/>
                <w:kern w:val="16"/>
                <w:lang w:val="en-AU"/>
              </w:rPr>
              <w:t>[11]</w:t>
            </w:r>
            <w:r w:rsidRPr="001D5951">
              <w:rPr>
                <w:rStyle w:val="None"/>
                <w:rFonts w:cs="Times New Roman"/>
                <w:kern w:val="16"/>
                <w:vertAlign w:val="superscript"/>
                <w:lang w:val="en-AU"/>
              </w:rPr>
              <w:fldChar w:fldCharType="end"/>
            </w:r>
          </w:p>
        </w:tc>
      </w:tr>
      <w:tr w:rsidR="00EB52BF" w:rsidRPr="0045681F" w14:paraId="21C6C868" w14:textId="77777777" w:rsidTr="00503BAB">
        <w:trPr>
          <w:trHeight w:val="450"/>
        </w:trPr>
        <w:tc>
          <w:tcPr>
            <w:tcW w:w="1168" w:type="dxa"/>
            <w:tcBorders>
              <w:top w:val="single" w:sz="4" w:space="0" w:color="BFBFBF"/>
              <w:left w:val="nil"/>
              <w:bottom w:val="single" w:sz="4" w:space="0" w:color="BFBFBF"/>
              <w:right w:val="single" w:sz="4" w:space="0" w:color="BFBFBF"/>
            </w:tcBorders>
            <w:shd w:val="clear" w:color="auto" w:fill="auto"/>
            <w:tcMar>
              <w:top w:w="80" w:type="dxa"/>
              <w:left w:w="80" w:type="dxa"/>
              <w:bottom w:w="80" w:type="dxa"/>
              <w:right w:w="80" w:type="dxa"/>
            </w:tcMar>
            <w:vAlign w:val="center"/>
          </w:tcPr>
          <w:p w14:paraId="1CB0EB14" w14:textId="77777777" w:rsidR="00EB52BF" w:rsidRPr="001D5951" w:rsidRDefault="00EB52BF" w:rsidP="00503BAB">
            <w:pPr>
              <w:pStyle w:val="TableParagraph"/>
              <w:jc w:val="center"/>
              <w:rPr>
                <w:rFonts w:cs="Times New Roman"/>
                <w:lang w:val="en-AU"/>
              </w:rPr>
            </w:pPr>
            <w:r w:rsidRPr="001D5951">
              <w:rPr>
                <w:rStyle w:val="None"/>
                <w:rFonts w:cs="Times New Roman"/>
                <w:i/>
                <w:iCs/>
                <w:kern w:val="16"/>
                <w:lang w:val="en-AU"/>
              </w:rPr>
              <w:t>ω</w:t>
            </w:r>
          </w:p>
        </w:tc>
        <w:tc>
          <w:tcPr>
            <w:tcW w:w="382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4A371F14" w14:textId="77777777" w:rsidR="00EB52BF" w:rsidRPr="001D5951" w:rsidRDefault="00EB52BF" w:rsidP="00503BAB">
            <w:pPr>
              <w:pStyle w:val="TableParagraph"/>
              <w:rPr>
                <w:rFonts w:cs="Times New Roman"/>
                <w:lang w:val="en-AU"/>
              </w:rPr>
            </w:pPr>
            <w:r w:rsidRPr="001D5951">
              <w:rPr>
                <w:rStyle w:val="None"/>
                <w:rFonts w:cs="Times New Roman"/>
                <w:kern w:val="16"/>
                <w:lang w:val="en-AU"/>
              </w:rPr>
              <w:t xml:space="preserve">Rate of </w:t>
            </w:r>
            <w:r w:rsidRPr="001D5951">
              <w:rPr>
                <w:rStyle w:val="None"/>
                <w:rFonts w:cs="Times New Roman"/>
                <w:i/>
                <w:iCs/>
                <w:kern w:val="16"/>
                <w:lang w:val="en-AU"/>
              </w:rPr>
              <w:t>C. difficile</w:t>
            </w:r>
            <w:r w:rsidRPr="001D5951">
              <w:rPr>
                <w:rStyle w:val="None"/>
                <w:rFonts w:cs="Times New Roman"/>
                <w:kern w:val="16"/>
                <w:lang w:val="en-AU"/>
              </w:rPr>
              <w:t xml:space="preserve"> overgrowth in patients with disrupted gut flora</w:t>
            </w:r>
          </w:p>
        </w:tc>
        <w:tc>
          <w:tcPr>
            <w:tcW w:w="2835" w:type="dxa"/>
            <w:gridSpan w:val="2"/>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3FB020AD"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0.2</w:t>
            </w:r>
            <w:r w:rsidRPr="001D5951">
              <w:rPr>
                <w:rStyle w:val="None"/>
                <w:rFonts w:cs="Times New Roman"/>
                <w:sz w:val="24"/>
                <w:szCs w:val="24"/>
                <w:lang w:val="en-AU"/>
              </w:rPr>
              <w:t>‡</w:t>
            </w:r>
          </w:p>
        </w:tc>
        <w:tc>
          <w:tcPr>
            <w:tcW w:w="1196" w:type="dxa"/>
            <w:tcBorders>
              <w:top w:val="single" w:sz="4" w:space="0" w:color="BFBFBF"/>
              <w:left w:val="single" w:sz="4" w:space="0" w:color="BFBFBF"/>
              <w:bottom w:val="single" w:sz="4" w:space="0" w:color="BFBFBF"/>
              <w:right w:val="nil"/>
            </w:tcBorders>
            <w:shd w:val="clear" w:color="auto" w:fill="auto"/>
            <w:tcMar>
              <w:top w:w="80" w:type="dxa"/>
              <w:left w:w="80" w:type="dxa"/>
              <w:bottom w:w="80" w:type="dxa"/>
              <w:right w:w="80" w:type="dxa"/>
            </w:tcMar>
            <w:vAlign w:val="center"/>
          </w:tcPr>
          <w:p w14:paraId="62E26197" w14:textId="228270CD" w:rsidR="00EB52BF" w:rsidRPr="001D5951" w:rsidRDefault="00EB52BF" w:rsidP="008052D2">
            <w:pPr>
              <w:pStyle w:val="TableParagraph"/>
              <w:jc w:val="center"/>
              <w:rPr>
                <w:rFonts w:cs="Times New Roman"/>
                <w:lang w:val="en-AU"/>
              </w:rPr>
            </w:pPr>
            <w:r w:rsidRPr="001D5951">
              <w:rPr>
                <w:rStyle w:val="None"/>
                <w:rFonts w:cs="Times New Roman"/>
                <w:kern w:val="16"/>
                <w:vertAlign w:val="superscript"/>
                <w:lang w:val="en-AU"/>
              </w:rPr>
              <w:fldChar w:fldCharType="begin" w:fldLock="1"/>
            </w:r>
            <w:r w:rsidR="00786612">
              <w:rPr>
                <w:rStyle w:val="None"/>
                <w:rFonts w:cs="Times New Roman"/>
                <w:kern w:val="16"/>
                <w:vertAlign w:val="superscript"/>
                <w:lang w:val="en-AU"/>
              </w:rPr>
              <w:instrText>ADDIN CSL_CITATION {"citationItems":[{"id":"ITEM-1","itemData":{"DOI":"10.1093/jac/dkg267","ISBN":"4411334356","ISSN":"1460-2091","PMID":"12775682","abstract":"Clostridium difficile is recognized as an important nosocomial pathogen. C. difficile infection (CDI) is thought to arise as a result of depletion of the normal gut flora by antimicrobial agents. Cefotaxime (CTX) is well-known for its propensity to cause CDI, but the reasons behind its particular predisposition to the disease remain unclear. Previous investigations have so far relied upon the hamster model of CDI or human volunteers. We have used a triple-stage chemostat model of the human gut to investigate the behaviour of C. difficile and components of the normal gut flora, in response to exposure to CTX alone, and in combination with its active metabolite desacetylcefotaxime (dCTX). C. difficile remained in a steady state during non-antibiotic exposed periods, with no detectable cytotoxin. During both antibiotic exposure regimens, proliferation of C. difficile and elevated cytotoxin levels were observed. Cessation of antibiotic instillation produced a reduction in cytotoxin levels and viable counts. Decreases in bacterial counts were observed in response to both antibiotic exposure regimens, notably for bifidobacteria and bacteroides. Numbers of bacteroides were profoundly affected by exposure to the CTX/dCTX combination, and this may indicate a possible role for bacteroides in colonization resistance. We believe that the gut model is a promising method for studying C. difficile pathogenesis in conditions analogous to the in vivo situation.","author":[{"dropping-particle":"","family":"Freeman","given":"Jane","non-dropping-particle":"","parse-names":false,"suffix":""}],"container-title":"Journal of Antimicrobial Chemotherapy","id":"ITEM-1","issue":"1","issued":{"date-parts":[["2003","6","12"]]},"page":"96-102","title":"Effects of cefotaxime and desacetylcefotaxime upon Clostridium difficile proliferation and toxin production in a triple-stage chemostat model of the human gut","type":"article-journal","volume":"52"},"uris":["http://www.mendeley.com/documents/?uuid=983681fd-4571-4122-b1dd-a2fb877e3baf"]},{"id":"ITEM-2","itemData":{"DOI":"10.1093/jac/dki321","PMID":"16143709","author":[{"dropping-particle":"","family":"Freeman","given":"Jane","non-dropping-particle":"","parse-names":false,"suffix":""}],"container-title":"Journal of Antimicrobial Chemotherapy","id":"ITEM-2","issue":"4","issued":{"date-parts":[["2005","7","26"]]},"page":"717-725","title":"Comparison of the efficacy of ramoplanin and vancomycin in both in vitro and in vivo models of clindamycin-induced Clostridium difficile infection","type":"article-journal","volume":"56"},"uris":["http://www.mendeley.com/documents/?uuid=080f62fe-d0c0-4632-87a5-1bdf1900291f"]}],"mendeley":{"formattedCitation":"[12,25]","plainTextFormattedCitation":"[12,25]","previouslyFormattedCitation":"[12,25]"},"properties":{"noteIndex":0},"schema":"https://github.com/citation-style-language/schema/raw/master/csl-citation.json"}</w:instrText>
            </w:r>
            <w:r w:rsidRPr="001D5951">
              <w:rPr>
                <w:rStyle w:val="None"/>
                <w:rFonts w:cs="Times New Roman"/>
                <w:kern w:val="16"/>
                <w:vertAlign w:val="superscript"/>
                <w:lang w:val="en-AU"/>
              </w:rPr>
              <w:fldChar w:fldCharType="separate"/>
            </w:r>
            <w:r w:rsidR="00B461B6" w:rsidRPr="00B461B6">
              <w:rPr>
                <w:rStyle w:val="None"/>
                <w:rFonts w:cs="Times New Roman"/>
                <w:noProof/>
                <w:kern w:val="16"/>
                <w:lang w:val="en-AU"/>
              </w:rPr>
              <w:t>[12,25]</w:t>
            </w:r>
            <w:r w:rsidRPr="001D5951">
              <w:rPr>
                <w:rStyle w:val="None"/>
                <w:rFonts w:cs="Times New Roman"/>
                <w:kern w:val="16"/>
                <w:vertAlign w:val="superscript"/>
                <w:lang w:val="en-AU"/>
              </w:rPr>
              <w:fldChar w:fldCharType="end"/>
            </w:r>
          </w:p>
        </w:tc>
      </w:tr>
      <w:tr w:rsidR="00EB52BF" w:rsidRPr="0045681F" w14:paraId="2F97AEBB" w14:textId="77777777" w:rsidTr="00503BAB">
        <w:trPr>
          <w:trHeight w:val="450"/>
        </w:trPr>
        <w:tc>
          <w:tcPr>
            <w:tcW w:w="1168" w:type="dxa"/>
            <w:tcBorders>
              <w:top w:val="single" w:sz="4" w:space="0" w:color="BFBFBF"/>
              <w:left w:val="nil"/>
              <w:bottom w:val="single" w:sz="4" w:space="0" w:color="BFBFBF"/>
              <w:right w:val="single" w:sz="4" w:space="0" w:color="BFBFBF"/>
            </w:tcBorders>
            <w:shd w:val="clear" w:color="auto" w:fill="auto"/>
            <w:tcMar>
              <w:top w:w="80" w:type="dxa"/>
              <w:left w:w="80" w:type="dxa"/>
              <w:bottom w:w="80" w:type="dxa"/>
              <w:right w:w="80" w:type="dxa"/>
            </w:tcMar>
            <w:vAlign w:val="center"/>
          </w:tcPr>
          <w:p w14:paraId="6202FC7F" w14:textId="77777777" w:rsidR="00EB52BF" w:rsidRPr="001D5951" w:rsidRDefault="00EB52BF" w:rsidP="00503BAB">
            <w:pPr>
              <w:pStyle w:val="TableParagraph"/>
              <w:jc w:val="center"/>
              <w:rPr>
                <w:rFonts w:cs="Times New Roman"/>
                <w:lang w:val="en-AU"/>
              </w:rPr>
            </w:pPr>
            <w:r w:rsidRPr="001D5951">
              <w:rPr>
                <w:rStyle w:val="None"/>
                <w:rFonts w:cs="Times New Roman"/>
                <w:i/>
                <w:iCs/>
                <w:kern w:val="16"/>
                <w:lang w:val="en-AU"/>
              </w:rPr>
              <w:t>ρ</w:t>
            </w:r>
          </w:p>
        </w:tc>
        <w:tc>
          <w:tcPr>
            <w:tcW w:w="382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279D6F40" w14:textId="77777777" w:rsidR="00EB52BF" w:rsidRPr="001D5951" w:rsidRDefault="00EB52BF" w:rsidP="00503BAB">
            <w:pPr>
              <w:pStyle w:val="TableParagraph"/>
              <w:rPr>
                <w:rFonts w:cs="Times New Roman"/>
                <w:lang w:val="en-AU"/>
              </w:rPr>
            </w:pPr>
            <w:r w:rsidRPr="001D5951">
              <w:rPr>
                <w:rStyle w:val="None"/>
                <w:rFonts w:cs="Times New Roman"/>
                <w:kern w:val="16"/>
                <w:lang w:val="en-AU"/>
              </w:rPr>
              <w:t>Rate at which treatment for CDI is given (hospital) or sought (community)</w:t>
            </w:r>
          </w:p>
        </w:tc>
        <w:tc>
          <w:tcPr>
            <w:tcW w:w="1418"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5DC1BF4B"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1</w:t>
            </w:r>
          </w:p>
        </w:tc>
        <w:tc>
          <w:tcPr>
            <w:tcW w:w="141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6CD4804D"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0.22</w:t>
            </w:r>
          </w:p>
        </w:tc>
        <w:tc>
          <w:tcPr>
            <w:tcW w:w="1196" w:type="dxa"/>
            <w:tcBorders>
              <w:top w:val="single" w:sz="4" w:space="0" w:color="BFBFBF"/>
              <w:left w:val="single" w:sz="4" w:space="0" w:color="BFBFBF"/>
              <w:bottom w:val="single" w:sz="4" w:space="0" w:color="BFBFBF"/>
              <w:right w:val="nil"/>
            </w:tcBorders>
            <w:shd w:val="clear" w:color="auto" w:fill="auto"/>
            <w:tcMar>
              <w:top w:w="80" w:type="dxa"/>
              <w:left w:w="80" w:type="dxa"/>
              <w:bottom w:w="80" w:type="dxa"/>
              <w:right w:w="80" w:type="dxa"/>
            </w:tcMar>
            <w:vAlign w:val="center"/>
          </w:tcPr>
          <w:p w14:paraId="2F4B04EE" w14:textId="19F313E2" w:rsidR="00EB52BF" w:rsidRPr="001D5951" w:rsidRDefault="00EB52BF" w:rsidP="00503BAB">
            <w:pPr>
              <w:pStyle w:val="TableParagraph"/>
              <w:jc w:val="center"/>
              <w:rPr>
                <w:rStyle w:val="None"/>
                <w:rFonts w:cs="Times New Roman"/>
                <w:kern w:val="16"/>
                <w:vertAlign w:val="superscript"/>
                <w:lang w:val="en-AU"/>
              </w:rPr>
            </w:pPr>
            <w:r w:rsidRPr="001D5951">
              <w:rPr>
                <w:rStyle w:val="None"/>
                <w:rFonts w:cs="Times New Roman"/>
                <w:kern w:val="16"/>
                <w:vertAlign w:val="superscript"/>
                <w:lang w:val="en-AU"/>
              </w:rPr>
              <w:fldChar w:fldCharType="begin" w:fldLock="1"/>
            </w:r>
            <w:r w:rsidR="00C45F1D">
              <w:rPr>
                <w:rStyle w:val="None"/>
                <w:rFonts w:cs="Times New Roman"/>
                <w:kern w:val="16"/>
                <w:vertAlign w:val="superscript"/>
                <w:lang w:val="en-AU"/>
              </w:rPr>
              <w:instrText>ADDIN CSL_CITATION {"citationItems":[{"id":"ITEM-1","itemData":{"DOI":"10.1017/S0950268811000999","PMID":"21676346","abstract":"In France surveillance underestimates the true burden of acute gastroenteritis (AG). We conducted a population-based, retrospective cross-sectional telephone survey between May 2009 and April 2010 in order to obtain more accurate estimates of the incidence and the burden of AG and to describe healthcare-seeking behaviour for AG. Of the 10 080 persons included in the survey, 260 respondents reported 263 episodes of AG. The incidence rate of AG was estimated at 0·33 cases/person-year (95% CI 0·28-0·37). It was highest in children aged &lt;5 years and declined with age. Thirty-three percent (95% CI 27-40) of the AG cases consulted a physician and 76% (95% CI 70-82) used medication. Our results indicate that there are more than 21 million episodes of AG each year in France. These results allow a more accurate interpretation of the data derived from existing AG surveillance systems.","author":[{"dropping-particle":"","family":"Cauteren","given":"D","non-dropping-particle":"Van","parse-names":false,"suffix":""},{"dropping-particle":"","family":"Valk","given":"H","non-dropping-particle":"De","parse-names":false,"suffix":""},{"dropping-particle":"","family":"Vaux","given":"S","non-dropping-particle":"","parse-names":false,"suffix":""},{"dropping-particle":"","family":"Strat","given":"Y","non-dropping-particle":"Le","parse-names":false,"suffix":""},{"dropping-particle":"","family":"Vaillant","given":"V","non-dropping-particle":"","parse-names":false,"suffix":""}],"container-title":"Epidemiology and Infection","id":"ITEM-1","issue":"4","issued":{"date-parts":[["2012","4"]]},"page":"697-705","title":"Burden of acute gastroenteritis and healthcare-seeking behaviour in France: a population-based study.","type":"article-journal","volume":"140"},"uris":["http://www.mendeley.com/documents/?uuid=8ef18999-00b0-4dfb-914d-9120b2c7f889"]}],"mendeley":{"formattedCitation":"[14]","plainTextFormattedCitation":"[14]","previouslyFormattedCitation":"[14]"},"properties":{"noteIndex":0},"schema":"https://github.com/citation-style-language/schema/raw/master/csl-citation.json"}</w:instrText>
            </w:r>
            <w:r w:rsidRPr="001D5951">
              <w:rPr>
                <w:rStyle w:val="None"/>
                <w:rFonts w:cs="Times New Roman"/>
                <w:kern w:val="16"/>
                <w:vertAlign w:val="superscript"/>
                <w:lang w:val="en-AU"/>
              </w:rPr>
              <w:fldChar w:fldCharType="separate"/>
            </w:r>
            <w:r w:rsidR="00B80518" w:rsidRPr="00B80518">
              <w:rPr>
                <w:rStyle w:val="None"/>
                <w:rFonts w:cs="Times New Roman"/>
                <w:noProof/>
                <w:kern w:val="16"/>
                <w:lang w:val="en-AU"/>
              </w:rPr>
              <w:t>[14]</w:t>
            </w:r>
            <w:r w:rsidRPr="001D5951">
              <w:rPr>
                <w:rStyle w:val="None"/>
                <w:rFonts w:cs="Times New Roman"/>
                <w:kern w:val="16"/>
                <w:vertAlign w:val="superscript"/>
                <w:lang w:val="en-AU"/>
              </w:rPr>
              <w:fldChar w:fldCharType="end"/>
            </w:r>
          </w:p>
          <w:p w14:paraId="6C08FB25" w14:textId="60F4499E" w:rsidR="00EB52BF" w:rsidRPr="001D5951" w:rsidRDefault="00EB52BF" w:rsidP="00503BAB">
            <w:pPr>
              <w:pStyle w:val="TableParagraph"/>
              <w:jc w:val="center"/>
              <w:rPr>
                <w:rFonts w:cs="Times New Roman"/>
                <w:lang w:val="en-AU"/>
              </w:rPr>
            </w:pPr>
          </w:p>
        </w:tc>
      </w:tr>
      <w:tr w:rsidR="00EB52BF" w:rsidRPr="0045681F" w14:paraId="1B1FF9CE" w14:textId="77777777" w:rsidTr="00503BAB">
        <w:trPr>
          <w:trHeight w:val="450"/>
        </w:trPr>
        <w:tc>
          <w:tcPr>
            <w:tcW w:w="1168" w:type="dxa"/>
            <w:tcBorders>
              <w:top w:val="single" w:sz="4" w:space="0" w:color="BFBFBF"/>
              <w:left w:val="nil"/>
              <w:bottom w:val="single" w:sz="4" w:space="0" w:color="BFBFBF"/>
              <w:right w:val="single" w:sz="4" w:space="0" w:color="BFBFBF"/>
            </w:tcBorders>
            <w:shd w:val="clear" w:color="auto" w:fill="auto"/>
            <w:tcMar>
              <w:top w:w="80" w:type="dxa"/>
              <w:left w:w="80" w:type="dxa"/>
              <w:bottom w:w="80" w:type="dxa"/>
              <w:right w:w="80" w:type="dxa"/>
            </w:tcMar>
            <w:vAlign w:val="center"/>
          </w:tcPr>
          <w:p w14:paraId="6917122D" w14:textId="77777777" w:rsidR="00EB52BF" w:rsidRPr="001D5951" w:rsidRDefault="00EB52BF" w:rsidP="00503BAB">
            <w:pPr>
              <w:pStyle w:val="TableParagraph"/>
              <w:jc w:val="center"/>
              <w:rPr>
                <w:rFonts w:cs="Times New Roman"/>
                <w:lang w:val="en-AU"/>
              </w:rPr>
            </w:pPr>
            <w:r w:rsidRPr="001D5951">
              <w:rPr>
                <w:rStyle w:val="None"/>
                <w:rFonts w:cs="Times New Roman"/>
                <w:i/>
                <w:iCs/>
                <w:kern w:val="16"/>
                <w:lang w:val="en-AU"/>
              </w:rPr>
              <w:t>τ</w:t>
            </w:r>
          </w:p>
        </w:tc>
        <w:tc>
          <w:tcPr>
            <w:tcW w:w="382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352124CF" w14:textId="77777777" w:rsidR="00EB52BF" w:rsidRPr="001D5951" w:rsidRDefault="00EB52BF" w:rsidP="00503BAB">
            <w:pPr>
              <w:pStyle w:val="TableParagraph"/>
              <w:rPr>
                <w:rStyle w:val="None"/>
                <w:rFonts w:cs="Times New Roman"/>
                <w:kern w:val="16"/>
                <w:lang w:val="en-AU"/>
              </w:rPr>
            </w:pPr>
            <w:r w:rsidRPr="001D5951">
              <w:rPr>
                <w:rStyle w:val="None"/>
                <w:rFonts w:cs="Times New Roman"/>
                <w:kern w:val="16"/>
                <w:lang w:val="en-AU"/>
              </w:rPr>
              <w:t>Rate at which the treatment of patients with</w:t>
            </w:r>
          </w:p>
          <w:p w14:paraId="538DF895" w14:textId="77777777" w:rsidR="00EB52BF" w:rsidRPr="001D5951" w:rsidRDefault="00EB52BF" w:rsidP="00503BAB">
            <w:pPr>
              <w:pStyle w:val="TableParagraph"/>
              <w:rPr>
                <w:rFonts w:cs="Times New Roman"/>
                <w:lang w:val="en-AU"/>
              </w:rPr>
            </w:pPr>
            <w:r w:rsidRPr="001D5951">
              <w:rPr>
                <w:rStyle w:val="None"/>
                <w:rFonts w:cs="Times New Roman"/>
                <w:kern w:val="16"/>
                <w:lang w:val="en-AU"/>
              </w:rPr>
              <w:t>CDI progresses towards resolution</w:t>
            </w:r>
          </w:p>
        </w:tc>
        <w:tc>
          <w:tcPr>
            <w:tcW w:w="2835" w:type="dxa"/>
            <w:gridSpan w:val="2"/>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8864EBD"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0.1</w:t>
            </w:r>
            <w:r w:rsidRPr="001D5951">
              <w:rPr>
                <w:rStyle w:val="None"/>
                <w:rFonts w:cs="Times New Roman"/>
                <w:sz w:val="24"/>
                <w:szCs w:val="24"/>
                <w:lang w:val="en-AU"/>
              </w:rPr>
              <w:t>‡</w:t>
            </w:r>
          </w:p>
        </w:tc>
        <w:tc>
          <w:tcPr>
            <w:tcW w:w="1196" w:type="dxa"/>
            <w:tcBorders>
              <w:top w:val="single" w:sz="4" w:space="0" w:color="BFBFBF"/>
              <w:left w:val="single" w:sz="4" w:space="0" w:color="BFBFBF"/>
              <w:bottom w:val="single" w:sz="4" w:space="0" w:color="BFBFBF"/>
              <w:right w:val="nil"/>
            </w:tcBorders>
            <w:shd w:val="clear" w:color="auto" w:fill="auto"/>
            <w:tcMar>
              <w:top w:w="80" w:type="dxa"/>
              <w:left w:w="80" w:type="dxa"/>
              <w:bottom w:w="80" w:type="dxa"/>
              <w:right w:w="80" w:type="dxa"/>
            </w:tcMar>
            <w:vAlign w:val="center"/>
          </w:tcPr>
          <w:p w14:paraId="23875DA3" w14:textId="443AD060" w:rsidR="00EB52BF" w:rsidRPr="001D5951" w:rsidRDefault="00EB52BF" w:rsidP="008052D2">
            <w:pPr>
              <w:pStyle w:val="TableParagraph"/>
              <w:jc w:val="center"/>
              <w:rPr>
                <w:rFonts w:cs="Times New Roman"/>
                <w:lang w:val="en-AU"/>
              </w:rPr>
            </w:pPr>
            <w:r w:rsidRPr="001D5951">
              <w:rPr>
                <w:rStyle w:val="None"/>
                <w:rFonts w:cs="Times New Roman"/>
                <w:kern w:val="16"/>
                <w:vertAlign w:val="superscript"/>
                <w:lang w:val="en-AU"/>
              </w:rPr>
              <w:fldChar w:fldCharType="begin" w:fldLock="1"/>
            </w:r>
            <w:r w:rsidR="00786612">
              <w:rPr>
                <w:rStyle w:val="None"/>
                <w:rFonts w:cs="Times New Roman"/>
                <w:kern w:val="16"/>
                <w:vertAlign w:val="superscript"/>
                <w:lang w:val="en-AU"/>
              </w:rPr>
              <w:instrText>ADDIN CSL_CITATION {"citationItems":[{"id":"ITEM-1","itemData":{"DOI":"10.1053/j.gastro.2008.12.070","ISSN":"1528-0012","PMID":"19457418","abstract":"Clostridium difficile infection is an increasing burden to the health care system, totaling more than $1 billion/year in the United States. Treatment of patients with C difficile infection with metronidazole or vancomycin reduces morbidity and mortality, although the number of patients that do not respond to metronidazole is increasing. Despite initial response rates of greater than 90%, 15%-30% of patients have a relapse in symptoms after successful initial therapy, usually in the first few weeks after treatment is discontinued. Failure to develop specific antibody response has recently been identified as a critical factor in recurrence. The review discusses the different management strategies for initial and recurrent symptomatic C difficile infections.","author":[{"dropping-particle":"","family":"Leffler","given":"Daniel A.","non-dropping-particle":"","parse-names":false,"suffix":""},{"dropping-particle":"","family":"Lamont","given":"J. Thomas","non-dropping-particle":"","parse-names":false,"suffix":""}],"container-title":"Gastroenterology","id":"ITEM-1","issue":"6","issued":{"date-parts":[["2009","5"]]},"page":"1899-912","publisher":"AGA Institute American Gastroenterological Association","title":"Treatment of Clostridium difficile-associated disease.","type":"article-journal","volume":"136"},"uris":["http://www.mendeley.com/documents/?uuid=3c7435b5-cad3-461a-85fd-662bb1098cda"]},{"id":"ITEM-2","itemData":{"DOI":"10.1016/j.tmaid.2012.06.004","PMID":"22800937","abstract":"The aim of this retrospective study was to evaluate the epidemiology, clinical course and outcome of Clostridium difficile infection among inpatients at Hamad General Hospital in Qatar, from 2006 to 2009. During this period, 123 patients were diagnosed with C. difficile infection and the overall incidence was 1.6/10,000 patient days. The mean age (±SD) of patients was 50.9 ± 21.2 years. The most frequent underlying disease was hypertension 51/123 (41.5%) and 133 prescriptions of antimicrobials were ordered for 105/123 (86.1%) patients prior to C. difficile infection with piperacillin-tazobactam being the most frequently prescribed antimicrobial 39/131 (29.7%). Nosocomial infection was found in 101/123 (82.0%) of cases, and the most common clinical feature was watery diarrhoea 119/123 (96.7%). Antimicrobials were discontinued in 53/105 (50.5%) cases and 118/123 (95.9%) of them received metronidazole as the initial treatment. The mean treatment duration (±SD) was 9.08 ± 5.6 days. Fifteen (12.7%) patients failed the first course of antimicrobial therapy, of which four were treated with oral vancomycin, and eleven patients received both drugs. Recurrence of infection was observed in 12/118 (10.2%) patients and 30-day mortality was 38/123 (30.9%). Several clinical variables were associated with increased 30-day mortality on univariate analysis. Only occurrence of disease among Qataris, prolonged hospitalisation, positive stool occult blood test, high white blood cells and septic shock were found to be independent predictors of mortality by multivariate logistic regression analysis. In conclusion, C. difficile infection was a recognise cause of morbidity and mortality in our hospital with low and stable incidence. It involved predominantly patients younger than 65 years with underlying illness and metronidazole and vancomycin were effective in resolving symptoms in the majority of our patients.","author":[{"dropping-particle":"","family":"Khan","given":"Fahmi Yousef","non-dropping-particle":"","parse-names":false,"suffix":""},{"dropping-particle":"","family":"Abu-Khattab","given":"Mohammed","non-dropping-particle":"","parse-names":false,"suffix":""},{"dropping-particle":"","family":"Anand","given":"Deshmukh","non-dropping-particle":"","parse-names":false,"suffix":""},{"dropping-particle":"","family":"Baager","given":"Khalid","non-dropping-particle":"","parse-names":false,"suffix":""},{"dropping-particle":"","family":"Alaini","given":"Ahmed","non-dropping-particle":"","parse-names":false,"suffix":""},{"dropping-particle":"","family":"Siddique","given":"Mashhood A","non-dropping-particle":"","parse-names":false,"suffix":""},{"dropping-particle":"","family":"Mohamed","given":"Shehab Fareed","non-dropping-particle":"","parse-names":false,"suffix":""},{"dropping-particle":"","family":"Ali","given":"Mir I","non-dropping-particle":"","parse-names":false,"suffix":""},{"dropping-particle":"","family":"Bedawi","given":"Mamoon M","non-dropping-particle":"Al","parse-names":false,"suffix":""},{"dropping-particle":"","family":"Naser","given":"Mohamed S","non-dropping-particle":"","parse-names":false,"suffix":""}],"container-title":"Travel medicine and infectious disease","id":"ITEM-2","issue":"4","issued":{"date-parts":[["2012","7"]]},"page":"179-85","publisher":"Elsevier Ltd","title":"Epidemiological features of Clostridium difficile infection among inpatients at Hamad General Hospital in the state of Qatar, 2006-2009.","type":"article-journal","volume":"10"},"uris":["http://www.mendeley.com/documents/?uuid=e0d443c6-a134-4585-8dad-f8a8d637ca70"]}],"mendeley":{"formattedCitation":"[15,26]","plainTextFormattedCitation":"[15,26]","previouslyFormattedCitation":"[15,26]"},"properties":{"noteIndex":0},"schema":"https://github.com/citation-style-language/schema/raw/master/csl-citation.json"}</w:instrText>
            </w:r>
            <w:r w:rsidRPr="001D5951">
              <w:rPr>
                <w:rStyle w:val="None"/>
                <w:rFonts w:cs="Times New Roman"/>
                <w:kern w:val="16"/>
                <w:vertAlign w:val="superscript"/>
                <w:lang w:val="en-AU"/>
              </w:rPr>
              <w:fldChar w:fldCharType="separate"/>
            </w:r>
            <w:r w:rsidR="00B461B6" w:rsidRPr="00B461B6">
              <w:rPr>
                <w:rStyle w:val="None"/>
                <w:rFonts w:cs="Times New Roman"/>
                <w:noProof/>
                <w:kern w:val="16"/>
                <w:lang w:val="en-AU"/>
              </w:rPr>
              <w:t>[15,26]</w:t>
            </w:r>
            <w:r w:rsidRPr="001D5951">
              <w:rPr>
                <w:rStyle w:val="None"/>
                <w:rFonts w:cs="Times New Roman"/>
                <w:kern w:val="16"/>
                <w:vertAlign w:val="superscript"/>
                <w:lang w:val="en-AU"/>
              </w:rPr>
              <w:fldChar w:fldCharType="end"/>
            </w:r>
          </w:p>
        </w:tc>
      </w:tr>
      <w:tr w:rsidR="00EB52BF" w:rsidRPr="0045681F" w14:paraId="7EB57AE6" w14:textId="77777777" w:rsidTr="00503BAB">
        <w:trPr>
          <w:trHeight w:val="450"/>
        </w:trPr>
        <w:tc>
          <w:tcPr>
            <w:tcW w:w="1168" w:type="dxa"/>
            <w:tcBorders>
              <w:top w:val="single" w:sz="4" w:space="0" w:color="BFBFBF"/>
              <w:left w:val="nil"/>
              <w:bottom w:val="single" w:sz="4" w:space="0" w:color="BFBFBF"/>
              <w:right w:val="single" w:sz="4" w:space="0" w:color="BFBFBF"/>
            </w:tcBorders>
            <w:shd w:val="clear" w:color="auto" w:fill="auto"/>
            <w:tcMar>
              <w:top w:w="80" w:type="dxa"/>
              <w:left w:w="80" w:type="dxa"/>
              <w:bottom w:w="80" w:type="dxa"/>
              <w:right w:w="80" w:type="dxa"/>
            </w:tcMar>
            <w:vAlign w:val="center"/>
          </w:tcPr>
          <w:p w14:paraId="34BF012B" w14:textId="77777777" w:rsidR="00EB52BF" w:rsidRPr="001D5951" w:rsidRDefault="00EB52BF" w:rsidP="00503BAB">
            <w:pPr>
              <w:pStyle w:val="TableParagraph"/>
              <w:jc w:val="center"/>
              <w:rPr>
                <w:rFonts w:cs="Times New Roman"/>
                <w:lang w:val="en-AU"/>
              </w:rPr>
            </w:pPr>
            <w:proofErr w:type="spellStart"/>
            <w:r w:rsidRPr="001D5951">
              <w:rPr>
                <w:rStyle w:val="None"/>
                <w:rFonts w:cs="Times New Roman"/>
                <w:i/>
                <w:iCs/>
                <w:kern w:val="16"/>
                <w:lang w:val="en-AU"/>
              </w:rPr>
              <w:t>p</w:t>
            </w:r>
            <w:r w:rsidRPr="001D5951">
              <w:rPr>
                <w:rStyle w:val="None"/>
                <w:rFonts w:cs="Times New Roman"/>
                <w:i/>
                <w:iCs/>
                <w:kern w:val="16"/>
                <w:vertAlign w:val="subscript"/>
                <w:lang w:val="en-AU"/>
              </w:rPr>
              <w:t>t</w:t>
            </w:r>
            <w:proofErr w:type="spellEnd"/>
          </w:p>
        </w:tc>
        <w:tc>
          <w:tcPr>
            <w:tcW w:w="382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1E9CA457" w14:textId="77777777" w:rsidR="00EB52BF" w:rsidRPr="001D5951" w:rsidRDefault="00EB52BF" w:rsidP="00503BAB">
            <w:pPr>
              <w:pStyle w:val="TableParagraph"/>
              <w:rPr>
                <w:rFonts w:cs="Times New Roman"/>
                <w:lang w:val="en-AU"/>
              </w:rPr>
            </w:pPr>
            <w:r w:rsidRPr="001D5951">
              <w:rPr>
                <w:rStyle w:val="None"/>
                <w:rFonts w:cs="Times New Roman"/>
                <w:kern w:val="16"/>
                <w:lang w:val="en-AU"/>
              </w:rPr>
              <w:t xml:space="preserve">Probability that CDI treatment will remove all </w:t>
            </w:r>
            <w:r w:rsidRPr="001D5951">
              <w:rPr>
                <w:rStyle w:val="None"/>
                <w:rFonts w:cs="Times New Roman"/>
                <w:i/>
                <w:iCs/>
                <w:kern w:val="16"/>
                <w:lang w:val="en-AU"/>
              </w:rPr>
              <w:t>C. difficile</w:t>
            </w:r>
          </w:p>
        </w:tc>
        <w:tc>
          <w:tcPr>
            <w:tcW w:w="2835" w:type="dxa"/>
            <w:gridSpan w:val="2"/>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7A596FA6"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0.55</w:t>
            </w:r>
            <w:r w:rsidRPr="001D5951">
              <w:rPr>
                <w:rStyle w:val="None"/>
                <w:rFonts w:cs="Times New Roman"/>
                <w:sz w:val="24"/>
                <w:szCs w:val="24"/>
                <w:lang w:val="en-AU"/>
              </w:rPr>
              <w:t>‡</w:t>
            </w:r>
          </w:p>
        </w:tc>
        <w:tc>
          <w:tcPr>
            <w:tcW w:w="1196" w:type="dxa"/>
            <w:tcBorders>
              <w:top w:val="single" w:sz="4" w:space="0" w:color="BFBFBF"/>
              <w:left w:val="single" w:sz="4" w:space="0" w:color="BFBFBF"/>
              <w:bottom w:val="single" w:sz="4" w:space="0" w:color="BFBFBF"/>
              <w:right w:val="nil"/>
            </w:tcBorders>
            <w:shd w:val="clear" w:color="auto" w:fill="auto"/>
            <w:tcMar>
              <w:top w:w="80" w:type="dxa"/>
              <w:left w:w="80" w:type="dxa"/>
              <w:bottom w:w="80" w:type="dxa"/>
              <w:right w:w="80" w:type="dxa"/>
            </w:tcMar>
            <w:vAlign w:val="center"/>
          </w:tcPr>
          <w:p w14:paraId="541D2F89" w14:textId="5B48DA07" w:rsidR="00EB52BF" w:rsidRPr="001D5951" w:rsidRDefault="00EB52BF" w:rsidP="008052D2">
            <w:pPr>
              <w:pStyle w:val="TableParagraph"/>
              <w:jc w:val="center"/>
              <w:rPr>
                <w:rFonts w:cs="Times New Roman"/>
                <w:lang w:val="en-AU"/>
              </w:rPr>
            </w:pPr>
            <w:r w:rsidRPr="001D5951">
              <w:rPr>
                <w:rStyle w:val="None"/>
                <w:rFonts w:cs="Times New Roman"/>
                <w:kern w:val="16"/>
                <w:vertAlign w:val="superscript"/>
                <w:lang w:val="en-AU"/>
              </w:rPr>
              <w:fldChar w:fldCharType="begin" w:fldLock="1"/>
            </w:r>
            <w:r w:rsidR="00B461B6">
              <w:rPr>
                <w:rStyle w:val="None"/>
                <w:rFonts w:cs="Times New Roman"/>
                <w:kern w:val="16"/>
                <w:vertAlign w:val="superscript"/>
                <w:lang w:val="en-AU"/>
              </w:rPr>
              <w:instrText>ADDIN CSL_CITATION {"citationItems":[{"id":"ITEM-1","itemData":{"DOI":"10.1007/s11538-017-0328-8","author":[{"dropping-particle":"","family":"McLure","given":"Angus","non-dropping-particle":"","parse-names":false,"suffix":""},{"dropping-particle":"","family":"Clements","given":"Archie C. A.","non-dropping-particle":"","parse-names":false,"suffix":""},{"dropping-particle":"","family":"Kirk","given":"Martyn","non-dropping-particle":"","parse-names":false,"suffix":""},{"dropping-particle":"","family":"Glass","given":"Kathryn","non-dropping-particle":"","parse-names":false,"suffix":""}],"container-title":"Bulletin of Mathematical Biology","id":"ITEM-1","issue":"10","issued":{"date-parts":[["2017","10","3"]]},"page":"2242-2257","title":"Healthcare-Associated Clostridium difficile Infections are Sustained by Disease from the Community","type":"article-journal","volume":"79"},"uris":["http://www.mendeley.com/documents/?uuid=40b1ba2d-b9b0-4e6c-926b-4577ae64411f"]}],"mendeley":{"formattedCitation":"[10]","plainTextFormattedCitation":"[10]","previouslyFormattedCitation":"[10]"},"properties":{"noteIndex":0},"schema":"https://github.com/citation-style-language/schema/raw/master/csl-citation.json"}</w:instrText>
            </w:r>
            <w:r w:rsidRPr="001D5951">
              <w:rPr>
                <w:rStyle w:val="None"/>
                <w:rFonts w:cs="Times New Roman"/>
                <w:kern w:val="16"/>
                <w:vertAlign w:val="superscript"/>
                <w:lang w:val="en-AU"/>
              </w:rPr>
              <w:fldChar w:fldCharType="separate"/>
            </w:r>
            <w:r w:rsidR="00B80518" w:rsidRPr="00B80518">
              <w:rPr>
                <w:rStyle w:val="None"/>
                <w:rFonts w:cs="Times New Roman"/>
                <w:noProof/>
                <w:kern w:val="16"/>
                <w:lang w:val="en-AU"/>
              </w:rPr>
              <w:t>[10]</w:t>
            </w:r>
            <w:r w:rsidRPr="001D5951">
              <w:rPr>
                <w:rStyle w:val="None"/>
                <w:rFonts w:cs="Times New Roman"/>
                <w:kern w:val="16"/>
                <w:vertAlign w:val="superscript"/>
                <w:lang w:val="en-AU"/>
              </w:rPr>
              <w:fldChar w:fldCharType="end"/>
            </w:r>
          </w:p>
        </w:tc>
      </w:tr>
      <w:tr w:rsidR="00EB52BF" w:rsidRPr="0045681F" w14:paraId="4F66E731" w14:textId="77777777" w:rsidTr="00503BAB">
        <w:trPr>
          <w:trHeight w:val="670"/>
        </w:trPr>
        <w:tc>
          <w:tcPr>
            <w:tcW w:w="1168" w:type="dxa"/>
            <w:tcBorders>
              <w:top w:val="single" w:sz="4" w:space="0" w:color="BFBFBF"/>
              <w:left w:val="nil"/>
              <w:bottom w:val="single" w:sz="4" w:space="0" w:color="BFBFBF"/>
              <w:right w:val="single" w:sz="4" w:space="0" w:color="BFBFBF"/>
            </w:tcBorders>
            <w:shd w:val="clear" w:color="auto" w:fill="auto"/>
            <w:tcMar>
              <w:top w:w="80" w:type="dxa"/>
              <w:left w:w="80" w:type="dxa"/>
              <w:bottom w:w="80" w:type="dxa"/>
              <w:right w:w="80" w:type="dxa"/>
            </w:tcMar>
            <w:vAlign w:val="center"/>
          </w:tcPr>
          <w:p w14:paraId="1338CB7C" w14:textId="77777777" w:rsidR="00EB52BF" w:rsidRPr="001D5951" w:rsidRDefault="00EB52BF" w:rsidP="00503BAB">
            <w:pPr>
              <w:pStyle w:val="TableParagraph"/>
              <w:jc w:val="center"/>
              <w:rPr>
                <w:rFonts w:cs="Times New Roman"/>
                <w:lang w:val="en-AU"/>
              </w:rPr>
            </w:pPr>
            <w:r w:rsidRPr="001D5951">
              <w:rPr>
                <w:rStyle w:val="None"/>
                <w:rFonts w:cs="Times New Roman"/>
                <w:i/>
                <w:iCs/>
                <w:kern w:val="16"/>
                <w:lang w:val="en-AU"/>
              </w:rPr>
              <w:t>q</w:t>
            </w:r>
          </w:p>
        </w:tc>
        <w:tc>
          <w:tcPr>
            <w:tcW w:w="382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4E30654" w14:textId="77777777" w:rsidR="00EB52BF" w:rsidRPr="001D5951" w:rsidRDefault="00EB52BF" w:rsidP="00503BAB">
            <w:pPr>
              <w:pStyle w:val="TableParagraph"/>
              <w:rPr>
                <w:rFonts w:cs="Times New Roman"/>
                <w:lang w:val="en-AU"/>
              </w:rPr>
            </w:pPr>
            <w:r w:rsidRPr="001D5951">
              <w:rPr>
                <w:rStyle w:val="None"/>
                <w:rFonts w:cs="Times New Roman"/>
                <w:kern w:val="16"/>
                <w:lang w:val="en-AU"/>
              </w:rPr>
              <w:t>Efficacy and coverage of special contact precautions (0: total prevention of transmission; 1: no reduction in transmission)</w:t>
            </w:r>
          </w:p>
        </w:tc>
        <w:tc>
          <w:tcPr>
            <w:tcW w:w="1418"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1476736C"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0.45</w:t>
            </w:r>
            <w:r w:rsidRPr="001D5951">
              <w:rPr>
                <w:rStyle w:val="None"/>
                <w:rFonts w:cs="Times New Roman"/>
                <w:sz w:val="24"/>
                <w:szCs w:val="24"/>
                <w:lang w:val="en-AU"/>
              </w:rPr>
              <w:t>‡</w:t>
            </w:r>
          </w:p>
        </w:tc>
        <w:tc>
          <w:tcPr>
            <w:tcW w:w="141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1F36C4D6"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1</w:t>
            </w:r>
          </w:p>
        </w:tc>
        <w:tc>
          <w:tcPr>
            <w:tcW w:w="1196" w:type="dxa"/>
            <w:tcBorders>
              <w:top w:val="single" w:sz="4" w:space="0" w:color="BFBFBF"/>
              <w:left w:val="single" w:sz="4" w:space="0" w:color="BFBFBF"/>
              <w:bottom w:val="single" w:sz="4" w:space="0" w:color="BFBFBF"/>
              <w:right w:val="nil"/>
            </w:tcBorders>
            <w:shd w:val="clear" w:color="auto" w:fill="auto"/>
            <w:tcMar>
              <w:top w:w="80" w:type="dxa"/>
              <w:left w:w="80" w:type="dxa"/>
              <w:bottom w:w="80" w:type="dxa"/>
              <w:right w:w="80" w:type="dxa"/>
            </w:tcMar>
            <w:vAlign w:val="center"/>
          </w:tcPr>
          <w:p w14:paraId="132A0DFA" w14:textId="4C53C683" w:rsidR="00EB52BF" w:rsidRPr="001D5951" w:rsidRDefault="00EB52BF" w:rsidP="008052D2">
            <w:pPr>
              <w:pStyle w:val="TableParagraph"/>
              <w:jc w:val="center"/>
              <w:rPr>
                <w:rFonts w:cs="Times New Roman"/>
                <w:lang w:val="en-AU"/>
              </w:rPr>
            </w:pPr>
            <w:r w:rsidRPr="001D5951">
              <w:rPr>
                <w:rStyle w:val="None"/>
                <w:rFonts w:cs="Times New Roman"/>
                <w:kern w:val="16"/>
                <w:vertAlign w:val="superscript"/>
                <w:lang w:val="en-AU"/>
              </w:rPr>
              <w:fldChar w:fldCharType="begin" w:fldLock="1"/>
            </w:r>
            <w:r w:rsidR="00C45F1D">
              <w:rPr>
                <w:rStyle w:val="None"/>
                <w:rFonts w:cs="Times New Roman"/>
                <w:kern w:val="16"/>
                <w:vertAlign w:val="superscript"/>
                <w:lang w:val="en-AU"/>
              </w:rPr>
              <w:instrText>ADDIN CSL_CITATION {"citationItems":[{"id":"ITEM-1","itemData":{"DOI":"10.1016/j.ajic.2009.01.001","PMID":"19278754","author":[{"dropping-particle":"","family":"Jarvis","given":"William R.","non-dropping-particle":"","parse-names":false,"suffix":""},{"dropping-particle":"","family":"Schlosser","given":"JoAnn","non-dropping-particle":"","parse-names":false,"suffix":""},{"dropping-particle":"","family":"Jarvis","given":"Ashley A.","non-dropping-particle":"","parse-names":false,"suffix":""},{"dropping-particle":"","family":"Chinn","given":"Raymond Y.","non-dropping-particle":"","parse-names":false,"suffix":""}],"container-title":"American Journal of Infection Control","id":"ITEM-1","issue":"4","issued":{"date-parts":[["2009","5"]]},"page":"263-270","title":"National point prevalence of Clostridium difficile in US health care facility inpatients, 2008","type":"article-journal","volume":"37"},"uris":["http://www.mendeley.com/documents/?uuid=4ec62433-6b80-4b41-b0a7-b2c2ae6adaad"]},{"id":"ITEM-2","itemData":{"DOI":"10.1086/502539","abstract":"Background and Objective:","author":[{"dropping-particle":"","family":"Muto","given":"Carlene A.","non-dropping-particle":"","parse-names":false,"suffix":""},{"dropping-particle":"","family":"Pokrywka","given":"Marian","non-dropping-particle":"","parse-names":false,"suffix":""},{"dropping-particle":"","family":"Shutt","given":"Kathleen","non-dropping-particle":"","parse-names":false,"suffix":""},{"dropping-particle":"","family":"Mendelsohn","given":"Aaron B.","non-dropping-particle":"","parse-names":false,"suffix":""},{"dropping-particle":"","family":"Nouri","given":"Kathy","non-dropping-particle":"","parse-names":false,"suffix":""},{"dropping-particle":"","family":"Posey","given":"Kathy","non-dropping-particle":"","parse-names":false,"suffix":""},{"dropping-particle":"","family":"Roberts","given":"Terri","non-dropping-particle":"","parse-names":false,"suffix":""},{"dropping-particle":"","family":"Croyle","given":"Karen","non-dropping-particle":"","parse-names":false,"suffix":""},{"dropping-particle":"","family":"Krystoflak","given":"Sharon","non-dropping-particle":"","parse-names":false,"suffix":""},{"dropping-particle":"","family":"Patel-Brown","given":"Sujata","non-dropping-particle":"","parse-names":false,"suffix":""},{"dropping-particle":"","family":"Pasculle","given":"A. William","non-dropping-particle":"","parse-names":false,"suffix":""},{"dropping-particle":"","family":"Paterson","given":"David L.","non-dropping-particle":"","parse-names":false,"suffix":""},{"dropping-particle":"","family":"Saul","given":"Melissa","non-dropping-particle":"","parse-names":false,"suffix":""},{"dropping-particle":"","family":"Harrison","given":"Lee H.","non-dropping-particle":"","parse-names":false,"suffix":""}],"container-title":"Infection Control &amp; Hospital Epidemiology","id":"ITEM-2","issue":"03","issued":{"date-parts":[["2005","3","21"]]},"page":"273-280","title":"A Large Outbreak of Clostridium difficile–Associated Disease with an Unexpected Proportion of Deaths and Colectomies at a Teaching Hospital Following Increased Fluoroquinolone Use","type":"article-journal","volume":"26"},"uris":["http://www.mendeley.com/documents/?uuid=2989d6de-1dbe-4416-b0d1-563674ddd58f"]}],"mendeley":{"formattedCitation":"[13,27]","plainTextFormattedCitation":"[13,27]","previouslyFormattedCitation":"[13,27]"},"properties":{"noteIndex":0},"schema":"https://github.com/citation-style-language/schema/raw/master/csl-citation.json"}</w:instrText>
            </w:r>
            <w:r w:rsidRPr="001D5951">
              <w:rPr>
                <w:rStyle w:val="None"/>
                <w:rFonts w:cs="Times New Roman"/>
                <w:kern w:val="16"/>
                <w:vertAlign w:val="superscript"/>
                <w:lang w:val="en-AU"/>
              </w:rPr>
              <w:fldChar w:fldCharType="separate"/>
            </w:r>
            <w:r w:rsidR="00B461B6" w:rsidRPr="00B461B6">
              <w:rPr>
                <w:rStyle w:val="None"/>
                <w:rFonts w:cs="Times New Roman"/>
                <w:noProof/>
                <w:kern w:val="16"/>
                <w:lang w:val="en-AU"/>
              </w:rPr>
              <w:t>[13,27]</w:t>
            </w:r>
            <w:r w:rsidRPr="001D5951">
              <w:rPr>
                <w:rStyle w:val="None"/>
                <w:rFonts w:cs="Times New Roman"/>
                <w:kern w:val="16"/>
                <w:vertAlign w:val="superscript"/>
                <w:lang w:val="en-AU"/>
              </w:rPr>
              <w:fldChar w:fldCharType="end"/>
            </w:r>
          </w:p>
        </w:tc>
      </w:tr>
      <w:tr w:rsidR="00EB52BF" w:rsidRPr="0045681F" w14:paraId="6CF5C97F" w14:textId="77777777" w:rsidTr="00503BAB">
        <w:trPr>
          <w:trHeight w:val="230"/>
        </w:trPr>
        <w:tc>
          <w:tcPr>
            <w:tcW w:w="1168" w:type="dxa"/>
            <w:tcBorders>
              <w:top w:val="single" w:sz="4" w:space="0" w:color="BFBFBF"/>
              <w:left w:val="nil"/>
              <w:bottom w:val="single" w:sz="4" w:space="0" w:color="BFBFBF"/>
              <w:right w:val="single" w:sz="4" w:space="0" w:color="BFBFBF"/>
            </w:tcBorders>
            <w:shd w:val="clear" w:color="auto" w:fill="auto"/>
            <w:tcMar>
              <w:top w:w="80" w:type="dxa"/>
              <w:left w:w="80" w:type="dxa"/>
              <w:bottom w:w="80" w:type="dxa"/>
              <w:right w:w="80" w:type="dxa"/>
            </w:tcMar>
            <w:vAlign w:val="center"/>
          </w:tcPr>
          <w:p w14:paraId="39C0258F" w14:textId="77777777" w:rsidR="00EB52BF" w:rsidRPr="001D5951" w:rsidRDefault="00EB52BF" w:rsidP="00503BAB">
            <w:pPr>
              <w:pStyle w:val="TableParagraph"/>
              <w:jc w:val="center"/>
              <w:rPr>
                <w:rFonts w:cs="Times New Roman"/>
                <w:lang w:val="en-AU"/>
              </w:rPr>
            </w:pPr>
            <w:r w:rsidRPr="001D5951">
              <w:rPr>
                <w:rStyle w:val="None"/>
                <w:rFonts w:cs="Times New Roman"/>
                <w:i/>
                <w:iCs/>
                <w:kern w:val="16"/>
                <w:lang w:val="en-AU"/>
              </w:rPr>
              <w:t>δ</w:t>
            </w:r>
          </w:p>
        </w:tc>
        <w:tc>
          <w:tcPr>
            <w:tcW w:w="382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1B6DA1DD" w14:textId="77777777" w:rsidR="00EB52BF" w:rsidRPr="001D5951" w:rsidRDefault="00EB52BF" w:rsidP="00503BAB">
            <w:pPr>
              <w:pStyle w:val="TableParagraph"/>
              <w:rPr>
                <w:rFonts w:cs="Times New Roman"/>
                <w:lang w:val="en-AU"/>
              </w:rPr>
            </w:pPr>
            <w:r w:rsidRPr="001D5951">
              <w:rPr>
                <w:rStyle w:val="None"/>
                <w:rFonts w:cs="Times New Roman"/>
                <w:kern w:val="16"/>
                <w:lang w:val="en-AU"/>
              </w:rPr>
              <w:t>Rate of development of immunity in adults</w:t>
            </w:r>
          </w:p>
        </w:tc>
        <w:tc>
          <w:tcPr>
            <w:tcW w:w="2835" w:type="dxa"/>
            <w:gridSpan w:val="2"/>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57E756A1"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0.1</w:t>
            </w:r>
            <w:r w:rsidRPr="001D5951">
              <w:rPr>
                <w:rStyle w:val="None"/>
                <w:rFonts w:cs="Times New Roman"/>
                <w:sz w:val="24"/>
                <w:szCs w:val="24"/>
                <w:lang w:val="en-AU"/>
              </w:rPr>
              <w:t>‡</w:t>
            </w:r>
          </w:p>
        </w:tc>
        <w:tc>
          <w:tcPr>
            <w:tcW w:w="1196" w:type="dxa"/>
            <w:tcBorders>
              <w:top w:val="single" w:sz="4" w:space="0" w:color="BFBFBF"/>
              <w:left w:val="single" w:sz="4" w:space="0" w:color="BFBFBF"/>
              <w:bottom w:val="single" w:sz="4" w:space="0" w:color="BFBFBF"/>
              <w:right w:val="nil"/>
            </w:tcBorders>
            <w:shd w:val="clear" w:color="auto" w:fill="auto"/>
            <w:tcMar>
              <w:top w:w="80" w:type="dxa"/>
              <w:left w:w="80" w:type="dxa"/>
              <w:bottom w:w="80" w:type="dxa"/>
              <w:right w:w="80" w:type="dxa"/>
            </w:tcMar>
            <w:vAlign w:val="center"/>
          </w:tcPr>
          <w:p w14:paraId="60F332EE" w14:textId="21A3E6B0" w:rsidR="00EB52BF" w:rsidRPr="001D5951" w:rsidRDefault="00EB52BF" w:rsidP="008052D2">
            <w:pPr>
              <w:pStyle w:val="TableParagraph"/>
              <w:jc w:val="center"/>
              <w:rPr>
                <w:rFonts w:cs="Times New Roman"/>
                <w:lang w:val="en-AU"/>
              </w:rPr>
            </w:pPr>
            <w:r w:rsidRPr="001D5951">
              <w:rPr>
                <w:rStyle w:val="None"/>
                <w:rFonts w:cs="Times New Roman"/>
                <w:kern w:val="16"/>
                <w:vertAlign w:val="superscript"/>
                <w:lang w:val="en-AU"/>
              </w:rPr>
              <w:fldChar w:fldCharType="begin" w:fldLock="1"/>
            </w:r>
            <w:r w:rsidR="00B461B6">
              <w:rPr>
                <w:rStyle w:val="None"/>
                <w:rFonts w:cs="Times New Roman"/>
                <w:kern w:val="16"/>
                <w:vertAlign w:val="superscript"/>
                <w:lang w:val="en-AU"/>
              </w:rPr>
              <w:instrText>ADDIN CSL_CITATION {"citationItems":[{"id":"ITEM-1","itemData":{"DOI":"10.1016/j.vaccine.2012.01.056","PMID":"22682287","author":[{"dropping-particle":"","family":"Foglia","given":"Ginamarie","non-dropping-particle":"","parse-names":false,"suffix":""},{"dropping-particle":"","family":"Shah","given":"Siddhi","non-dropping-particle":"","parse-names":false,"suffix":""},{"dropping-particle":"","family":"Luxemburger","given":"Christine","non-dropping-particle":"","parse-names":false,"suffix":""},{"dropping-particle":"","family":"Pietrobon","given":"Patricia J Freda","non-dropping-particle":"","parse-names":false,"suffix":""}],"container-title":"Vaccine","id":"ITEM-1","issue":"29","issued":{"date-parts":[["2012","6"]]},"page":"4307-4309","publisher":"Elsevier Ltd","title":"Clostridium difficile: Development of a novel candidate vaccine","type":"article-journal","volume":"30"},"uris":["http://www.mendeley.com/documents/?uuid=3b9bf3ac-efea-4ca5-9f3a-1476f8f48097"]},{"id":"ITEM-2","itemData":{"DOI":"10.1016/j.vaccine.2016.03.028","ISBN":"1873-2518 (Electronic)\\r0264-410X (Linking)","ISSN":"0264410X","PMID":"27013431","abstract":"Background: Clostridium difficile, a major cause of nosocomial and antibiotic-associated diarrhea, carries a significant disease and cost burden. This study aimed to select an optimal formulation and schedule for a candidate toxoid vaccine against C. difficile toxins A and B. Methods: Randomized, placebo-controlled, two-stage, Phase 2 study in a total of 661 adults aged 40-75 years. Stage I: low (50 ??g antigen) or high (100 ??g antigen) dose with or without aluminum hydroxide (AlOH) adjuvant, or placebo, administered on Days 0-7-30. Stage II: Days 0-7-30, 0-7-180, and 0-30-180, using the formulation selected in Stage I through a decision tree defined a priori and based principally on a bootstrap ranking approach. Administration was intramuscular. Blood samples were obtained on Days 0, 7, 14, 30, 60 (Stage I and II), 180, and 210 (Stage II); IgG to toxins A and B was measured by ELISA and in vitro functional activity was measured by toxin neutralizing assay (TNA). Safety data were collected using diary cards. Results: In Stage I the composite immune response against toxins A and B (percentage of participants who seroconverted for both toxins) was highest in the high dose + adjuvant group (97% and 92% for Toxins A and B, respectively) and was chosen for Stage II. In Stage II the immune response profile for this formulation through Day 180 given on Days 0-7-30 ranked above the other two administration schedules. There were no safety issues. Conclusions: The high dose + adjuvant (100 ??g antigen + AlOH) formulation administered at 0-7-30 days elicited the best immune response profile, including functional antibody responses, through Day 180 and was selected for use in subsequent clinical trials.","author":[{"dropping-particle":"","family":"Bruyn","given":"Guy","non-dropping-particle":"de","parse-names":false,"suffix":""},{"dropping-particle":"","family":"Saleh","given":"Jamshid","non-dropping-particle":"","parse-names":false,"suffix":""},{"dropping-particle":"","family":"Workman","given":"David","non-dropping-particle":"","parse-names":false,"suffix":""},{"dropping-particle":"","family":"Pollak","given":"Richard","non-dropping-particle":"","parse-names":false,"suffix":""},{"dropping-particle":"","family":"Elinoff","given":"Victor","non-dropping-particle":"","parse-names":false,"suffix":""},{"dropping-particle":"","family":"Fraser","given":"Neil J.","non-dropping-particle":"","parse-names":false,"suffix":""},{"dropping-particle":"","family":"Lefebvre","given":"Gigi","non-dropping-particle":"","parse-names":false,"suffix":""},{"dropping-particle":"","family":"Martens","given":"Mark","non-dropping-particle":"","parse-names":false,"suffix":""},{"dropping-particle":"","family":"Mills","given":"Richard E.","non-dropping-particle":"","parse-names":false,"suffix":""},{"dropping-particle":"","family":"Nathan","given":"Richard","non-dropping-particle":"","parse-names":false,"suffix":""},{"dropping-particle":"","family":"Trevino","given":"Miguel","non-dropping-particle":"","parse-names":false,"suffix":""},{"dropping-particle":"","family":"Cleeff","given":"Martin","non-dropping-particle":"van","parse-names":false,"suffix":""},{"dropping-particle":"","family":"Foglia","given":"Ginamarie","non-dropping-particle":"","parse-names":false,"suffix":""},{"dropping-particle":"","family":"Ozol-Godfrey","given":"Ayca","non-dropping-particle":"","parse-names":false,"suffix":""},{"dropping-particle":"","family":"Patel","given":"Dhaval M.","non-dropping-particle":"","parse-names":false,"suffix":""},{"dropping-particle":"","family":"Pietrobon","given":"Patricia J.","non-dropping-particle":"","parse-names":false,"suffix":""},{"dropping-particle":"","family":"Gesser","given":"Richard","non-dropping-particle":"","parse-names":false,"suffix":""}],"container-title":"Vaccine","id":"ITEM-2","issue":"19","issued":{"date-parts":[["2016","4"]]},"page":"2170-2178","publisher":"Elsevier Ltd","title":"Defining the optimal formulation and schedule of a candidate toxoid vaccine against Clostridium difficile infection: A randomized Phase 2 clinical trial","type":"article-journal","volume":"34"},"uris":["http://www.mendeley.com/documents/?uuid=cae678c1-ef1a-4ec8-8bfc-929574e33ad4"]}],"mendeley":{"formattedCitation":"[2,3]","plainTextFormattedCitation":"[2,3]","previouslyFormattedCitation":"[2,3]"},"properties":{"noteIndex":0},"schema":"https://github.com/citation-style-language/schema/raw/master/csl-citation.json"}</w:instrText>
            </w:r>
            <w:r w:rsidRPr="001D5951">
              <w:rPr>
                <w:rStyle w:val="None"/>
                <w:rFonts w:cs="Times New Roman"/>
                <w:kern w:val="16"/>
                <w:vertAlign w:val="superscript"/>
                <w:lang w:val="en-AU"/>
              </w:rPr>
              <w:fldChar w:fldCharType="separate"/>
            </w:r>
            <w:r w:rsidR="00B80518" w:rsidRPr="00B80518">
              <w:rPr>
                <w:rStyle w:val="None"/>
                <w:rFonts w:cs="Times New Roman"/>
                <w:noProof/>
                <w:kern w:val="16"/>
                <w:lang w:val="en-AU"/>
              </w:rPr>
              <w:t>[2,3]</w:t>
            </w:r>
            <w:r w:rsidRPr="001D5951">
              <w:rPr>
                <w:rStyle w:val="None"/>
                <w:rFonts w:cs="Times New Roman"/>
                <w:kern w:val="16"/>
                <w:vertAlign w:val="superscript"/>
                <w:lang w:val="en-AU"/>
              </w:rPr>
              <w:fldChar w:fldCharType="end"/>
            </w:r>
          </w:p>
        </w:tc>
      </w:tr>
      <w:tr w:rsidR="00EB52BF" w:rsidRPr="0045681F" w14:paraId="647DED33" w14:textId="77777777" w:rsidTr="00503BAB">
        <w:trPr>
          <w:trHeight w:val="450"/>
        </w:trPr>
        <w:tc>
          <w:tcPr>
            <w:tcW w:w="1168" w:type="dxa"/>
            <w:tcBorders>
              <w:top w:val="single" w:sz="4" w:space="0" w:color="BFBFBF"/>
              <w:left w:val="nil"/>
              <w:bottom w:val="single" w:sz="4" w:space="0" w:color="BFBFBF"/>
              <w:right w:val="single" w:sz="4" w:space="0" w:color="BFBFBF"/>
            </w:tcBorders>
            <w:shd w:val="clear" w:color="auto" w:fill="auto"/>
            <w:tcMar>
              <w:top w:w="80" w:type="dxa"/>
              <w:left w:w="80" w:type="dxa"/>
              <w:bottom w:w="80" w:type="dxa"/>
              <w:right w:w="80" w:type="dxa"/>
            </w:tcMar>
            <w:vAlign w:val="center"/>
          </w:tcPr>
          <w:p w14:paraId="2C4002B3" w14:textId="77777777" w:rsidR="00EB52BF" w:rsidRPr="001D5951" w:rsidRDefault="00EB52BF" w:rsidP="00503BAB">
            <w:pPr>
              <w:pStyle w:val="TableParagraph"/>
              <w:jc w:val="center"/>
              <w:rPr>
                <w:rFonts w:cs="Times New Roman"/>
                <w:lang w:val="en-AU"/>
              </w:rPr>
            </w:pPr>
            <w:r w:rsidRPr="001D5951">
              <w:rPr>
                <w:rStyle w:val="None"/>
                <w:rFonts w:cs="Times New Roman"/>
                <w:i/>
                <w:iCs/>
                <w:kern w:val="16"/>
                <w:lang w:val="en-AU"/>
              </w:rPr>
              <w:t>ζ</w:t>
            </w:r>
          </w:p>
        </w:tc>
        <w:tc>
          <w:tcPr>
            <w:tcW w:w="382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2EB466B8" w14:textId="77777777" w:rsidR="00EB52BF" w:rsidRPr="001D5951" w:rsidRDefault="00EB52BF" w:rsidP="00503BAB">
            <w:pPr>
              <w:pStyle w:val="TableParagraph"/>
              <w:rPr>
                <w:rFonts w:cs="Times New Roman"/>
                <w:lang w:val="en-AU"/>
              </w:rPr>
            </w:pPr>
            <w:r w:rsidRPr="001D5951">
              <w:rPr>
                <w:rStyle w:val="None"/>
                <w:rFonts w:cs="Times New Roman"/>
                <w:kern w:val="16"/>
                <w:lang w:val="en-AU"/>
              </w:rPr>
              <w:t>Rate at which infants age to develop adult-like gut-flora</w:t>
            </w:r>
          </w:p>
        </w:tc>
        <w:tc>
          <w:tcPr>
            <w:tcW w:w="1418"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59D56494"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N/A</w:t>
            </w:r>
          </w:p>
        </w:tc>
        <w:tc>
          <w:tcPr>
            <w:tcW w:w="141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6A806365"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1/365</w:t>
            </w:r>
          </w:p>
        </w:tc>
        <w:tc>
          <w:tcPr>
            <w:tcW w:w="1196" w:type="dxa"/>
            <w:tcBorders>
              <w:top w:val="single" w:sz="4" w:space="0" w:color="BFBFBF"/>
              <w:left w:val="single" w:sz="4" w:space="0" w:color="BFBFBF"/>
              <w:bottom w:val="single" w:sz="4" w:space="0" w:color="BFBFBF"/>
              <w:right w:val="nil"/>
            </w:tcBorders>
            <w:shd w:val="clear" w:color="auto" w:fill="auto"/>
            <w:tcMar>
              <w:top w:w="80" w:type="dxa"/>
              <w:left w:w="80" w:type="dxa"/>
              <w:bottom w:w="80" w:type="dxa"/>
              <w:right w:w="80" w:type="dxa"/>
            </w:tcMar>
            <w:vAlign w:val="center"/>
          </w:tcPr>
          <w:p w14:paraId="5A720D87" w14:textId="1FC783F3" w:rsidR="00EB52BF" w:rsidRPr="001D5951" w:rsidRDefault="00EB52BF" w:rsidP="008052D2">
            <w:pPr>
              <w:pStyle w:val="TableParagraph"/>
              <w:jc w:val="center"/>
              <w:rPr>
                <w:rFonts w:cs="Times New Roman"/>
                <w:lang w:val="en-AU"/>
              </w:rPr>
            </w:pPr>
            <w:r w:rsidRPr="001D5951">
              <w:rPr>
                <w:rStyle w:val="None"/>
                <w:rFonts w:cs="Times New Roman"/>
                <w:kern w:val="16"/>
                <w:vertAlign w:val="superscript"/>
                <w:lang w:val="en-AU"/>
              </w:rPr>
              <w:fldChar w:fldCharType="begin" w:fldLock="1"/>
            </w:r>
            <w:r w:rsidR="00786612">
              <w:rPr>
                <w:rStyle w:val="None"/>
                <w:rFonts w:cs="Times New Roman"/>
                <w:kern w:val="16"/>
                <w:vertAlign w:val="superscript"/>
                <w:lang w:val="en-AU"/>
              </w:rPr>
              <w:instrText>ADDIN CSL_CITATION {"citationItems":[{"id":"ITEM-1","itemData":{"DOI":"10.1097/MPG.0b013e3181d29767","ISBN":"1536-4801 (Electronic)\\r0277-2116 (Linking)","ISSN":"0277-2116","PMID":"20512057","abstract":"Approximately 60% to 70% of healthy newborns and infants are colonized by the enteric pathogen Clostridium difficile. For reasons that remain obscure, these colonized infants show no ill effects from the potent exotoxins released by this anaerobe, in contrast to older children and adults who are susceptible to severe diarrhea and colitis. The organism is acquired in infancy, as in adults, from environmental contamination in the nursery or home environment. Between 12 and 24 months C difficile is evicted as a commensal, presumably by the gradual development of the adult colonic microflora. The carrier state is well tolerated by infants, and the immunoglobulin G antitoxin response that develops during the carrier state appears to provide durable protection against subsequent C difficile disease.","author":[{"dropping-particle":"","family":"Jangi","given":"Sushrut","non-dropping-particle":"","parse-names":false,"suffix":""},{"dropping-particle":"","family":"Lamont","given":"J Thomas","non-dropping-particle":"","parse-names":false,"suffix":""}],"container-title":"Journal of Pediatric Gastroenterology and Nutrition","id":"ITEM-1","issue":"1","issued":{"date-parts":[["2010"]]},"page":"2-7","title":"Asymptomatic Colonization by Clostridium difficile in Infants: Implications for Disease in Later Life","type":"article-journal","volume":"51"},"uris":["http://www.mendeley.com/documents/?uuid=a342fade-0572-4968-b971-e2017f045e97"]}],"mendeley":{"formattedCitation":"[28]","plainTextFormattedCitation":"[28]","previouslyFormattedCitation":"[28]"},"properties":{"noteIndex":0},"schema":"https://github.com/citation-style-language/schema/raw/master/csl-citation.json"}</w:instrText>
            </w:r>
            <w:r w:rsidRPr="001D5951">
              <w:rPr>
                <w:rStyle w:val="None"/>
                <w:rFonts w:cs="Times New Roman"/>
                <w:kern w:val="16"/>
                <w:vertAlign w:val="superscript"/>
                <w:lang w:val="en-AU"/>
              </w:rPr>
              <w:fldChar w:fldCharType="separate"/>
            </w:r>
            <w:r w:rsidR="00B461B6" w:rsidRPr="00B461B6">
              <w:rPr>
                <w:rStyle w:val="None"/>
                <w:rFonts w:cs="Times New Roman"/>
                <w:noProof/>
                <w:kern w:val="16"/>
                <w:lang w:val="en-AU"/>
              </w:rPr>
              <w:t>[28]</w:t>
            </w:r>
            <w:r w:rsidRPr="001D5951">
              <w:rPr>
                <w:rStyle w:val="None"/>
                <w:rFonts w:cs="Times New Roman"/>
                <w:kern w:val="16"/>
                <w:vertAlign w:val="superscript"/>
                <w:lang w:val="en-AU"/>
              </w:rPr>
              <w:fldChar w:fldCharType="end"/>
            </w:r>
          </w:p>
        </w:tc>
      </w:tr>
      <w:tr w:rsidR="00EB52BF" w:rsidRPr="0045681F" w14:paraId="519AC61F" w14:textId="77777777" w:rsidTr="00503BAB">
        <w:trPr>
          <w:trHeight w:val="450"/>
        </w:trPr>
        <w:tc>
          <w:tcPr>
            <w:tcW w:w="1168" w:type="dxa"/>
            <w:tcBorders>
              <w:top w:val="single" w:sz="4" w:space="0" w:color="BFBFBF"/>
              <w:left w:val="nil"/>
              <w:bottom w:val="single" w:sz="4" w:space="0" w:color="BFBFBF"/>
              <w:right w:val="single" w:sz="4" w:space="0" w:color="BFBFBF"/>
            </w:tcBorders>
            <w:shd w:val="clear" w:color="auto" w:fill="auto"/>
            <w:tcMar>
              <w:top w:w="80" w:type="dxa"/>
              <w:left w:w="80" w:type="dxa"/>
              <w:bottom w:w="80" w:type="dxa"/>
              <w:right w:w="80" w:type="dxa"/>
            </w:tcMar>
            <w:vAlign w:val="center"/>
          </w:tcPr>
          <w:p w14:paraId="4E01B2B7" w14:textId="77777777" w:rsidR="00EB52BF" w:rsidRPr="001D5951" w:rsidRDefault="00EB52BF" w:rsidP="00503BAB">
            <w:pPr>
              <w:pStyle w:val="TableParagraph"/>
              <w:jc w:val="center"/>
              <w:rPr>
                <w:rFonts w:cs="Times New Roman"/>
                <w:lang w:val="en-AU"/>
              </w:rPr>
            </w:pPr>
            <w:r w:rsidRPr="001D5951">
              <w:rPr>
                <w:rStyle w:val="None"/>
                <w:rFonts w:cs="Times New Roman"/>
                <w:i/>
                <w:iCs/>
                <w:kern w:val="16"/>
                <w:lang w:val="en-AU"/>
              </w:rPr>
              <w:lastRenderedPageBreak/>
              <w:t>ψ</w:t>
            </w:r>
          </w:p>
        </w:tc>
        <w:tc>
          <w:tcPr>
            <w:tcW w:w="382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3231F39E" w14:textId="77777777" w:rsidR="00EB52BF" w:rsidRPr="001D5951" w:rsidRDefault="00EB52BF" w:rsidP="00503BAB">
            <w:pPr>
              <w:pStyle w:val="TableParagraph"/>
              <w:rPr>
                <w:rFonts w:cs="Times New Roman"/>
                <w:lang w:val="en-AU"/>
              </w:rPr>
            </w:pPr>
            <w:r w:rsidRPr="001D5951">
              <w:rPr>
                <w:rStyle w:val="None"/>
                <w:rFonts w:cs="Times New Roman"/>
                <w:kern w:val="16"/>
                <w:lang w:val="en-AU"/>
              </w:rPr>
              <w:t>Rate at which people age to suppressed/elderly class</w:t>
            </w:r>
          </w:p>
        </w:tc>
        <w:tc>
          <w:tcPr>
            <w:tcW w:w="2835" w:type="dxa"/>
            <w:gridSpan w:val="2"/>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415BC5C5"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2.92 × 10</w:t>
            </w:r>
            <w:r w:rsidRPr="001D5951">
              <w:rPr>
                <w:rStyle w:val="None"/>
                <w:rFonts w:cs="Times New Roman"/>
                <w:kern w:val="16"/>
                <w:vertAlign w:val="superscript"/>
                <w:lang w:val="en-AU"/>
              </w:rPr>
              <w:t>-5</w:t>
            </w:r>
            <w:r w:rsidRPr="001D5951">
              <w:rPr>
                <w:rStyle w:val="None"/>
                <w:rFonts w:cs="Times New Roman"/>
                <w:kern w:val="16"/>
                <w:lang w:val="en-AU"/>
              </w:rPr>
              <w:t xml:space="preserve"> (Median time: 65 years)</w:t>
            </w:r>
          </w:p>
        </w:tc>
        <w:tc>
          <w:tcPr>
            <w:tcW w:w="1196" w:type="dxa"/>
            <w:tcBorders>
              <w:top w:val="single" w:sz="4" w:space="0" w:color="BFBFBF"/>
              <w:left w:val="single" w:sz="4" w:space="0" w:color="BFBFBF"/>
              <w:bottom w:val="single" w:sz="4" w:space="0" w:color="BFBFBF"/>
              <w:right w:val="nil"/>
            </w:tcBorders>
            <w:shd w:val="clear" w:color="auto" w:fill="auto"/>
            <w:tcMar>
              <w:top w:w="80" w:type="dxa"/>
              <w:left w:w="80" w:type="dxa"/>
              <w:bottom w:w="80" w:type="dxa"/>
              <w:right w:w="80" w:type="dxa"/>
            </w:tcMar>
            <w:vAlign w:val="center"/>
          </w:tcPr>
          <w:p w14:paraId="78BEFA71" w14:textId="77777777" w:rsidR="00EB52BF" w:rsidRPr="001D5951" w:rsidRDefault="00EB52BF" w:rsidP="00503BAB">
            <w:pPr>
              <w:rPr>
                <w:rFonts w:ascii="Calibri" w:hAnsi="Calibri"/>
              </w:rPr>
            </w:pPr>
          </w:p>
        </w:tc>
      </w:tr>
      <w:tr w:rsidR="00EB52BF" w:rsidRPr="0045681F" w14:paraId="4CB1971A" w14:textId="77777777" w:rsidTr="00503BAB">
        <w:trPr>
          <w:trHeight w:val="230"/>
        </w:trPr>
        <w:tc>
          <w:tcPr>
            <w:tcW w:w="1168" w:type="dxa"/>
            <w:tcBorders>
              <w:top w:val="single" w:sz="4" w:space="0" w:color="BFBFBF"/>
              <w:left w:val="nil"/>
              <w:bottom w:val="single" w:sz="4" w:space="0" w:color="BFBFBF"/>
              <w:right w:val="single" w:sz="4" w:space="0" w:color="BFBFBF"/>
            </w:tcBorders>
            <w:shd w:val="clear" w:color="auto" w:fill="auto"/>
            <w:tcMar>
              <w:top w:w="80" w:type="dxa"/>
              <w:left w:w="80" w:type="dxa"/>
              <w:bottom w:w="80" w:type="dxa"/>
              <w:right w:w="80" w:type="dxa"/>
            </w:tcMar>
            <w:vAlign w:val="center"/>
          </w:tcPr>
          <w:p w14:paraId="39AF83E1" w14:textId="77777777" w:rsidR="00EB52BF" w:rsidRPr="001D5951" w:rsidRDefault="00EB52BF" w:rsidP="00503BAB">
            <w:pPr>
              <w:pStyle w:val="TableParagraph"/>
              <w:jc w:val="center"/>
              <w:rPr>
                <w:rFonts w:cs="Times New Roman"/>
                <w:lang w:val="en-AU"/>
              </w:rPr>
            </w:pPr>
            <w:r w:rsidRPr="001D5951">
              <w:rPr>
                <w:rStyle w:val="None"/>
                <w:rFonts w:cs="Times New Roman"/>
                <w:i/>
                <w:iCs/>
                <w:kern w:val="16"/>
                <w:lang w:val="en-AU"/>
              </w:rPr>
              <w:t>φ</w:t>
            </w:r>
          </w:p>
        </w:tc>
        <w:tc>
          <w:tcPr>
            <w:tcW w:w="382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1D6328CE" w14:textId="77777777" w:rsidR="00EB52BF" w:rsidRPr="001D5951" w:rsidRDefault="00EB52BF" w:rsidP="00503BAB">
            <w:pPr>
              <w:pStyle w:val="TableParagraph"/>
              <w:rPr>
                <w:rFonts w:cs="Times New Roman"/>
                <w:lang w:val="en-AU"/>
              </w:rPr>
            </w:pPr>
            <w:r w:rsidRPr="001D5951">
              <w:rPr>
                <w:rStyle w:val="None"/>
                <w:rFonts w:cs="Times New Roman"/>
                <w:kern w:val="16"/>
                <w:lang w:val="en-AU"/>
              </w:rPr>
              <w:t>Death rate</w:t>
            </w:r>
          </w:p>
        </w:tc>
        <w:tc>
          <w:tcPr>
            <w:tcW w:w="2835" w:type="dxa"/>
            <w:gridSpan w:val="2"/>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021270E"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1.11 × 10</w:t>
            </w:r>
            <w:r w:rsidRPr="001D5951">
              <w:rPr>
                <w:rStyle w:val="None"/>
                <w:rFonts w:cs="Times New Roman"/>
                <w:kern w:val="16"/>
                <w:vertAlign w:val="superscript"/>
                <w:lang w:val="en-AU"/>
              </w:rPr>
              <w:t>-5</w:t>
            </w:r>
          </w:p>
        </w:tc>
        <w:tc>
          <w:tcPr>
            <w:tcW w:w="1196" w:type="dxa"/>
            <w:tcBorders>
              <w:top w:val="single" w:sz="4" w:space="0" w:color="BFBFBF"/>
              <w:left w:val="single" w:sz="4" w:space="0" w:color="BFBFBF"/>
              <w:bottom w:val="single" w:sz="4" w:space="0" w:color="BFBFBF"/>
              <w:right w:val="nil"/>
            </w:tcBorders>
            <w:shd w:val="clear" w:color="auto" w:fill="auto"/>
            <w:tcMar>
              <w:top w:w="80" w:type="dxa"/>
              <w:left w:w="80" w:type="dxa"/>
              <w:bottom w:w="80" w:type="dxa"/>
              <w:right w:w="80" w:type="dxa"/>
            </w:tcMar>
            <w:vAlign w:val="center"/>
          </w:tcPr>
          <w:p w14:paraId="12E3EAC1" w14:textId="4201232A" w:rsidR="00EB52BF" w:rsidRPr="001D5951" w:rsidRDefault="00EB52BF" w:rsidP="002B77D5">
            <w:pPr>
              <w:pStyle w:val="TableParagraph"/>
              <w:jc w:val="center"/>
              <w:rPr>
                <w:rFonts w:cs="Times New Roman"/>
                <w:lang w:val="en-AU"/>
              </w:rPr>
            </w:pPr>
            <w:r w:rsidRPr="001D5951">
              <w:rPr>
                <w:rStyle w:val="None"/>
                <w:rFonts w:cs="Times New Roman"/>
                <w:kern w:val="16"/>
                <w:vertAlign w:val="superscript"/>
                <w:lang w:val="en-AU"/>
              </w:rPr>
              <w:fldChar w:fldCharType="begin" w:fldLock="1"/>
            </w:r>
            <w:r w:rsidR="00B461B6">
              <w:rPr>
                <w:rStyle w:val="None"/>
                <w:rFonts w:cs="Times New Roman"/>
                <w:kern w:val="16"/>
                <w:vertAlign w:val="superscript"/>
                <w:lang w:val="en-AU"/>
              </w:rPr>
              <w:instrText>ADDIN CSL_CITATION {"citationItems":[{"id":"ITEM-1","itemData":{"URL":"http://wonder.cdc.gov/ucd-icd10.html","accessed":{"date-parts":[["2017","12","18"]]},"author":[{"dropping-particle":"","family":"Centers for Disease Control and Prevention - National Center for Health Statistics.","given":"","non-dropping-particle":"","parse-names":false,"suffix":""}],"id":"ITEM-1","issued":{"date-parts":[["0"]]},"title":"CDC Wonder: Underlying Cause of Death, Multiple Cause of Death Files, 1999-2016","type":"webpage"},"uris":["http://www.mendeley.com/documents/?uuid=ff5b17ef-dfd9-4599-a182-d30739ac3cea"]}],"mendeley":{"formattedCitation":"[1]","plainTextFormattedCitation":"[1]","previouslyFormattedCitation":"[1]"},"properties":{"noteIndex":0},"schema":"https://github.com/citation-style-language/schema/raw/master/csl-citation.json"}</w:instrText>
            </w:r>
            <w:r w:rsidRPr="001D5951">
              <w:rPr>
                <w:rStyle w:val="None"/>
                <w:rFonts w:cs="Times New Roman"/>
                <w:kern w:val="16"/>
                <w:vertAlign w:val="superscript"/>
                <w:lang w:val="en-AU"/>
              </w:rPr>
              <w:fldChar w:fldCharType="separate"/>
            </w:r>
            <w:r w:rsidR="00B80518" w:rsidRPr="00B80518">
              <w:rPr>
                <w:rStyle w:val="None"/>
                <w:rFonts w:cs="Times New Roman"/>
                <w:noProof/>
                <w:kern w:val="16"/>
                <w:lang w:val="en-AU"/>
              </w:rPr>
              <w:t>[1]</w:t>
            </w:r>
            <w:r w:rsidRPr="001D5951">
              <w:rPr>
                <w:rStyle w:val="None"/>
                <w:rFonts w:cs="Times New Roman"/>
                <w:kern w:val="16"/>
                <w:vertAlign w:val="superscript"/>
                <w:lang w:val="en-AU"/>
              </w:rPr>
              <w:fldChar w:fldCharType="end"/>
            </w:r>
          </w:p>
        </w:tc>
      </w:tr>
      <w:tr w:rsidR="00EB52BF" w:rsidRPr="0045681F" w14:paraId="3BFB3FF4" w14:textId="77777777" w:rsidTr="00503BAB">
        <w:trPr>
          <w:trHeight w:val="230"/>
        </w:trPr>
        <w:tc>
          <w:tcPr>
            <w:tcW w:w="1168" w:type="dxa"/>
            <w:tcBorders>
              <w:top w:val="single" w:sz="4" w:space="0" w:color="BFBFBF"/>
              <w:left w:val="nil"/>
              <w:bottom w:val="single" w:sz="4" w:space="0" w:color="BFBFBF"/>
              <w:right w:val="single" w:sz="4" w:space="0" w:color="BFBFBF"/>
            </w:tcBorders>
            <w:shd w:val="clear" w:color="auto" w:fill="auto"/>
            <w:tcMar>
              <w:top w:w="80" w:type="dxa"/>
              <w:left w:w="80" w:type="dxa"/>
              <w:bottom w:w="80" w:type="dxa"/>
              <w:right w:w="80" w:type="dxa"/>
            </w:tcMar>
            <w:vAlign w:val="center"/>
          </w:tcPr>
          <w:p w14:paraId="53FE9000" w14:textId="77777777" w:rsidR="00EB52BF" w:rsidRPr="001D5951" w:rsidRDefault="00EB52BF" w:rsidP="00503BAB">
            <w:pPr>
              <w:pStyle w:val="TableParagraph"/>
              <w:jc w:val="center"/>
              <w:rPr>
                <w:rFonts w:cs="Times New Roman"/>
                <w:lang w:val="en-AU"/>
              </w:rPr>
            </w:pPr>
            <w:proofErr w:type="spellStart"/>
            <w:r w:rsidRPr="001D5951">
              <w:rPr>
                <w:rStyle w:val="None"/>
                <w:rFonts w:cs="Times New Roman"/>
                <w:i/>
                <w:iCs/>
                <w:kern w:val="16"/>
                <w:lang w:val="en-AU"/>
              </w:rPr>
              <w:t>φ</w:t>
            </w:r>
            <w:r w:rsidRPr="001D5951">
              <w:rPr>
                <w:rStyle w:val="None"/>
                <w:rFonts w:cs="Times New Roman"/>
                <w:i/>
                <w:iCs/>
                <w:kern w:val="16"/>
                <w:vertAlign w:val="subscript"/>
                <w:lang w:val="en-AU"/>
              </w:rPr>
              <w:t>U</w:t>
            </w:r>
            <w:proofErr w:type="spellEnd"/>
          </w:p>
        </w:tc>
        <w:tc>
          <w:tcPr>
            <w:tcW w:w="382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67E72DF5" w14:textId="77777777" w:rsidR="00EB52BF" w:rsidRPr="001D5951" w:rsidRDefault="00EB52BF" w:rsidP="00503BAB">
            <w:pPr>
              <w:pStyle w:val="TableParagraph"/>
              <w:rPr>
                <w:rFonts w:cs="Times New Roman"/>
                <w:lang w:val="en-AU"/>
              </w:rPr>
            </w:pPr>
            <w:r w:rsidRPr="001D5951">
              <w:rPr>
                <w:rStyle w:val="None"/>
                <w:rFonts w:cs="Times New Roman"/>
                <w:kern w:val="16"/>
                <w:lang w:val="en-AU"/>
              </w:rPr>
              <w:t>Death rate for elderly/suppressed</w:t>
            </w:r>
          </w:p>
        </w:tc>
        <w:tc>
          <w:tcPr>
            <w:tcW w:w="2835" w:type="dxa"/>
            <w:gridSpan w:val="2"/>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2ADB07AA"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1.84 × 10</w:t>
            </w:r>
            <w:r w:rsidRPr="001D5951">
              <w:rPr>
                <w:rStyle w:val="None"/>
                <w:rFonts w:cs="Times New Roman"/>
                <w:kern w:val="16"/>
                <w:vertAlign w:val="superscript"/>
                <w:lang w:val="en-AU"/>
              </w:rPr>
              <w:t>-4</w:t>
            </w:r>
          </w:p>
        </w:tc>
        <w:tc>
          <w:tcPr>
            <w:tcW w:w="1196" w:type="dxa"/>
            <w:tcBorders>
              <w:top w:val="single" w:sz="4" w:space="0" w:color="BFBFBF"/>
              <w:left w:val="single" w:sz="4" w:space="0" w:color="BFBFBF"/>
              <w:bottom w:val="single" w:sz="4" w:space="0" w:color="BFBFBF"/>
              <w:right w:val="nil"/>
            </w:tcBorders>
            <w:shd w:val="clear" w:color="auto" w:fill="auto"/>
            <w:tcMar>
              <w:top w:w="80" w:type="dxa"/>
              <w:left w:w="80" w:type="dxa"/>
              <w:bottom w:w="80" w:type="dxa"/>
              <w:right w:w="80" w:type="dxa"/>
            </w:tcMar>
            <w:vAlign w:val="center"/>
          </w:tcPr>
          <w:p w14:paraId="2FC1E1AC" w14:textId="08C16030" w:rsidR="00EB52BF" w:rsidRPr="001D5951" w:rsidRDefault="00EB52BF" w:rsidP="002B77D5">
            <w:pPr>
              <w:pStyle w:val="TableParagraph"/>
              <w:jc w:val="center"/>
              <w:rPr>
                <w:rFonts w:cs="Times New Roman"/>
                <w:lang w:val="en-AU"/>
              </w:rPr>
            </w:pPr>
            <w:r w:rsidRPr="001D5951">
              <w:rPr>
                <w:rStyle w:val="None"/>
                <w:rFonts w:cs="Times New Roman"/>
                <w:kern w:val="16"/>
                <w:vertAlign w:val="superscript"/>
                <w:lang w:val="en-AU"/>
              </w:rPr>
              <w:fldChar w:fldCharType="begin" w:fldLock="1"/>
            </w:r>
            <w:r w:rsidR="00B461B6">
              <w:rPr>
                <w:rStyle w:val="None"/>
                <w:rFonts w:cs="Times New Roman"/>
                <w:kern w:val="16"/>
                <w:vertAlign w:val="superscript"/>
                <w:lang w:val="en-AU"/>
              </w:rPr>
              <w:instrText>ADDIN CSL_CITATION {"citationItems":[{"id":"ITEM-1","itemData":{"URL":"http://wonder.cdc.gov/ucd-icd10.html","accessed":{"date-parts":[["2017","12","18"]]},"author":[{"dropping-particle":"","family":"Centers for Disease Control and Prevention - National Center for Health Statistics.","given":"","non-dropping-particle":"","parse-names":false,"suffix":""}],"id":"ITEM-1","issued":{"date-parts":[["0"]]},"title":"CDC Wonder: Underlying Cause of Death, Multiple Cause of Death Files, 1999-2016","type":"webpage"},"uris":["http://www.mendeley.com/documents/?uuid=ff5b17ef-dfd9-4599-a182-d30739ac3cea"]}],"mendeley":{"formattedCitation":"[1]","plainTextFormattedCitation":"[1]","previouslyFormattedCitation":"[1]"},"properties":{"noteIndex":0},"schema":"https://github.com/citation-style-language/schema/raw/master/csl-citation.json"}</w:instrText>
            </w:r>
            <w:r w:rsidRPr="001D5951">
              <w:rPr>
                <w:rStyle w:val="None"/>
                <w:rFonts w:cs="Times New Roman"/>
                <w:kern w:val="16"/>
                <w:vertAlign w:val="superscript"/>
                <w:lang w:val="en-AU"/>
              </w:rPr>
              <w:fldChar w:fldCharType="separate"/>
            </w:r>
            <w:r w:rsidR="00B80518" w:rsidRPr="00B80518">
              <w:rPr>
                <w:rStyle w:val="None"/>
                <w:rFonts w:cs="Times New Roman"/>
                <w:noProof/>
                <w:kern w:val="16"/>
                <w:lang w:val="en-AU"/>
              </w:rPr>
              <w:t>[1]</w:t>
            </w:r>
            <w:r w:rsidRPr="001D5951">
              <w:rPr>
                <w:rStyle w:val="None"/>
                <w:rFonts w:cs="Times New Roman"/>
                <w:kern w:val="16"/>
                <w:vertAlign w:val="superscript"/>
                <w:lang w:val="en-AU"/>
              </w:rPr>
              <w:fldChar w:fldCharType="end"/>
            </w:r>
          </w:p>
        </w:tc>
      </w:tr>
      <w:tr w:rsidR="00EB52BF" w:rsidRPr="0045681F" w14:paraId="6B8B58CD" w14:textId="77777777" w:rsidTr="00503BAB">
        <w:trPr>
          <w:trHeight w:val="230"/>
        </w:trPr>
        <w:tc>
          <w:tcPr>
            <w:tcW w:w="1168" w:type="dxa"/>
            <w:tcBorders>
              <w:top w:val="single" w:sz="4" w:space="0" w:color="BFBFBF"/>
              <w:left w:val="nil"/>
              <w:bottom w:val="single" w:sz="4" w:space="0" w:color="000000"/>
              <w:right w:val="single" w:sz="4" w:space="0" w:color="BFBFBF"/>
            </w:tcBorders>
            <w:shd w:val="clear" w:color="auto" w:fill="auto"/>
            <w:tcMar>
              <w:top w:w="80" w:type="dxa"/>
              <w:left w:w="80" w:type="dxa"/>
              <w:bottom w:w="80" w:type="dxa"/>
              <w:right w:w="80" w:type="dxa"/>
            </w:tcMar>
            <w:vAlign w:val="center"/>
          </w:tcPr>
          <w:p w14:paraId="30D13D85" w14:textId="77777777" w:rsidR="00EB52BF" w:rsidRPr="001D5951" w:rsidRDefault="00EB52BF" w:rsidP="00503BAB">
            <w:pPr>
              <w:pStyle w:val="TableParagraph"/>
              <w:jc w:val="center"/>
              <w:rPr>
                <w:rFonts w:cs="Times New Roman"/>
                <w:lang w:val="en-AU"/>
              </w:rPr>
            </w:pPr>
            <w:r w:rsidRPr="001D5951">
              <w:rPr>
                <w:rStyle w:val="None"/>
                <w:rFonts w:cs="Times New Roman"/>
                <w:i/>
                <w:iCs/>
                <w:kern w:val="16"/>
                <w:lang w:val="en-AU"/>
              </w:rPr>
              <w:t>N</w:t>
            </w:r>
          </w:p>
        </w:tc>
        <w:tc>
          <w:tcPr>
            <w:tcW w:w="3827" w:type="dxa"/>
            <w:tcBorders>
              <w:top w:val="single" w:sz="4" w:space="0" w:color="BFBFBF"/>
              <w:left w:val="single" w:sz="4" w:space="0" w:color="BFBFBF"/>
              <w:bottom w:val="single" w:sz="4" w:space="0" w:color="000000"/>
              <w:right w:val="single" w:sz="4" w:space="0" w:color="BFBFBF"/>
            </w:tcBorders>
            <w:shd w:val="clear" w:color="auto" w:fill="auto"/>
            <w:tcMar>
              <w:top w:w="80" w:type="dxa"/>
              <w:left w:w="80" w:type="dxa"/>
              <w:bottom w:w="80" w:type="dxa"/>
              <w:right w:w="80" w:type="dxa"/>
            </w:tcMar>
            <w:vAlign w:val="center"/>
          </w:tcPr>
          <w:p w14:paraId="6631F4E6" w14:textId="77777777" w:rsidR="00EB52BF" w:rsidRPr="001D5951" w:rsidRDefault="00EB52BF" w:rsidP="00503BAB">
            <w:pPr>
              <w:pStyle w:val="TableParagraph"/>
              <w:rPr>
                <w:rFonts w:cs="Times New Roman"/>
                <w:lang w:val="en-AU"/>
              </w:rPr>
            </w:pPr>
            <w:r w:rsidRPr="001D5951">
              <w:rPr>
                <w:rStyle w:val="None"/>
                <w:rFonts w:cs="Times New Roman"/>
                <w:kern w:val="16"/>
                <w:lang w:val="en-AU"/>
              </w:rPr>
              <w:t>Overnight Hospital Beds / Community Size</w:t>
            </w:r>
          </w:p>
        </w:tc>
        <w:tc>
          <w:tcPr>
            <w:tcW w:w="1418" w:type="dxa"/>
            <w:tcBorders>
              <w:top w:val="single" w:sz="4" w:space="0" w:color="BFBFBF"/>
              <w:left w:val="single" w:sz="4" w:space="0" w:color="BFBFBF"/>
              <w:bottom w:val="single" w:sz="4" w:space="0" w:color="000000"/>
              <w:right w:val="single" w:sz="4" w:space="0" w:color="BFBFBF"/>
            </w:tcBorders>
            <w:shd w:val="clear" w:color="auto" w:fill="auto"/>
            <w:tcMar>
              <w:top w:w="80" w:type="dxa"/>
              <w:left w:w="80" w:type="dxa"/>
              <w:bottom w:w="80" w:type="dxa"/>
              <w:right w:w="80" w:type="dxa"/>
            </w:tcMar>
            <w:vAlign w:val="center"/>
          </w:tcPr>
          <w:p w14:paraId="258D16BD"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150</w:t>
            </w:r>
          </w:p>
        </w:tc>
        <w:tc>
          <w:tcPr>
            <w:tcW w:w="1417" w:type="dxa"/>
            <w:tcBorders>
              <w:top w:val="single" w:sz="4" w:space="0" w:color="BFBFBF"/>
              <w:left w:val="single" w:sz="4" w:space="0" w:color="BFBFBF"/>
              <w:bottom w:val="single" w:sz="4" w:space="0" w:color="000000"/>
              <w:right w:val="single" w:sz="4" w:space="0" w:color="BFBFBF"/>
            </w:tcBorders>
            <w:shd w:val="clear" w:color="auto" w:fill="auto"/>
            <w:tcMar>
              <w:top w:w="80" w:type="dxa"/>
              <w:left w:w="80" w:type="dxa"/>
              <w:bottom w:w="80" w:type="dxa"/>
              <w:right w:w="80" w:type="dxa"/>
            </w:tcMar>
            <w:vAlign w:val="center"/>
          </w:tcPr>
          <w:p w14:paraId="30AE1BD1"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100,000</w:t>
            </w:r>
          </w:p>
        </w:tc>
        <w:tc>
          <w:tcPr>
            <w:tcW w:w="1196" w:type="dxa"/>
            <w:tcBorders>
              <w:top w:val="single" w:sz="4" w:space="0" w:color="BFBFBF"/>
              <w:left w:val="single" w:sz="4" w:space="0" w:color="BFBFBF"/>
              <w:bottom w:val="single" w:sz="4" w:space="0" w:color="000000"/>
              <w:right w:val="nil"/>
            </w:tcBorders>
            <w:shd w:val="clear" w:color="auto" w:fill="auto"/>
            <w:tcMar>
              <w:top w:w="80" w:type="dxa"/>
              <w:left w:w="80" w:type="dxa"/>
              <w:bottom w:w="80" w:type="dxa"/>
              <w:right w:w="80" w:type="dxa"/>
            </w:tcMar>
            <w:vAlign w:val="center"/>
          </w:tcPr>
          <w:p w14:paraId="226DDB86" w14:textId="77777777" w:rsidR="00EB52BF" w:rsidRPr="001D5951" w:rsidRDefault="00EB52BF" w:rsidP="00503BAB">
            <w:pPr>
              <w:rPr>
                <w:rFonts w:ascii="Calibri" w:hAnsi="Calibri"/>
              </w:rPr>
            </w:pPr>
          </w:p>
        </w:tc>
      </w:tr>
      <w:tr w:rsidR="00EB52BF" w:rsidRPr="0045681F" w14:paraId="5F5C84B8" w14:textId="77777777" w:rsidTr="00503BAB">
        <w:trPr>
          <w:trHeight w:val="450"/>
        </w:trPr>
        <w:tc>
          <w:tcPr>
            <w:tcW w:w="1168" w:type="dxa"/>
            <w:tcBorders>
              <w:top w:val="single" w:sz="4" w:space="0" w:color="000000"/>
              <w:left w:val="nil"/>
              <w:bottom w:val="single" w:sz="4" w:space="0" w:color="BFBFBF"/>
              <w:right w:val="single" w:sz="4" w:space="0" w:color="BFBFBF"/>
            </w:tcBorders>
            <w:shd w:val="clear" w:color="auto" w:fill="auto"/>
            <w:tcMar>
              <w:top w:w="80" w:type="dxa"/>
              <w:left w:w="80" w:type="dxa"/>
              <w:bottom w:w="80" w:type="dxa"/>
              <w:right w:w="80" w:type="dxa"/>
            </w:tcMar>
            <w:vAlign w:val="center"/>
          </w:tcPr>
          <w:p w14:paraId="5BDAA85B" w14:textId="77777777" w:rsidR="00EB52BF" w:rsidRPr="001D5951" w:rsidRDefault="00EB52BF" w:rsidP="00503BAB">
            <w:pPr>
              <w:pStyle w:val="TableParagraph"/>
              <w:jc w:val="center"/>
              <w:rPr>
                <w:rFonts w:cs="Times New Roman"/>
                <w:lang w:val="en-AU"/>
              </w:rPr>
            </w:pPr>
            <w:r w:rsidRPr="001D5951">
              <w:rPr>
                <w:rStyle w:val="None"/>
                <w:rFonts w:cs="Times New Roman"/>
                <w:i/>
                <w:iCs/>
                <w:kern w:val="16"/>
                <w:lang w:val="en-AU"/>
              </w:rPr>
              <w:t>σ</w:t>
            </w:r>
          </w:p>
        </w:tc>
        <w:tc>
          <w:tcPr>
            <w:tcW w:w="3827" w:type="dxa"/>
            <w:tcBorders>
              <w:top w:val="single" w:sz="4" w:space="0" w:color="000000"/>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6E799CDF" w14:textId="77777777" w:rsidR="00EB52BF" w:rsidRPr="001D5951" w:rsidRDefault="00EB52BF" w:rsidP="00503BAB">
            <w:pPr>
              <w:pStyle w:val="TableParagraph"/>
              <w:rPr>
                <w:rFonts w:cs="Times New Roman"/>
                <w:lang w:val="en-AU"/>
              </w:rPr>
            </w:pPr>
            <w:r w:rsidRPr="001D5951">
              <w:rPr>
                <w:rStyle w:val="None"/>
                <w:rFonts w:cs="Times New Roman"/>
                <w:kern w:val="16"/>
                <w:lang w:val="en-AU"/>
              </w:rPr>
              <w:t>Rate at which immunity wanes</w:t>
            </w:r>
          </w:p>
        </w:tc>
        <w:tc>
          <w:tcPr>
            <w:tcW w:w="2835" w:type="dxa"/>
            <w:gridSpan w:val="2"/>
            <w:tcBorders>
              <w:top w:val="single" w:sz="4" w:space="0" w:color="000000"/>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4A8413D8" w14:textId="3BB9E77F" w:rsidR="00EB52BF" w:rsidRPr="001D5951" w:rsidRDefault="00EB52BF" w:rsidP="00503BAB">
            <w:pPr>
              <w:pStyle w:val="TableParagraph"/>
              <w:jc w:val="center"/>
              <w:rPr>
                <w:rFonts w:cs="Times New Roman"/>
                <w:sz w:val="20"/>
                <w:szCs w:val="20"/>
                <w:lang w:val="en-AU"/>
              </w:rPr>
            </w:pPr>
            <w:r w:rsidRPr="001D5951">
              <w:rPr>
                <w:rStyle w:val="None"/>
                <w:rFonts w:cs="Times New Roman"/>
                <w:kern w:val="16"/>
                <w:sz w:val="20"/>
                <w:szCs w:val="20"/>
                <w:lang w:val="en-AU"/>
              </w:rPr>
              <w:t>2.9 x 10</w:t>
            </w:r>
            <w:r w:rsidRPr="001D5951">
              <w:rPr>
                <w:rStyle w:val="None"/>
                <w:rFonts w:cs="Times New Roman"/>
                <w:kern w:val="16"/>
                <w:sz w:val="20"/>
                <w:szCs w:val="20"/>
                <w:vertAlign w:val="superscript"/>
                <w:lang w:val="en-AU"/>
              </w:rPr>
              <w:t>-4</w:t>
            </w:r>
            <w:r w:rsidRPr="001D5951">
              <w:rPr>
                <w:rStyle w:val="None"/>
                <w:rFonts w:cs="Times New Roman"/>
                <w:kern w:val="16"/>
                <w:sz w:val="20"/>
                <w:szCs w:val="20"/>
                <w:lang w:val="en-AU"/>
              </w:rPr>
              <w:t xml:space="preserve"> (0.9 x 10</w:t>
            </w:r>
            <w:r w:rsidR="001A5BCC" w:rsidRPr="001A5BCC">
              <w:rPr>
                <w:rStyle w:val="None"/>
                <w:rFonts w:cs="Times New Roman"/>
                <w:kern w:val="16"/>
                <w:sz w:val="20"/>
                <w:szCs w:val="20"/>
                <w:vertAlign w:val="superscript"/>
                <w:lang w:val="en-AU"/>
              </w:rPr>
              <w:t>-4</w:t>
            </w:r>
            <w:r w:rsidRPr="001D5951">
              <w:rPr>
                <w:rStyle w:val="None"/>
                <w:rFonts w:cs="Times New Roman"/>
                <w:kern w:val="16"/>
                <w:sz w:val="20"/>
                <w:szCs w:val="20"/>
                <w:lang w:val="en-AU"/>
              </w:rPr>
              <w:t xml:space="preserve"> – 6.9 x 10</w:t>
            </w:r>
            <w:r w:rsidR="001A5BCC" w:rsidRPr="001A5BCC">
              <w:rPr>
                <w:rStyle w:val="None"/>
                <w:rFonts w:cs="Times New Roman"/>
                <w:kern w:val="16"/>
                <w:sz w:val="20"/>
                <w:szCs w:val="20"/>
                <w:vertAlign w:val="superscript"/>
                <w:lang w:val="en-AU"/>
              </w:rPr>
              <w:t>-</w:t>
            </w:r>
            <w:r w:rsidRPr="001D5951">
              <w:rPr>
                <w:rStyle w:val="None"/>
                <w:rFonts w:cs="Times New Roman"/>
                <w:kern w:val="16"/>
                <w:sz w:val="20"/>
                <w:szCs w:val="20"/>
                <w:vertAlign w:val="superscript"/>
                <w:lang w:val="en-AU"/>
              </w:rPr>
              <w:t>4</w:t>
            </w:r>
            <w:r w:rsidRPr="001D5951">
              <w:rPr>
                <w:rStyle w:val="None"/>
                <w:rFonts w:cs="Times New Roman"/>
                <w:kern w:val="16"/>
                <w:sz w:val="20"/>
                <w:szCs w:val="20"/>
                <w:lang w:val="en-AU"/>
              </w:rPr>
              <w:t>)</w:t>
            </w:r>
          </w:p>
        </w:tc>
        <w:tc>
          <w:tcPr>
            <w:tcW w:w="1196" w:type="dxa"/>
            <w:tcBorders>
              <w:top w:val="single" w:sz="4" w:space="0" w:color="000000"/>
              <w:left w:val="single" w:sz="4" w:space="0" w:color="BFBFBF"/>
              <w:bottom w:val="single" w:sz="4" w:space="0" w:color="BFBFBF"/>
              <w:right w:val="nil"/>
            </w:tcBorders>
            <w:shd w:val="clear" w:color="auto" w:fill="auto"/>
            <w:tcMar>
              <w:top w:w="80" w:type="dxa"/>
              <w:left w:w="80" w:type="dxa"/>
              <w:bottom w:w="80" w:type="dxa"/>
              <w:right w:w="80" w:type="dxa"/>
            </w:tcMar>
            <w:vAlign w:val="center"/>
          </w:tcPr>
          <w:p w14:paraId="47FA109F"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w:t>
            </w:r>
          </w:p>
        </w:tc>
      </w:tr>
      <w:tr w:rsidR="00EB52BF" w:rsidRPr="0045681F" w14:paraId="47A37AB3" w14:textId="77777777" w:rsidTr="00503BAB">
        <w:trPr>
          <w:trHeight w:val="450"/>
        </w:trPr>
        <w:tc>
          <w:tcPr>
            <w:tcW w:w="1168" w:type="dxa"/>
            <w:tcBorders>
              <w:top w:val="single" w:sz="4" w:space="0" w:color="BFBFBF"/>
              <w:left w:val="nil"/>
              <w:bottom w:val="single" w:sz="4" w:space="0" w:color="BFBFBF"/>
              <w:right w:val="single" w:sz="4" w:space="0" w:color="BFBFBF"/>
            </w:tcBorders>
            <w:shd w:val="clear" w:color="auto" w:fill="auto"/>
            <w:tcMar>
              <w:top w:w="80" w:type="dxa"/>
              <w:left w:w="80" w:type="dxa"/>
              <w:bottom w:w="80" w:type="dxa"/>
              <w:right w:w="80" w:type="dxa"/>
            </w:tcMar>
            <w:vAlign w:val="center"/>
          </w:tcPr>
          <w:p w14:paraId="7B5C6254" w14:textId="77777777" w:rsidR="00EB52BF" w:rsidRPr="001D5951" w:rsidRDefault="00EB52BF" w:rsidP="00503BAB">
            <w:pPr>
              <w:pStyle w:val="TableParagraph"/>
              <w:jc w:val="center"/>
              <w:rPr>
                <w:rFonts w:cs="Times New Roman"/>
                <w:lang w:val="en-AU"/>
              </w:rPr>
            </w:pPr>
            <w:r w:rsidRPr="001D5951">
              <w:rPr>
                <w:rStyle w:val="None"/>
                <w:rFonts w:cs="Times New Roman"/>
                <w:i/>
                <w:iCs/>
                <w:kern w:val="16"/>
                <w:lang w:val="en-AU"/>
              </w:rPr>
              <w:t>θ</w:t>
            </w:r>
          </w:p>
        </w:tc>
        <w:tc>
          <w:tcPr>
            <w:tcW w:w="382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22352867" w14:textId="77777777" w:rsidR="00EB52BF" w:rsidRPr="001D5951" w:rsidRDefault="00EB52BF" w:rsidP="00503BAB">
            <w:pPr>
              <w:pStyle w:val="TableParagraph"/>
              <w:rPr>
                <w:rFonts w:cs="Times New Roman"/>
                <w:lang w:val="en-AU"/>
              </w:rPr>
            </w:pPr>
            <w:r w:rsidRPr="001D5951">
              <w:rPr>
                <w:rStyle w:val="None"/>
                <w:rFonts w:cs="Times New Roman"/>
                <w:kern w:val="16"/>
                <w:lang w:val="en-AU"/>
              </w:rPr>
              <w:t>Multiplicative factor for colonisation susceptibility of infants</w:t>
            </w:r>
          </w:p>
        </w:tc>
        <w:tc>
          <w:tcPr>
            <w:tcW w:w="1418"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6C5BC2DE"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N/A</w:t>
            </w:r>
          </w:p>
        </w:tc>
        <w:tc>
          <w:tcPr>
            <w:tcW w:w="141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174FBB7B"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1.4 (0.6-4.4)</w:t>
            </w:r>
          </w:p>
        </w:tc>
        <w:tc>
          <w:tcPr>
            <w:tcW w:w="1196" w:type="dxa"/>
            <w:tcBorders>
              <w:top w:val="single" w:sz="4" w:space="0" w:color="BFBFBF"/>
              <w:left w:val="single" w:sz="4" w:space="0" w:color="BFBFBF"/>
              <w:bottom w:val="single" w:sz="4" w:space="0" w:color="BFBFBF"/>
              <w:right w:val="nil"/>
            </w:tcBorders>
            <w:shd w:val="clear" w:color="auto" w:fill="auto"/>
            <w:tcMar>
              <w:top w:w="80" w:type="dxa"/>
              <w:left w:w="80" w:type="dxa"/>
              <w:bottom w:w="80" w:type="dxa"/>
              <w:right w:w="80" w:type="dxa"/>
            </w:tcMar>
            <w:vAlign w:val="center"/>
          </w:tcPr>
          <w:p w14:paraId="68D828D6"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w:t>
            </w:r>
          </w:p>
        </w:tc>
      </w:tr>
      <w:tr w:rsidR="00EB52BF" w:rsidRPr="0045681F" w14:paraId="7AC8360E" w14:textId="77777777" w:rsidTr="00503BAB">
        <w:trPr>
          <w:trHeight w:val="230"/>
        </w:trPr>
        <w:tc>
          <w:tcPr>
            <w:tcW w:w="1168" w:type="dxa"/>
            <w:tcBorders>
              <w:top w:val="single" w:sz="4" w:space="0" w:color="BFBFBF"/>
              <w:left w:val="nil"/>
              <w:bottom w:val="single" w:sz="4" w:space="0" w:color="BFBFBF"/>
              <w:right w:val="single" w:sz="4" w:space="0" w:color="BFBFBF"/>
            </w:tcBorders>
            <w:shd w:val="clear" w:color="auto" w:fill="auto"/>
            <w:tcMar>
              <w:top w:w="80" w:type="dxa"/>
              <w:left w:w="80" w:type="dxa"/>
              <w:bottom w:w="80" w:type="dxa"/>
              <w:right w:w="80" w:type="dxa"/>
            </w:tcMar>
            <w:vAlign w:val="center"/>
          </w:tcPr>
          <w:p w14:paraId="65A70083" w14:textId="77777777" w:rsidR="00EB52BF" w:rsidRPr="001D5951" w:rsidRDefault="00EB52BF" w:rsidP="00503BAB">
            <w:pPr>
              <w:pStyle w:val="TableParagraph"/>
              <w:jc w:val="center"/>
              <w:rPr>
                <w:rFonts w:cs="Times New Roman"/>
                <w:lang w:val="en-AU"/>
              </w:rPr>
            </w:pPr>
            <w:proofErr w:type="spellStart"/>
            <w:r w:rsidRPr="001D5951">
              <w:rPr>
                <w:rStyle w:val="None"/>
                <w:rFonts w:cs="Times New Roman"/>
                <w:i/>
                <w:iCs/>
                <w:kern w:val="16"/>
                <w:lang w:val="en-AU"/>
              </w:rPr>
              <w:t>γ</w:t>
            </w:r>
            <w:r w:rsidRPr="001D5951">
              <w:rPr>
                <w:rStyle w:val="None"/>
                <w:rFonts w:cs="Times New Roman"/>
                <w:i/>
                <w:iCs/>
                <w:kern w:val="16"/>
                <w:vertAlign w:val="subscript"/>
                <w:lang w:val="en-AU"/>
              </w:rPr>
              <w:t>infant</w:t>
            </w:r>
            <w:proofErr w:type="spellEnd"/>
          </w:p>
        </w:tc>
        <w:tc>
          <w:tcPr>
            <w:tcW w:w="382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52CB9979" w14:textId="77777777" w:rsidR="00EB52BF" w:rsidRPr="001D5951" w:rsidRDefault="00EB52BF" w:rsidP="00503BAB">
            <w:pPr>
              <w:pStyle w:val="TableParagraph"/>
              <w:rPr>
                <w:rFonts w:cs="Times New Roman"/>
                <w:lang w:val="en-AU"/>
              </w:rPr>
            </w:pPr>
            <w:r w:rsidRPr="001D5951">
              <w:rPr>
                <w:rStyle w:val="None"/>
                <w:rFonts w:cs="Times New Roman"/>
                <w:kern w:val="16"/>
                <w:lang w:val="en-AU"/>
              </w:rPr>
              <w:t xml:space="preserve">Rate at which </w:t>
            </w:r>
            <w:r w:rsidRPr="001D5951">
              <w:rPr>
                <w:rStyle w:val="None"/>
                <w:rFonts w:cs="Times New Roman"/>
                <w:i/>
                <w:iCs/>
                <w:kern w:val="16"/>
                <w:lang w:val="en-AU"/>
              </w:rPr>
              <w:t xml:space="preserve">C. difficile </w:t>
            </w:r>
            <w:r w:rsidRPr="001D5951">
              <w:rPr>
                <w:rStyle w:val="None"/>
                <w:rFonts w:cs="Times New Roman"/>
                <w:kern w:val="16"/>
                <w:lang w:val="en-AU"/>
              </w:rPr>
              <w:t>is cleared in infants</w:t>
            </w:r>
          </w:p>
        </w:tc>
        <w:tc>
          <w:tcPr>
            <w:tcW w:w="2835" w:type="dxa"/>
            <w:gridSpan w:val="2"/>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67CBA8C5"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0.0020 (0.0020-0.0025)</w:t>
            </w:r>
          </w:p>
        </w:tc>
        <w:tc>
          <w:tcPr>
            <w:tcW w:w="1196" w:type="dxa"/>
            <w:tcBorders>
              <w:top w:val="single" w:sz="4" w:space="0" w:color="BFBFBF"/>
              <w:left w:val="single" w:sz="4" w:space="0" w:color="BFBFBF"/>
              <w:bottom w:val="single" w:sz="4" w:space="0" w:color="BFBFBF"/>
              <w:right w:val="nil"/>
            </w:tcBorders>
            <w:shd w:val="clear" w:color="auto" w:fill="auto"/>
            <w:tcMar>
              <w:top w:w="80" w:type="dxa"/>
              <w:left w:w="80" w:type="dxa"/>
              <w:bottom w:w="80" w:type="dxa"/>
              <w:right w:w="80" w:type="dxa"/>
            </w:tcMar>
            <w:vAlign w:val="center"/>
          </w:tcPr>
          <w:p w14:paraId="0B168A67"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w:t>
            </w:r>
          </w:p>
        </w:tc>
      </w:tr>
      <w:tr w:rsidR="00EB52BF" w:rsidRPr="0045681F" w14:paraId="0330936E" w14:textId="77777777" w:rsidTr="00503BAB">
        <w:trPr>
          <w:trHeight w:val="230"/>
        </w:trPr>
        <w:tc>
          <w:tcPr>
            <w:tcW w:w="1168" w:type="dxa"/>
            <w:tcBorders>
              <w:top w:val="single" w:sz="4" w:space="0" w:color="BFBFBF"/>
              <w:left w:val="nil"/>
              <w:bottom w:val="single" w:sz="4" w:space="0" w:color="BFBFBF"/>
              <w:right w:val="single" w:sz="4" w:space="0" w:color="BFBFBF"/>
            </w:tcBorders>
            <w:shd w:val="clear" w:color="auto" w:fill="auto"/>
            <w:tcMar>
              <w:top w:w="80" w:type="dxa"/>
              <w:left w:w="80" w:type="dxa"/>
              <w:bottom w:w="80" w:type="dxa"/>
              <w:right w:w="80" w:type="dxa"/>
            </w:tcMar>
            <w:vAlign w:val="center"/>
          </w:tcPr>
          <w:p w14:paraId="6DCEB078" w14:textId="77777777" w:rsidR="00EB52BF" w:rsidRPr="001D5951" w:rsidRDefault="00EB52BF" w:rsidP="00503BAB">
            <w:pPr>
              <w:pStyle w:val="TableParagraph"/>
              <w:jc w:val="center"/>
              <w:rPr>
                <w:rFonts w:cs="Times New Roman"/>
                <w:lang w:val="en-AU"/>
              </w:rPr>
            </w:pPr>
            <w:proofErr w:type="spellStart"/>
            <w:r w:rsidRPr="001D5951">
              <w:rPr>
                <w:rStyle w:val="None"/>
                <w:rFonts w:cs="Times New Roman"/>
                <w:i/>
                <w:iCs/>
                <w:kern w:val="16"/>
                <w:lang w:val="en-AU"/>
              </w:rPr>
              <w:t>p</w:t>
            </w:r>
            <w:r w:rsidRPr="001D5951">
              <w:rPr>
                <w:rStyle w:val="None"/>
                <w:rFonts w:cs="Times New Roman"/>
                <w:i/>
                <w:iCs/>
                <w:kern w:val="16"/>
                <w:vertAlign w:val="subscript"/>
                <w:lang w:val="en-AU"/>
              </w:rPr>
              <w:t>disturb</w:t>
            </w:r>
            <w:proofErr w:type="spellEnd"/>
          </w:p>
        </w:tc>
        <w:tc>
          <w:tcPr>
            <w:tcW w:w="382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2D54CF53" w14:textId="77777777" w:rsidR="00EB52BF" w:rsidRPr="001D5951" w:rsidRDefault="00EB52BF" w:rsidP="00503BAB">
            <w:pPr>
              <w:pStyle w:val="TableParagraph"/>
              <w:rPr>
                <w:rFonts w:cs="Times New Roman"/>
                <w:lang w:val="en-AU"/>
              </w:rPr>
            </w:pPr>
            <w:r w:rsidRPr="001D5951">
              <w:rPr>
                <w:rStyle w:val="None"/>
                <w:rFonts w:cs="Times New Roman"/>
                <w:kern w:val="16"/>
                <w:lang w:val="en-AU"/>
              </w:rPr>
              <w:t>Proportion of antibiotics that disturb gut flora</w:t>
            </w:r>
          </w:p>
        </w:tc>
        <w:tc>
          <w:tcPr>
            <w:tcW w:w="2835" w:type="dxa"/>
            <w:gridSpan w:val="2"/>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29A27400"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0.22 (0.12-0.48)</w:t>
            </w:r>
          </w:p>
        </w:tc>
        <w:tc>
          <w:tcPr>
            <w:tcW w:w="1196" w:type="dxa"/>
            <w:tcBorders>
              <w:top w:val="single" w:sz="4" w:space="0" w:color="BFBFBF"/>
              <w:left w:val="single" w:sz="4" w:space="0" w:color="BFBFBF"/>
              <w:bottom w:val="single" w:sz="4" w:space="0" w:color="BFBFBF"/>
              <w:right w:val="nil"/>
            </w:tcBorders>
            <w:shd w:val="clear" w:color="auto" w:fill="auto"/>
            <w:tcMar>
              <w:top w:w="80" w:type="dxa"/>
              <w:left w:w="80" w:type="dxa"/>
              <w:bottom w:w="80" w:type="dxa"/>
              <w:right w:w="80" w:type="dxa"/>
            </w:tcMar>
            <w:vAlign w:val="center"/>
          </w:tcPr>
          <w:p w14:paraId="5848FD77"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w:t>
            </w:r>
          </w:p>
        </w:tc>
      </w:tr>
      <w:tr w:rsidR="00EB52BF" w:rsidRPr="0045681F" w14:paraId="24EEBDE8" w14:textId="77777777" w:rsidTr="00503BAB">
        <w:trPr>
          <w:trHeight w:val="450"/>
        </w:trPr>
        <w:tc>
          <w:tcPr>
            <w:tcW w:w="1168" w:type="dxa"/>
            <w:tcBorders>
              <w:top w:val="single" w:sz="4" w:space="0" w:color="BFBFBF"/>
              <w:left w:val="nil"/>
              <w:bottom w:val="single" w:sz="4" w:space="0" w:color="BFBFBF"/>
              <w:right w:val="single" w:sz="4" w:space="0" w:color="BFBFBF"/>
            </w:tcBorders>
            <w:shd w:val="clear" w:color="auto" w:fill="auto"/>
            <w:tcMar>
              <w:top w:w="80" w:type="dxa"/>
              <w:left w:w="80" w:type="dxa"/>
              <w:bottom w:w="80" w:type="dxa"/>
              <w:right w:w="80" w:type="dxa"/>
            </w:tcMar>
            <w:vAlign w:val="center"/>
          </w:tcPr>
          <w:p w14:paraId="7994843A" w14:textId="77777777" w:rsidR="00EB52BF" w:rsidRPr="001D5951" w:rsidRDefault="00EB52BF" w:rsidP="00503BAB">
            <w:pPr>
              <w:pStyle w:val="TableParagraph"/>
              <w:jc w:val="center"/>
              <w:rPr>
                <w:rFonts w:cs="Times New Roman"/>
                <w:lang w:val="en-AU"/>
              </w:rPr>
            </w:pPr>
            <w:proofErr w:type="spellStart"/>
            <w:r w:rsidRPr="001D5951">
              <w:rPr>
                <w:rStyle w:val="None"/>
                <w:rFonts w:cs="Times New Roman"/>
                <w:i/>
                <w:iCs/>
                <w:kern w:val="16"/>
                <w:lang w:val="en-AU"/>
              </w:rPr>
              <w:t>p</w:t>
            </w:r>
            <w:r w:rsidRPr="001D5951">
              <w:rPr>
                <w:rStyle w:val="None"/>
                <w:rFonts w:cs="Times New Roman"/>
                <w:i/>
                <w:iCs/>
                <w:kern w:val="16"/>
                <w:vertAlign w:val="subscript"/>
                <w:lang w:val="en-AU"/>
              </w:rPr>
              <w:t>report</w:t>
            </w:r>
            <w:proofErr w:type="spellEnd"/>
          </w:p>
        </w:tc>
        <w:tc>
          <w:tcPr>
            <w:tcW w:w="382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51A197CA" w14:textId="77777777" w:rsidR="00EB52BF" w:rsidRPr="001D5951" w:rsidRDefault="00EB52BF" w:rsidP="00503BAB">
            <w:pPr>
              <w:pStyle w:val="TableParagraph"/>
              <w:rPr>
                <w:rFonts w:cs="Times New Roman"/>
                <w:lang w:val="en-AU"/>
              </w:rPr>
            </w:pPr>
            <w:r w:rsidRPr="001D5951">
              <w:rPr>
                <w:rStyle w:val="None"/>
                <w:rFonts w:cs="Times New Roman"/>
                <w:kern w:val="16"/>
                <w:lang w:val="en-AU"/>
              </w:rPr>
              <w:t xml:space="preserve">Proportion of all community-treated CDIs that are reported </w:t>
            </w:r>
          </w:p>
        </w:tc>
        <w:tc>
          <w:tcPr>
            <w:tcW w:w="2835" w:type="dxa"/>
            <w:gridSpan w:val="2"/>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3F48EE62"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0.63 (0.57-0.76)</w:t>
            </w:r>
          </w:p>
        </w:tc>
        <w:tc>
          <w:tcPr>
            <w:tcW w:w="1196" w:type="dxa"/>
            <w:tcBorders>
              <w:top w:val="single" w:sz="4" w:space="0" w:color="BFBFBF"/>
              <w:left w:val="single" w:sz="4" w:space="0" w:color="BFBFBF"/>
              <w:bottom w:val="single" w:sz="4" w:space="0" w:color="BFBFBF"/>
              <w:right w:val="nil"/>
            </w:tcBorders>
            <w:shd w:val="clear" w:color="auto" w:fill="auto"/>
            <w:tcMar>
              <w:top w:w="80" w:type="dxa"/>
              <w:left w:w="80" w:type="dxa"/>
              <w:bottom w:w="80" w:type="dxa"/>
              <w:right w:w="80" w:type="dxa"/>
            </w:tcMar>
            <w:vAlign w:val="center"/>
          </w:tcPr>
          <w:p w14:paraId="6BEE02CF"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w:t>
            </w:r>
          </w:p>
        </w:tc>
      </w:tr>
      <w:tr w:rsidR="00EB52BF" w:rsidRPr="0045681F" w14:paraId="5D253C61" w14:textId="77777777" w:rsidTr="00503BAB">
        <w:trPr>
          <w:trHeight w:val="670"/>
        </w:trPr>
        <w:tc>
          <w:tcPr>
            <w:tcW w:w="1168" w:type="dxa"/>
            <w:tcBorders>
              <w:top w:val="single" w:sz="4" w:space="0" w:color="BFBFBF"/>
              <w:left w:val="nil"/>
              <w:bottom w:val="single" w:sz="4" w:space="0" w:color="BFBFBF"/>
              <w:right w:val="single" w:sz="4" w:space="0" w:color="BFBFBF"/>
            </w:tcBorders>
            <w:shd w:val="clear" w:color="auto" w:fill="auto"/>
            <w:tcMar>
              <w:top w:w="80" w:type="dxa"/>
              <w:left w:w="80" w:type="dxa"/>
              <w:bottom w:w="80" w:type="dxa"/>
              <w:right w:w="80" w:type="dxa"/>
            </w:tcMar>
            <w:vAlign w:val="center"/>
          </w:tcPr>
          <w:p w14:paraId="75F826C0" w14:textId="77777777" w:rsidR="00EB52BF" w:rsidRPr="001D5951" w:rsidRDefault="00EB52BF" w:rsidP="00503BAB">
            <w:pPr>
              <w:pStyle w:val="TableParagraph"/>
              <w:jc w:val="center"/>
              <w:rPr>
                <w:rFonts w:cs="Times New Roman"/>
                <w:lang w:val="en-AU"/>
              </w:rPr>
            </w:pPr>
            <w:r w:rsidRPr="001D5951">
              <w:rPr>
                <w:rStyle w:val="None"/>
                <w:rFonts w:cs="Times New Roman"/>
                <w:i/>
                <w:iCs/>
                <w:kern w:val="16"/>
                <w:lang w:val="en-AU"/>
              </w:rPr>
              <w:t>β</w:t>
            </w:r>
            <w:r w:rsidRPr="001D5951">
              <w:rPr>
                <w:rStyle w:val="None"/>
                <w:rFonts w:cs="Times New Roman"/>
                <w:i/>
                <w:iCs/>
                <w:kern w:val="16"/>
                <w:vertAlign w:val="subscript"/>
                <w:lang w:val="en-AU"/>
              </w:rPr>
              <w:t>Disrupt</w:t>
            </w:r>
          </w:p>
        </w:tc>
        <w:tc>
          <w:tcPr>
            <w:tcW w:w="382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4BF379CD" w14:textId="77777777" w:rsidR="00EB52BF" w:rsidRPr="001D5951" w:rsidRDefault="00EB52BF" w:rsidP="00503BAB">
            <w:pPr>
              <w:pStyle w:val="TableParagraph"/>
              <w:rPr>
                <w:rFonts w:cs="Times New Roman"/>
                <w:lang w:val="en-AU"/>
              </w:rPr>
            </w:pPr>
            <w:r w:rsidRPr="001D5951">
              <w:rPr>
                <w:rStyle w:val="None"/>
                <w:rFonts w:cs="Times New Roman"/>
                <w:kern w:val="16"/>
                <w:lang w:val="en-AU"/>
              </w:rPr>
              <w:t>Transmission rate coefficient for colonised adults with disrupted gut flora (due to recent antibiotic exposure)</w:t>
            </w:r>
          </w:p>
        </w:tc>
        <w:tc>
          <w:tcPr>
            <w:tcW w:w="2835" w:type="dxa"/>
            <w:gridSpan w:val="2"/>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56949699"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0.128 (0.071-0.174)</w:t>
            </w:r>
          </w:p>
        </w:tc>
        <w:tc>
          <w:tcPr>
            <w:tcW w:w="1196" w:type="dxa"/>
            <w:tcBorders>
              <w:top w:val="single" w:sz="4" w:space="0" w:color="BFBFBF"/>
              <w:left w:val="single" w:sz="4" w:space="0" w:color="BFBFBF"/>
              <w:bottom w:val="single" w:sz="4" w:space="0" w:color="BFBFBF"/>
              <w:right w:val="nil"/>
            </w:tcBorders>
            <w:shd w:val="clear" w:color="auto" w:fill="auto"/>
            <w:tcMar>
              <w:top w:w="80" w:type="dxa"/>
              <w:left w:w="80" w:type="dxa"/>
              <w:bottom w:w="80" w:type="dxa"/>
              <w:right w:w="80" w:type="dxa"/>
            </w:tcMar>
            <w:vAlign w:val="center"/>
          </w:tcPr>
          <w:p w14:paraId="1D623F5B"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w:t>
            </w:r>
            <w:r w:rsidRPr="001D5951">
              <w:rPr>
                <w:rStyle w:val="None"/>
                <w:rFonts w:cs="Times New Roman"/>
                <w:lang w:val="en-AU"/>
              </w:rPr>
              <w:t>†</w:t>
            </w:r>
          </w:p>
        </w:tc>
      </w:tr>
      <w:tr w:rsidR="00EB52BF" w:rsidRPr="0045681F" w14:paraId="00A80D0C" w14:textId="77777777" w:rsidTr="00503BAB">
        <w:trPr>
          <w:trHeight w:val="670"/>
        </w:trPr>
        <w:tc>
          <w:tcPr>
            <w:tcW w:w="1168" w:type="dxa"/>
            <w:tcBorders>
              <w:top w:val="single" w:sz="4" w:space="0" w:color="BFBFBF"/>
              <w:left w:val="nil"/>
              <w:bottom w:val="single" w:sz="4" w:space="0" w:color="BFBFBF"/>
              <w:right w:val="single" w:sz="4" w:space="0" w:color="BFBFBF"/>
            </w:tcBorders>
            <w:shd w:val="clear" w:color="auto" w:fill="auto"/>
            <w:tcMar>
              <w:top w:w="80" w:type="dxa"/>
              <w:left w:w="80" w:type="dxa"/>
              <w:bottom w:w="80" w:type="dxa"/>
              <w:right w:w="80" w:type="dxa"/>
            </w:tcMar>
            <w:vAlign w:val="center"/>
          </w:tcPr>
          <w:p w14:paraId="788A4986" w14:textId="77777777" w:rsidR="00EB52BF" w:rsidRPr="001D5951" w:rsidRDefault="00EB52BF" w:rsidP="00503BAB">
            <w:pPr>
              <w:pStyle w:val="TableParagraph"/>
              <w:jc w:val="center"/>
              <w:rPr>
                <w:rFonts w:cs="Times New Roman"/>
                <w:lang w:val="en-AU"/>
              </w:rPr>
            </w:pPr>
            <w:r w:rsidRPr="001D5951">
              <w:rPr>
                <w:rStyle w:val="None"/>
                <w:rFonts w:cs="Times New Roman"/>
                <w:i/>
                <w:iCs/>
                <w:kern w:val="16"/>
                <w:lang w:val="en-AU"/>
              </w:rPr>
              <w:t>β</w:t>
            </w:r>
            <w:r w:rsidRPr="001D5951">
              <w:rPr>
                <w:rStyle w:val="None"/>
                <w:rFonts w:cs="Times New Roman"/>
                <w:i/>
                <w:iCs/>
                <w:kern w:val="16"/>
                <w:vertAlign w:val="subscript"/>
                <w:lang w:val="en-AU"/>
              </w:rPr>
              <w:t>Intact</w:t>
            </w:r>
          </w:p>
        </w:tc>
        <w:tc>
          <w:tcPr>
            <w:tcW w:w="382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6C339648" w14:textId="77777777" w:rsidR="00EB52BF" w:rsidRPr="001D5951" w:rsidRDefault="00EB52BF" w:rsidP="00503BAB">
            <w:pPr>
              <w:pStyle w:val="TableParagraph"/>
              <w:rPr>
                <w:rFonts w:cs="Times New Roman"/>
                <w:lang w:val="en-AU"/>
              </w:rPr>
            </w:pPr>
            <w:r w:rsidRPr="001D5951">
              <w:rPr>
                <w:rStyle w:val="None"/>
                <w:rFonts w:cs="Times New Roman"/>
                <w:kern w:val="16"/>
                <w:lang w:val="en-AU"/>
              </w:rPr>
              <w:t>Transmission rate coefficient for colonised adults with intact gut flora (no recent antibiotic exposure)</w:t>
            </w:r>
          </w:p>
        </w:tc>
        <w:tc>
          <w:tcPr>
            <w:tcW w:w="2835" w:type="dxa"/>
            <w:gridSpan w:val="2"/>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12194B0F"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0.019 (0.001-0.026)</w:t>
            </w:r>
          </w:p>
        </w:tc>
        <w:tc>
          <w:tcPr>
            <w:tcW w:w="1196" w:type="dxa"/>
            <w:tcBorders>
              <w:top w:val="single" w:sz="4" w:space="0" w:color="BFBFBF"/>
              <w:left w:val="single" w:sz="4" w:space="0" w:color="BFBFBF"/>
              <w:bottom w:val="single" w:sz="4" w:space="0" w:color="BFBFBF"/>
              <w:right w:val="nil"/>
            </w:tcBorders>
            <w:shd w:val="clear" w:color="auto" w:fill="auto"/>
            <w:tcMar>
              <w:top w:w="80" w:type="dxa"/>
              <w:left w:w="80" w:type="dxa"/>
              <w:bottom w:w="80" w:type="dxa"/>
              <w:right w:w="80" w:type="dxa"/>
            </w:tcMar>
            <w:vAlign w:val="center"/>
          </w:tcPr>
          <w:p w14:paraId="6F613E83"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w:t>
            </w:r>
            <w:r w:rsidRPr="001D5951">
              <w:rPr>
                <w:rStyle w:val="None"/>
                <w:rFonts w:cs="Times New Roman"/>
                <w:lang w:val="en-AU"/>
              </w:rPr>
              <w:t>†</w:t>
            </w:r>
          </w:p>
        </w:tc>
      </w:tr>
      <w:tr w:rsidR="00EB52BF" w:rsidRPr="0045681F" w14:paraId="328358C5" w14:textId="77777777" w:rsidTr="00503BAB">
        <w:trPr>
          <w:trHeight w:val="450"/>
        </w:trPr>
        <w:tc>
          <w:tcPr>
            <w:tcW w:w="1168" w:type="dxa"/>
            <w:tcBorders>
              <w:top w:val="single" w:sz="4" w:space="0" w:color="BFBFBF"/>
              <w:left w:val="nil"/>
              <w:bottom w:val="single" w:sz="4" w:space="0" w:color="000000"/>
              <w:right w:val="single" w:sz="4" w:space="0" w:color="BFBFBF"/>
            </w:tcBorders>
            <w:shd w:val="clear" w:color="auto" w:fill="auto"/>
            <w:tcMar>
              <w:top w:w="80" w:type="dxa"/>
              <w:left w:w="80" w:type="dxa"/>
              <w:bottom w:w="80" w:type="dxa"/>
              <w:right w:w="80" w:type="dxa"/>
            </w:tcMar>
            <w:vAlign w:val="center"/>
          </w:tcPr>
          <w:p w14:paraId="4A0936BD" w14:textId="77777777" w:rsidR="00EB52BF" w:rsidRPr="001D5951" w:rsidRDefault="00EB52BF" w:rsidP="00503BAB">
            <w:pPr>
              <w:pStyle w:val="TableParagraph"/>
              <w:jc w:val="center"/>
              <w:rPr>
                <w:rFonts w:cs="Times New Roman"/>
                <w:lang w:val="en-AU"/>
              </w:rPr>
            </w:pPr>
            <w:r w:rsidRPr="001D5951">
              <w:rPr>
                <w:rStyle w:val="None"/>
                <w:rFonts w:cs="Times New Roman"/>
                <w:i/>
                <w:iCs/>
                <w:kern w:val="16"/>
                <w:lang w:val="en-AU"/>
              </w:rPr>
              <w:t>β</w:t>
            </w:r>
            <w:r w:rsidRPr="001D5951">
              <w:rPr>
                <w:rStyle w:val="None"/>
                <w:rFonts w:cs="Times New Roman"/>
                <w:i/>
                <w:iCs/>
                <w:kern w:val="16"/>
                <w:vertAlign w:val="subscript"/>
                <w:lang w:val="en-AU"/>
              </w:rPr>
              <w:t>infant</w:t>
            </w:r>
          </w:p>
        </w:tc>
        <w:tc>
          <w:tcPr>
            <w:tcW w:w="3827" w:type="dxa"/>
            <w:tcBorders>
              <w:top w:val="single" w:sz="4" w:space="0" w:color="BFBFBF"/>
              <w:left w:val="single" w:sz="4" w:space="0" w:color="BFBFBF"/>
              <w:bottom w:val="single" w:sz="4" w:space="0" w:color="000000"/>
              <w:right w:val="single" w:sz="4" w:space="0" w:color="BFBFBF"/>
            </w:tcBorders>
            <w:shd w:val="clear" w:color="auto" w:fill="auto"/>
            <w:tcMar>
              <w:top w:w="80" w:type="dxa"/>
              <w:left w:w="80" w:type="dxa"/>
              <w:bottom w:w="80" w:type="dxa"/>
              <w:right w:w="80" w:type="dxa"/>
            </w:tcMar>
            <w:vAlign w:val="center"/>
          </w:tcPr>
          <w:p w14:paraId="5E85BF09" w14:textId="77777777" w:rsidR="00EB52BF" w:rsidRPr="001D5951" w:rsidRDefault="00EB52BF" w:rsidP="00503BAB">
            <w:pPr>
              <w:pStyle w:val="TableParagraph"/>
              <w:rPr>
                <w:rFonts w:cs="Times New Roman"/>
                <w:lang w:val="en-AU"/>
              </w:rPr>
            </w:pPr>
            <w:r w:rsidRPr="001D5951">
              <w:rPr>
                <w:rStyle w:val="None"/>
                <w:rFonts w:cs="Times New Roman"/>
                <w:kern w:val="16"/>
                <w:lang w:val="en-AU"/>
              </w:rPr>
              <w:t>Transmission rate coefficient from infants</w:t>
            </w:r>
          </w:p>
        </w:tc>
        <w:tc>
          <w:tcPr>
            <w:tcW w:w="1418" w:type="dxa"/>
            <w:tcBorders>
              <w:top w:val="single" w:sz="4" w:space="0" w:color="BFBFBF"/>
              <w:left w:val="single" w:sz="4" w:space="0" w:color="BFBFBF"/>
              <w:bottom w:val="single" w:sz="4" w:space="0" w:color="000000"/>
              <w:right w:val="single" w:sz="4" w:space="0" w:color="BFBFBF"/>
            </w:tcBorders>
            <w:shd w:val="clear" w:color="auto" w:fill="auto"/>
            <w:tcMar>
              <w:top w:w="80" w:type="dxa"/>
              <w:left w:w="80" w:type="dxa"/>
              <w:bottom w:w="80" w:type="dxa"/>
              <w:right w:w="80" w:type="dxa"/>
            </w:tcMar>
            <w:vAlign w:val="center"/>
          </w:tcPr>
          <w:p w14:paraId="4BFEA16C"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N/A</w:t>
            </w:r>
          </w:p>
        </w:tc>
        <w:tc>
          <w:tcPr>
            <w:tcW w:w="1417" w:type="dxa"/>
            <w:tcBorders>
              <w:top w:val="single" w:sz="4" w:space="0" w:color="BFBFBF"/>
              <w:left w:val="single" w:sz="4" w:space="0" w:color="BFBFBF"/>
              <w:bottom w:val="single" w:sz="4" w:space="0" w:color="000000"/>
              <w:right w:val="single" w:sz="4" w:space="0" w:color="BFBFBF"/>
            </w:tcBorders>
            <w:shd w:val="clear" w:color="auto" w:fill="auto"/>
            <w:tcMar>
              <w:top w:w="80" w:type="dxa"/>
              <w:left w:w="80" w:type="dxa"/>
              <w:bottom w:w="80" w:type="dxa"/>
              <w:right w:w="80" w:type="dxa"/>
            </w:tcMar>
            <w:vAlign w:val="center"/>
          </w:tcPr>
          <w:p w14:paraId="02838E52"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0.064 (0-0.174)</w:t>
            </w:r>
          </w:p>
        </w:tc>
        <w:tc>
          <w:tcPr>
            <w:tcW w:w="1196" w:type="dxa"/>
            <w:tcBorders>
              <w:top w:val="single" w:sz="4" w:space="0" w:color="BFBFBF"/>
              <w:left w:val="single" w:sz="4" w:space="0" w:color="BFBFBF"/>
              <w:bottom w:val="single" w:sz="4" w:space="0" w:color="000000"/>
              <w:right w:val="nil"/>
            </w:tcBorders>
            <w:shd w:val="clear" w:color="auto" w:fill="auto"/>
            <w:tcMar>
              <w:top w:w="80" w:type="dxa"/>
              <w:left w:w="80" w:type="dxa"/>
              <w:bottom w:w="80" w:type="dxa"/>
              <w:right w:w="80" w:type="dxa"/>
            </w:tcMar>
            <w:vAlign w:val="center"/>
          </w:tcPr>
          <w:p w14:paraId="0BF78A5A"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w:t>
            </w:r>
            <w:r w:rsidRPr="001D5951">
              <w:rPr>
                <w:rStyle w:val="None"/>
                <w:rFonts w:cs="Times New Roman"/>
                <w:lang w:val="en-AU"/>
              </w:rPr>
              <w:t>†</w:t>
            </w:r>
          </w:p>
        </w:tc>
      </w:tr>
      <w:tr w:rsidR="00EB52BF" w:rsidRPr="0045681F" w14:paraId="2CC3E347" w14:textId="77777777" w:rsidTr="00503BAB">
        <w:trPr>
          <w:trHeight w:val="230"/>
        </w:trPr>
        <w:tc>
          <w:tcPr>
            <w:tcW w:w="1168" w:type="dxa"/>
            <w:tcBorders>
              <w:top w:val="single" w:sz="4" w:space="0" w:color="000000"/>
              <w:left w:val="nil"/>
              <w:bottom w:val="single" w:sz="4" w:space="0" w:color="BFBFBF"/>
              <w:right w:val="single" w:sz="4" w:space="0" w:color="BFBFBF"/>
            </w:tcBorders>
            <w:shd w:val="clear" w:color="auto" w:fill="auto"/>
            <w:tcMar>
              <w:top w:w="80" w:type="dxa"/>
              <w:left w:w="80" w:type="dxa"/>
              <w:bottom w:w="80" w:type="dxa"/>
              <w:right w:w="80" w:type="dxa"/>
            </w:tcMar>
            <w:vAlign w:val="center"/>
          </w:tcPr>
          <w:p w14:paraId="73F13F44" w14:textId="77777777" w:rsidR="00EB52BF" w:rsidRPr="001D5951" w:rsidRDefault="00EB52BF" w:rsidP="00503BAB">
            <w:pPr>
              <w:pStyle w:val="TableParagraph"/>
              <w:jc w:val="center"/>
              <w:rPr>
                <w:rFonts w:cs="Times New Roman"/>
                <w:lang w:val="en-AU"/>
              </w:rPr>
            </w:pPr>
            <w:r w:rsidRPr="001D5951">
              <w:rPr>
                <w:rStyle w:val="None"/>
                <w:rFonts w:cs="Times New Roman"/>
                <w:i/>
                <w:iCs/>
                <w:kern w:val="16"/>
                <w:lang w:val="en-AU"/>
              </w:rPr>
              <w:t>ν / κ</w:t>
            </w:r>
          </w:p>
        </w:tc>
        <w:tc>
          <w:tcPr>
            <w:tcW w:w="3827" w:type="dxa"/>
            <w:tcBorders>
              <w:top w:val="single" w:sz="4" w:space="0" w:color="000000"/>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9151020" w14:textId="77777777" w:rsidR="00EB52BF" w:rsidRPr="001D5951" w:rsidRDefault="00EB52BF" w:rsidP="00503BAB">
            <w:pPr>
              <w:pStyle w:val="TableParagraph"/>
              <w:rPr>
                <w:rFonts w:cs="Times New Roman"/>
                <w:lang w:val="en-AU"/>
              </w:rPr>
            </w:pPr>
            <w:r w:rsidRPr="001D5951">
              <w:rPr>
                <w:rStyle w:val="None"/>
                <w:rFonts w:cs="Times New Roman"/>
                <w:kern w:val="16"/>
                <w:lang w:val="en-AU"/>
              </w:rPr>
              <w:t>Hospital admission/discharge rate</w:t>
            </w:r>
          </w:p>
        </w:tc>
        <w:tc>
          <w:tcPr>
            <w:tcW w:w="1418" w:type="dxa"/>
            <w:tcBorders>
              <w:top w:val="single" w:sz="4" w:space="0" w:color="000000"/>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818539A"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2.40 × 10</w:t>
            </w:r>
            <w:r w:rsidRPr="001D5951">
              <w:rPr>
                <w:rStyle w:val="None"/>
                <w:rFonts w:cs="Times New Roman"/>
                <w:kern w:val="16"/>
                <w:vertAlign w:val="superscript"/>
                <w:lang w:val="en-AU"/>
              </w:rPr>
              <w:t>-4</w:t>
            </w:r>
          </w:p>
        </w:tc>
        <w:tc>
          <w:tcPr>
            <w:tcW w:w="1417" w:type="dxa"/>
            <w:tcBorders>
              <w:top w:val="single" w:sz="4" w:space="0" w:color="000000"/>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284BE25C"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0.241</w:t>
            </w:r>
          </w:p>
        </w:tc>
        <w:tc>
          <w:tcPr>
            <w:tcW w:w="1196" w:type="dxa"/>
            <w:tcBorders>
              <w:top w:val="single" w:sz="4" w:space="0" w:color="000000"/>
              <w:left w:val="single" w:sz="4" w:space="0" w:color="BFBFBF"/>
              <w:bottom w:val="single" w:sz="4" w:space="0" w:color="BFBFBF"/>
              <w:right w:val="nil"/>
            </w:tcBorders>
            <w:shd w:val="clear" w:color="auto" w:fill="auto"/>
            <w:tcMar>
              <w:top w:w="80" w:type="dxa"/>
              <w:left w:w="80" w:type="dxa"/>
              <w:bottom w:w="80" w:type="dxa"/>
              <w:right w:w="80" w:type="dxa"/>
            </w:tcMar>
            <w:vAlign w:val="center"/>
          </w:tcPr>
          <w:p w14:paraId="0237ABBB" w14:textId="08201218" w:rsidR="00EB52BF" w:rsidRPr="001D5951" w:rsidRDefault="00EB52BF" w:rsidP="008052D2">
            <w:pPr>
              <w:pStyle w:val="TableParagraph"/>
              <w:jc w:val="center"/>
              <w:rPr>
                <w:rFonts w:cs="Times New Roman"/>
                <w:lang w:val="en-AU"/>
              </w:rPr>
            </w:pPr>
            <w:r w:rsidRPr="001D5951">
              <w:rPr>
                <w:rStyle w:val="None"/>
                <w:rFonts w:cs="Times New Roman"/>
                <w:kern w:val="16"/>
                <w:vertAlign w:val="superscript"/>
                <w:lang w:val="en-AU"/>
              </w:rPr>
              <w:fldChar w:fldCharType="begin" w:fldLock="1"/>
            </w:r>
            <w:r w:rsidR="00786612">
              <w:rPr>
                <w:rStyle w:val="None"/>
                <w:rFonts w:cs="Times New Roman"/>
                <w:kern w:val="16"/>
                <w:vertAlign w:val="superscript"/>
                <w:lang w:val="en-AU"/>
              </w:rPr>
              <w:instrText>ADDIN CSL_CITATION {"citationItems":[{"id":"ITEM-1","itemData":{"abstract":"This Statistical Brief presents data from the Healthcare Cost and Utilization Project (HCUP) on characteristics of inpatient stays in U.S. community hospitals in 2012. The distribution of type of hospital stay (surgical, medical, and maternal or neonatal) is presented for different characteristics (patient age, primary payer, and hospital region). Changes in hospital utilization and costs from 2003 to 2012 are provided, along with changes in hospital utilization by primary payer and patient age. All differences between mean estimates noted in the text are statistically significant at the 0.0005 level or better. Differences between proportions noted in the text differ by at least 10 percent.","author":[{"dropping-particle":"","family":"Weiss (Truven Health Analytics)","given":"Audrey J","non-dropping-particle":"","parse-names":false,"suffix":""},{"dropping-particle":"","family":"Elixhauser (AHRQ)","given":"Anne","non-dropping-particle":"","parse-names":false,"suffix":""}],"container-title":"Healthcare Cost and Utilization Project (HCUP) Statistical Briefs","id":"ITEM-1","issued":{"date-parts":[["2014"]]},"publisher":"Agency for Healthcare Research and Quality","publisher-place":"Rockville, MD","title":"Overview of Hospital Stays in the United States, 2012: Statistical Brief #180","type":"book"},"uris":["http://www.mendeley.com/documents/?uuid=65335cd7-c692-4b03-8f82-ab0dc4d6cfbe"]}],"mendeley":{"formattedCitation":"[4]","plainTextFormattedCitation":"[4]","previouslyFormattedCitation":"[4]"},"properties":{"noteIndex":0},"schema":"https://github.com/citation-style-language/schema/raw/master/csl-citation.json"}</w:instrText>
            </w:r>
            <w:r w:rsidRPr="001D5951">
              <w:rPr>
                <w:rStyle w:val="None"/>
                <w:rFonts w:cs="Times New Roman"/>
                <w:kern w:val="16"/>
                <w:vertAlign w:val="superscript"/>
                <w:lang w:val="en-AU"/>
              </w:rPr>
              <w:fldChar w:fldCharType="separate"/>
            </w:r>
            <w:r w:rsidR="00B80518" w:rsidRPr="00B80518">
              <w:rPr>
                <w:rStyle w:val="None"/>
                <w:rFonts w:cs="Times New Roman"/>
                <w:noProof/>
                <w:kern w:val="16"/>
                <w:lang w:val="en-AU"/>
              </w:rPr>
              <w:t>[4]</w:t>
            </w:r>
            <w:r w:rsidRPr="001D5951">
              <w:rPr>
                <w:rStyle w:val="None"/>
                <w:rFonts w:cs="Times New Roman"/>
                <w:kern w:val="16"/>
                <w:vertAlign w:val="superscript"/>
                <w:lang w:val="en-AU"/>
              </w:rPr>
              <w:fldChar w:fldCharType="end"/>
            </w:r>
          </w:p>
        </w:tc>
      </w:tr>
      <w:tr w:rsidR="00EB52BF" w:rsidRPr="0045681F" w14:paraId="7244E761" w14:textId="77777777" w:rsidTr="00503BAB">
        <w:trPr>
          <w:trHeight w:val="230"/>
        </w:trPr>
        <w:tc>
          <w:tcPr>
            <w:tcW w:w="1168" w:type="dxa"/>
            <w:tcBorders>
              <w:top w:val="single" w:sz="4" w:space="0" w:color="BFBFBF"/>
              <w:left w:val="nil"/>
              <w:bottom w:val="single" w:sz="4" w:space="0" w:color="BFBFBF"/>
              <w:right w:val="single" w:sz="4" w:space="0" w:color="BFBFBF"/>
            </w:tcBorders>
            <w:shd w:val="clear" w:color="auto" w:fill="auto"/>
            <w:tcMar>
              <w:top w:w="80" w:type="dxa"/>
              <w:left w:w="80" w:type="dxa"/>
              <w:bottom w:w="80" w:type="dxa"/>
              <w:right w:w="80" w:type="dxa"/>
            </w:tcMar>
            <w:vAlign w:val="center"/>
          </w:tcPr>
          <w:p w14:paraId="71F2D310" w14:textId="77777777" w:rsidR="00EB52BF" w:rsidRPr="001D5951" w:rsidRDefault="00EB52BF" w:rsidP="00503BAB">
            <w:pPr>
              <w:pStyle w:val="TableParagraph"/>
              <w:jc w:val="center"/>
              <w:rPr>
                <w:rFonts w:cs="Times New Roman"/>
                <w:lang w:val="en-AU"/>
              </w:rPr>
            </w:pPr>
            <w:proofErr w:type="spellStart"/>
            <w:r w:rsidRPr="001D5951">
              <w:rPr>
                <w:rStyle w:val="None"/>
                <w:rFonts w:cs="Times New Roman"/>
                <w:i/>
                <w:iCs/>
                <w:kern w:val="16"/>
                <w:lang w:val="en-AU"/>
              </w:rPr>
              <w:t>ν</w:t>
            </w:r>
            <w:r w:rsidRPr="001D5951">
              <w:rPr>
                <w:rStyle w:val="None"/>
                <w:rFonts w:cs="Times New Roman"/>
                <w:i/>
                <w:iCs/>
                <w:kern w:val="16"/>
                <w:vertAlign w:val="subscript"/>
                <w:lang w:val="en-AU"/>
              </w:rPr>
              <w:t>U</w:t>
            </w:r>
            <w:proofErr w:type="spellEnd"/>
            <w:r w:rsidRPr="001D5951">
              <w:rPr>
                <w:rStyle w:val="None"/>
                <w:rFonts w:cs="Times New Roman"/>
                <w:i/>
                <w:iCs/>
                <w:kern w:val="16"/>
                <w:lang w:val="en-AU"/>
              </w:rPr>
              <w:t xml:space="preserve"> / </w:t>
            </w:r>
            <w:proofErr w:type="spellStart"/>
            <w:r w:rsidRPr="001D5951">
              <w:rPr>
                <w:rStyle w:val="None"/>
                <w:rFonts w:cs="Times New Roman"/>
                <w:i/>
                <w:iCs/>
                <w:kern w:val="16"/>
                <w:lang w:val="en-AU"/>
              </w:rPr>
              <w:t>κ</w:t>
            </w:r>
            <w:r w:rsidRPr="001D5951">
              <w:rPr>
                <w:rStyle w:val="None"/>
                <w:rFonts w:cs="Times New Roman"/>
                <w:i/>
                <w:iCs/>
                <w:kern w:val="16"/>
                <w:vertAlign w:val="subscript"/>
                <w:lang w:val="en-AU"/>
              </w:rPr>
              <w:t>U</w:t>
            </w:r>
            <w:proofErr w:type="spellEnd"/>
          </w:p>
        </w:tc>
        <w:tc>
          <w:tcPr>
            <w:tcW w:w="382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B980D78" w14:textId="77777777" w:rsidR="00EB52BF" w:rsidRPr="001D5951" w:rsidRDefault="00EB52BF" w:rsidP="00503BAB">
            <w:pPr>
              <w:pStyle w:val="TableParagraph"/>
              <w:rPr>
                <w:rFonts w:cs="Times New Roman"/>
                <w:lang w:val="en-AU"/>
              </w:rPr>
            </w:pPr>
            <w:r w:rsidRPr="001D5951">
              <w:rPr>
                <w:rStyle w:val="None"/>
                <w:rFonts w:cs="Times New Roman"/>
                <w:kern w:val="16"/>
                <w:lang w:val="en-AU"/>
              </w:rPr>
              <w:t>Hospital admission/discharge rate for elderly</w:t>
            </w:r>
          </w:p>
        </w:tc>
        <w:tc>
          <w:tcPr>
            <w:tcW w:w="1418"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6349636C"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8.06 × 10</w:t>
            </w:r>
            <w:r w:rsidRPr="001D5951">
              <w:rPr>
                <w:rStyle w:val="None"/>
                <w:rFonts w:cs="Times New Roman"/>
                <w:kern w:val="16"/>
                <w:vertAlign w:val="superscript"/>
                <w:lang w:val="en-AU"/>
              </w:rPr>
              <w:t>-4</w:t>
            </w:r>
          </w:p>
        </w:tc>
        <w:tc>
          <w:tcPr>
            <w:tcW w:w="1417"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1178143B"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0.192</w:t>
            </w:r>
          </w:p>
        </w:tc>
        <w:tc>
          <w:tcPr>
            <w:tcW w:w="1196" w:type="dxa"/>
            <w:tcBorders>
              <w:top w:val="single" w:sz="4" w:space="0" w:color="BFBFBF"/>
              <w:left w:val="single" w:sz="4" w:space="0" w:color="BFBFBF"/>
              <w:bottom w:val="single" w:sz="4" w:space="0" w:color="BFBFBF"/>
              <w:right w:val="nil"/>
            </w:tcBorders>
            <w:shd w:val="clear" w:color="auto" w:fill="auto"/>
            <w:tcMar>
              <w:top w:w="80" w:type="dxa"/>
              <w:left w:w="80" w:type="dxa"/>
              <w:bottom w:w="80" w:type="dxa"/>
              <w:right w:w="80" w:type="dxa"/>
            </w:tcMar>
            <w:vAlign w:val="center"/>
          </w:tcPr>
          <w:p w14:paraId="46ACE7C9" w14:textId="6BD9A203" w:rsidR="00EB52BF" w:rsidRPr="001D5951" w:rsidRDefault="00EB52BF" w:rsidP="008052D2">
            <w:pPr>
              <w:pStyle w:val="TableParagraph"/>
              <w:jc w:val="center"/>
              <w:rPr>
                <w:rFonts w:cs="Times New Roman"/>
                <w:lang w:val="en-AU"/>
              </w:rPr>
            </w:pPr>
            <w:r w:rsidRPr="001D5951">
              <w:rPr>
                <w:rStyle w:val="None"/>
                <w:rFonts w:cs="Times New Roman"/>
                <w:kern w:val="16"/>
                <w:vertAlign w:val="superscript"/>
                <w:lang w:val="en-AU"/>
              </w:rPr>
              <w:fldChar w:fldCharType="begin" w:fldLock="1"/>
            </w:r>
            <w:r w:rsidR="00786612">
              <w:rPr>
                <w:rStyle w:val="None"/>
                <w:rFonts w:cs="Times New Roman"/>
                <w:kern w:val="16"/>
                <w:vertAlign w:val="superscript"/>
                <w:lang w:val="en-AU"/>
              </w:rPr>
              <w:instrText>ADDIN CSL_CITATION {"citationItems":[{"id":"ITEM-1","itemData":{"abstract":"This Statistical Brief presents data from the Healthcare Cost and Utilization Project (HCUP) on characteristics of inpatient stays in U.S. community hospitals in 2012. The distribution of type of hospital stay (surgical, medical, and maternal or neonatal) is presented for different characteristics (patient age, primary payer, and hospital region). Changes in hospital utilization and costs from 2003 to 2012 are provided, along with changes in hospital utilization by primary payer and patient age. All differences between mean estimates noted in the text are statistically significant at the 0.0005 level or better. Differences between proportions noted in the text differ by at least 10 percent.","author":[{"dropping-particle":"","family":"Weiss (Truven Health Analytics)","given":"Audrey J","non-dropping-particle":"","parse-names":false,"suffix":""},{"dropping-particle":"","family":"Elixhauser (AHRQ)","given":"Anne","non-dropping-particle":"","parse-names":false,"suffix":""}],"container-title":"Healthcare Cost and Utilization Project (HCUP) Statistical Briefs","id":"ITEM-1","issued":{"date-parts":[["2014"]]},"publisher":"Agency for Healthcare Research and Quality","publisher-place":"Rockville, MD","title":"Overview of Hospital Stays in the United States, 2012: Statistical Brief #180","type":"book"},"uris":["http://www.mendeley.com/documents/?uuid=65335cd7-c692-4b03-8f82-ab0dc4d6cfbe"]}],"mendeley":{"formattedCitation":"[4]","plainTextFormattedCitation":"[4]","previouslyFormattedCitation":"[4]"},"properties":{"noteIndex":0},"schema":"https://github.com/citation-style-language/schema/raw/master/csl-citation.json"}</w:instrText>
            </w:r>
            <w:r w:rsidRPr="001D5951">
              <w:rPr>
                <w:rStyle w:val="None"/>
                <w:rFonts w:cs="Times New Roman"/>
                <w:kern w:val="16"/>
                <w:vertAlign w:val="superscript"/>
                <w:lang w:val="en-AU"/>
              </w:rPr>
              <w:fldChar w:fldCharType="separate"/>
            </w:r>
            <w:r w:rsidR="00B80518" w:rsidRPr="00B80518">
              <w:rPr>
                <w:rStyle w:val="None"/>
                <w:rFonts w:cs="Times New Roman"/>
                <w:noProof/>
                <w:kern w:val="16"/>
                <w:lang w:val="en-AU"/>
              </w:rPr>
              <w:t>[4]</w:t>
            </w:r>
            <w:r w:rsidRPr="001D5951">
              <w:rPr>
                <w:rStyle w:val="None"/>
                <w:rFonts w:cs="Times New Roman"/>
                <w:kern w:val="16"/>
                <w:vertAlign w:val="superscript"/>
                <w:lang w:val="en-AU"/>
              </w:rPr>
              <w:fldChar w:fldCharType="end"/>
            </w:r>
          </w:p>
        </w:tc>
      </w:tr>
      <w:tr w:rsidR="00EB52BF" w:rsidRPr="0045681F" w14:paraId="362EC4BF" w14:textId="77777777" w:rsidTr="00503BAB">
        <w:trPr>
          <w:trHeight w:val="675"/>
        </w:trPr>
        <w:tc>
          <w:tcPr>
            <w:tcW w:w="1168" w:type="dxa"/>
            <w:tcBorders>
              <w:top w:val="single" w:sz="4" w:space="0" w:color="BFBFBF"/>
              <w:left w:val="nil"/>
              <w:bottom w:val="nil"/>
              <w:right w:val="single" w:sz="4" w:space="0" w:color="BFBFBF"/>
            </w:tcBorders>
            <w:shd w:val="clear" w:color="auto" w:fill="auto"/>
            <w:tcMar>
              <w:top w:w="80" w:type="dxa"/>
              <w:left w:w="80" w:type="dxa"/>
              <w:bottom w:w="80" w:type="dxa"/>
              <w:right w:w="80" w:type="dxa"/>
            </w:tcMar>
            <w:vAlign w:val="center"/>
          </w:tcPr>
          <w:p w14:paraId="586D5A84" w14:textId="77777777" w:rsidR="00EB52BF" w:rsidRPr="001D5951" w:rsidRDefault="00EB52BF" w:rsidP="00503BAB">
            <w:pPr>
              <w:pStyle w:val="TableParagraph"/>
              <w:jc w:val="center"/>
              <w:rPr>
                <w:rFonts w:cs="Times New Roman"/>
                <w:lang w:val="en-AU"/>
              </w:rPr>
            </w:pPr>
            <w:proofErr w:type="spellStart"/>
            <w:r w:rsidRPr="001D5951">
              <w:rPr>
                <w:rStyle w:val="None"/>
                <w:rFonts w:cs="Times New Roman"/>
                <w:i/>
                <w:iCs/>
                <w:kern w:val="16"/>
                <w:lang w:val="en-AU"/>
              </w:rPr>
              <w:t>ν</w:t>
            </w:r>
            <w:r w:rsidRPr="001D5951">
              <w:rPr>
                <w:rStyle w:val="None"/>
                <w:rFonts w:cs="Times New Roman"/>
                <w:i/>
                <w:iCs/>
                <w:kern w:val="16"/>
                <w:vertAlign w:val="subscript"/>
                <w:lang w:val="en-AU"/>
              </w:rPr>
              <w:t>CDI</w:t>
            </w:r>
            <w:proofErr w:type="spellEnd"/>
            <w:r w:rsidRPr="001D5951">
              <w:rPr>
                <w:rStyle w:val="None"/>
                <w:rFonts w:cs="Times New Roman"/>
                <w:i/>
                <w:iCs/>
                <w:kern w:val="16"/>
                <w:lang w:val="en-AU"/>
              </w:rPr>
              <w:t xml:space="preserve"> / </w:t>
            </w:r>
            <w:proofErr w:type="spellStart"/>
            <w:r w:rsidRPr="001D5951">
              <w:rPr>
                <w:rStyle w:val="None"/>
                <w:rFonts w:cs="Times New Roman"/>
                <w:i/>
                <w:iCs/>
                <w:kern w:val="16"/>
                <w:lang w:val="en-AU"/>
              </w:rPr>
              <w:t>κ</w:t>
            </w:r>
            <w:r w:rsidRPr="001D5951">
              <w:rPr>
                <w:rStyle w:val="None"/>
                <w:rFonts w:cs="Times New Roman"/>
                <w:i/>
                <w:iCs/>
                <w:kern w:val="16"/>
                <w:vertAlign w:val="subscript"/>
                <w:lang w:val="en-AU"/>
              </w:rPr>
              <w:t>t</w:t>
            </w:r>
            <w:proofErr w:type="spellEnd"/>
          </w:p>
        </w:tc>
        <w:tc>
          <w:tcPr>
            <w:tcW w:w="3827" w:type="dxa"/>
            <w:tcBorders>
              <w:top w:val="single" w:sz="4" w:space="0" w:color="BFBFBF"/>
              <w:left w:val="single" w:sz="4" w:space="0" w:color="BFBFBF"/>
              <w:bottom w:val="nil"/>
              <w:right w:val="single" w:sz="4" w:space="0" w:color="BFBFBF"/>
            </w:tcBorders>
            <w:shd w:val="clear" w:color="auto" w:fill="auto"/>
            <w:tcMar>
              <w:top w:w="80" w:type="dxa"/>
              <w:left w:w="80" w:type="dxa"/>
              <w:bottom w:w="80" w:type="dxa"/>
              <w:right w:w="80" w:type="dxa"/>
            </w:tcMar>
            <w:vAlign w:val="center"/>
          </w:tcPr>
          <w:p w14:paraId="7636518B" w14:textId="77777777" w:rsidR="00EB52BF" w:rsidRPr="001D5951" w:rsidRDefault="00EB52BF" w:rsidP="00503BAB">
            <w:pPr>
              <w:pStyle w:val="TableParagraph"/>
              <w:rPr>
                <w:rFonts w:cs="Times New Roman"/>
                <w:lang w:val="en-AU"/>
              </w:rPr>
            </w:pPr>
            <w:r w:rsidRPr="001D5951">
              <w:rPr>
                <w:rStyle w:val="None"/>
                <w:rFonts w:cs="Times New Roman"/>
                <w:kern w:val="16"/>
                <w:lang w:val="en-AU"/>
              </w:rPr>
              <w:t>Hospital admission rate for CDI / discharge rate for those receiving CDI treatment</w:t>
            </w:r>
          </w:p>
        </w:tc>
        <w:tc>
          <w:tcPr>
            <w:tcW w:w="1418" w:type="dxa"/>
            <w:tcBorders>
              <w:top w:val="single" w:sz="4" w:space="0" w:color="BFBFBF"/>
              <w:left w:val="single" w:sz="4" w:space="0" w:color="BFBFBF"/>
              <w:bottom w:val="nil"/>
              <w:right w:val="single" w:sz="4" w:space="0" w:color="BFBFBF"/>
            </w:tcBorders>
            <w:shd w:val="clear" w:color="auto" w:fill="auto"/>
            <w:tcMar>
              <w:top w:w="80" w:type="dxa"/>
              <w:left w:w="80" w:type="dxa"/>
              <w:bottom w:w="80" w:type="dxa"/>
              <w:right w:w="80" w:type="dxa"/>
            </w:tcMar>
            <w:vAlign w:val="center"/>
          </w:tcPr>
          <w:p w14:paraId="1CE3284D" w14:textId="77777777" w:rsidR="00EB52BF" w:rsidRPr="001D5951" w:rsidRDefault="00EB52BF" w:rsidP="00503BAB">
            <w:pPr>
              <w:pStyle w:val="TableParagraph"/>
              <w:jc w:val="center"/>
              <w:rPr>
                <w:rStyle w:val="None"/>
                <w:rFonts w:cs="Times New Roman"/>
                <w:kern w:val="16"/>
                <w:lang w:val="en-AU"/>
              </w:rPr>
            </w:pPr>
            <w:r w:rsidRPr="001D5951">
              <w:rPr>
                <w:rStyle w:val="None"/>
                <w:rFonts w:cs="Times New Roman"/>
                <w:kern w:val="16"/>
                <w:lang w:val="en-AU"/>
              </w:rPr>
              <w:t>0.0142</w:t>
            </w:r>
          </w:p>
          <w:p w14:paraId="518DCD8A"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(0.0128- 0.0174)</w:t>
            </w:r>
          </w:p>
        </w:tc>
        <w:tc>
          <w:tcPr>
            <w:tcW w:w="1417" w:type="dxa"/>
            <w:tcBorders>
              <w:top w:val="single" w:sz="4" w:space="0" w:color="BFBFBF"/>
              <w:left w:val="single" w:sz="4" w:space="0" w:color="BFBFBF"/>
              <w:bottom w:val="nil"/>
              <w:right w:val="single" w:sz="4" w:space="0" w:color="BFBFBF"/>
            </w:tcBorders>
            <w:shd w:val="clear" w:color="auto" w:fill="auto"/>
            <w:tcMar>
              <w:top w:w="80" w:type="dxa"/>
              <w:left w:w="80" w:type="dxa"/>
              <w:bottom w:w="80" w:type="dxa"/>
              <w:right w:w="80" w:type="dxa"/>
            </w:tcMar>
            <w:vAlign w:val="center"/>
          </w:tcPr>
          <w:p w14:paraId="4813107B"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0 (Not discharged)</w:t>
            </w:r>
          </w:p>
        </w:tc>
        <w:tc>
          <w:tcPr>
            <w:tcW w:w="1196" w:type="dxa"/>
            <w:tcBorders>
              <w:top w:val="single" w:sz="4" w:space="0" w:color="BFBFBF"/>
              <w:left w:val="single" w:sz="4" w:space="0" w:color="BFBFBF"/>
              <w:bottom w:val="nil"/>
              <w:right w:val="nil"/>
            </w:tcBorders>
            <w:shd w:val="clear" w:color="auto" w:fill="auto"/>
            <w:tcMar>
              <w:top w:w="80" w:type="dxa"/>
              <w:left w:w="80" w:type="dxa"/>
              <w:bottom w:w="80" w:type="dxa"/>
              <w:right w:w="80" w:type="dxa"/>
            </w:tcMar>
            <w:vAlign w:val="center"/>
          </w:tcPr>
          <w:p w14:paraId="1E6C275C" w14:textId="77777777" w:rsidR="00EB52BF" w:rsidRPr="001D5951" w:rsidRDefault="00EB52BF" w:rsidP="00503BAB">
            <w:pPr>
              <w:pStyle w:val="TableParagraph"/>
              <w:jc w:val="center"/>
              <w:rPr>
                <w:rFonts w:cs="Times New Roman"/>
                <w:lang w:val="en-AU"/>
              </w:rPr>
            </w:pPr>
            <w:r w:rsidRPr="001D5951">
              <w:rPr>
                <w:rStyle w:val="None"/>
                <w:rFonts w:cs="Times New Roman"/>
                <w:kern w:val="16"/>
                <w:lang w:val="en-AU"/>
              </w:rPr>
              <w:t>*</w:t>
            </w:r>
          </w:p>
        </w:tc>
      </w:tr>
    </w:tbl>
    <w:p w14:paraId="3B3EA270" w14:textId="77777777" w:rsidR="00EB52BF" w:rsidRDefault="00EB52BF" w:rsidP="00B45891">
      <w:pPr>
        <w:pStyle w:val="Caption"/>
        <w:keepNext/>
        <w:widowControl w:val="0"/>
        <w:jc w:val="both"/>
        <w:rPr>
          <w:rStyle w:val="None"/>
          <w:rFonts w:ascii="Calibri" w:eastAsia="Calibri" w:hAnsi="Calibri" w:cs="Times New Roman"/>
          <w:i w:val="0"/>
          <w:iCs w:val="0"/>
          <w:color w:val="44546A"/>
          <w:sz w:val="24"/>
          <w:szCs w:val="24"/>
          <w:u w:color="44546A"/>
          <w:lang w:eastAsia="en-AU"/>
        </w:rPr>
      </w:pPr>
    </w:p>
    <w:p w14:paraId="6B451A63" w14:textId="77777777" w:rsidR="00B45891" w:rsidRDefault="00B45891" w:rsidP="00B45891">
      <w:pPr>
        <w:pStyle w:val="Body"/>
        <w:keepNext/>
        <w:spacing w:after="240"/>
        <w:jc w:val="both"/>
      </w:pPr>
      <w:r w:rsidRPr="005E03B5">
        <w:rPr>
          <w:rFonts w:cs="Times New Roman"/>
          <w:noProof/>
          <w:sz w:val="24"/>
          <w:szCs w:val="24"/>
          <w:lang w:val="en-US" w:eastAsia="en-US"/>
        </w:rPr>
        <w:drawing>
          <wp:inline distT="0" distB="0" distL="0" distR="0" wp14:anchorId="646D6203" wp14:editId="2073E27A">
            <wp:extent cx="5727701" cy="4961000"/>
            <wp:effectExtent l="0" t="0" r="635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Demography 2.png" descr="Demography 2.png"/>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7701" cy="4961000"/>
                    </a:xfrm>
                    <a:prstGeom prst="rect">
                      <a:avLst/>
                    </a:prstGeom>
                    <a:ln w="12700" cap="flat">
                      <a:noFill/>
                      <a:miter lim="400000"/>
                    </a:ln>
                    <a:effectLst/>
                  </pic:spPr>
                </pic:pic>
              </a:graphicData>
            </a:graphic>
          </wp:inline>
        </w:drawing>
      </w:r>
    </w:p>
    <w:p w14:paraId="1A61868C" w14:textId="5F00097E" w:rsidR="00EB52BF" w:rsidRPr="00EB52BF" w:rsidRDefault="00B45891" w:rsidP="00B45891">
      <w:pPr>
        <w:pStyle w:val="Caption"/>
        <w:jc w:val="both"/>
      </w:pPr>
      <w:bookmarkStart w:id="1" w:name="_Ref508875310"/>
      <w:r w:rsidRPr="00B45891">
        <w:rPr>
          <w:b/>
          <w:sz w:val="22"/>
        </w:rPr>
        <w:t xml:space="preserve">Supp. Figure </w:t>
      </w:r>
      <w:r w:rsidRPr="00B45891">
        <w:rPr>
          <w:b/>
          <w:sz w:val="22"/>
        </w:rPr>
        <w:fldChar w:fldCharType="begin"/>
      </w:r>
      <w:r w:rsidRPr="00B45891">
        <w:rPr>
          <w:b/>
          <w:sz w:val="22"/>
        </w:rPr>
        <w:instrText xml:space="preserve"> SEQ Supp._Figure \* ARABIC </w:instrText>
      </w:r>
      <w:r w:rsidRPr="00B45891">
        <w:rPr>
          <w:b/>
          <w:sz w:val="22"/>
        </w:rPr>
        <w:fldChar w:fldCharType="separate"/>
      </w:r>
      <w:r w:rsidRPr="00B45891">
        <w:rPr>
          <w:b/>
          <w:noProof/>
          <w:sz w:val="22"/>
        </w:rPr>
        <w:t>1</w:t>
      </w:r>
      <w:r w:rsidRPr="00B45891">
        <w:rPr>
          <w:b/>
          <w:sz w:val="22"/>
        </w:rPr>
        <w:fldChar w:fldCharType="end"/>
      </w:r>
      <w:bookmarkEnd w:id="1"/>
      <w:r>
        <w:t xml:space="preserve"> </w:t>
      </w:r>
      <w:r w:rsidRPr="005E03B5">
        <w:rPr>
          <w:rStyle w:val="None"/>
          <w:rFonts w:ascii="Calibri" w:hAnsi="Calibri" w:cs="Times New Roman"/>
          <w:i w:val="0"/>
          <w:iCs w:val="0"/>
          <w:sz w:val="24"/>
          <w:szCs w:val="24"/>
        </w:rPr>
        <w:t>Model structure, showing immune states, aging, births, deaths, hospital admission and discharge and infant classes. *Birth rate matches death rate from whole population. †The force of colonisation depends on the number of infectious individuals in the population. Infants are θ times more susceptible to colonisation than adults. ‡Infants retain their immunity and colonisation status when they age to become non-suppressed adults. §Only non-colonised individuals can have their immunity wane. ¶Those with active CDI develop immunity upon recovery. Asymptomatically colonised individuals develop immunity at rate δ. Non-colonised individuals do not develop immunity. **Admission discharge rates vary by immunity and CDI status. Patients receiving treatment for CDI are not discharged and are admitted at a much higher rate.</w:t>
      </w:r>
    </w:p>
    <w:p w14:paraId="76368024" w14:textId="77777777" w:rsidR="00E15125" w:rsidRDefault="00B17285" w:rsidP="00E15125">
      <w:pPr>
        <w:keepNext/>
        <w:spacing w:after="240"/>
      </w:pPr>
      <w:r>
        <w:rPr>
          <w:noProof/>
          <w:lang w:val="en-US"/>
        </w:rPr>
        <w:lastRenderedPageBreak/>
        <w:drawing>
          <wp:inline distT="0" distB="0" distL="0" distR="0" wp14:anchorId="122A4E51" wp14:editId="7C0B2960">
            <wp:extent cx="5724000" cy="2984400"/>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delFitInfantColAndImmune.tif"/>
                    <pic:cNvPicPr/>
                  </pic:nvPicPr>
                  <pic:blipFill>
                    <a:blip r:embed="rId10">
                      <a:extLst>
                        <a:ext uri="{28A0092B-C50C-407E-A947-70E740481C1C}">
                          <a14:useLocalDpi xmlns:a14="http://schemas.microsoft.com/office/drawing/2010/main" val="0"/>
                        </a:ext>
                      </a:extLst>
                    </a:blip>
                    <a:stretch>
                      <a:fillRect/>
                    </a:stretch>
                  </pic:blipFill>
                  <pic:spPr>
                    <a:xfrm>
                      <a:off x="0" y="0"/>
                      <a:ext cx="5724000" cy="2984400"/>
                    </a:xfrm>
                    <a:prstGeom prst="rect">
                      <a:avLst/>
                    </a:prstGeom>
                  </pic:spPr>
                </pic:pic>
              </a:graphicData>
            </a:graphic>
          </wp:inline>
        </w:drawing>
      </w:r>
    </w:p>
    <w:p w14:paraId="0A3E46AF" w14:textId="445B4953" w:rsidR="00141165" w:rsidRDefault="00E15125" w:rsidP="00B17285">
      <w:pPr>
        <w:pStyle w:val="Caption"/>
        <w:spacing w:after="240"/>
        <w:jc w:val="both"/>
        <w:rPr>
          <w:b/>
          <w:sz w:val="22"/>
        </w:rPr>
      </w:pPr>
      <w:bookmarkStart w:id="2" w:name="_Ref506546182"/>
      <w:r w:rsidRPr="00E15125">
        <w:rPr>
          <w:b/>
          <w:sz w:val="22"/>
        </w:rPr>
        <w:t>Supp. Figure</w:t>
      </w:r>
      <w:r w:rsidRPr="00E15125">
        <w:rPr>
          <w:b/>
          <w:sz w:val="28"/>
        </w:rPr>
        <w:t xml:space="preserve"> </w:t>
      </w:r>
      <w:r w:rsidRPr="00E15125">
        <w:rPr>
          <w:b/>
          <w:sz w:val="22"/>
        </w:rPr>
        <w:fldChar w:fldCharType="begin"/>
      </w:r>
      <w:r w:rsidRPr="00E15125">
        <w:rPr>
          <w:b/>
          <w:sz w:val="22"/>
        </w:rPr>
        <w:instrText xml:space="preserve"> SEQ Supp._Figure \* ARABIC </w:instrText>
      </w:r>
      <w:r w:rsidRPr="00E15125">
        <w:rPr>
          <w:b/>
          <w:sz w:val="22"/>
        </w:rPr>
        <w:fldChar w:fldCharType="separate"/>
      </w:r>
      <w:r w:rsidR="00B45891">
        <w:rPr>
          <w:b/>
          <w:noProof/>
          <w:sz w:val="22"/>
        </w:rPr>
        <w:t>2</w:t>
      </w:r>
      <w:r w:rsidRPr="00E15125">
        <w:rPr>
          <w:b/>
          <w:sz w:val="22"/>
        </w:rPr>
        <w:fldChar w:fldCharType="end"/>
      </w:r>
      <w:bookmarkEnd w:id="2"/>
      <w:r>
        <w:t xml:space="preserve"> </w:t>
      </w:r>
      <w:r w:rsidRPr="002923D2">
        <w:rPr>
          <w:i w:val="0"/>
          <w:sz w:val="22"/>
        </w:rPr>
        <w:t>Maximum likelihood model fit to infant colonisation da</w:t>
      </w:r>
      <w:r w:rsidR="004070E2">
        <w:rPr>
          <w:i w:val="0"/>
          <w:sz w:val="22"/>
        </w:rPr>
        <w:t>ta and immunity prevalence data, assuming</w:t>
      </w:r>
      <w:r w:rsidRPr="002923D2">
        <w:rPr>
          <w:i w:val="0"/>
          <w:sz w:val="22"/>
        </w:rPr>
        <w:t xml:space="preserve"> 5% colonisation prevalence in adults. Blue crosses indicate </w:t>
      </w:r>
      <w:r w:rsidRPr="002923D2">
        <w:rPr>
          <w:sz w:val="22"/>
        </w:rPr>
        <w:t>C.</w:t>
      </w:r>
      <w:r>
        <w:rPr>
          <w:sz w:val="22"/>
        </w:rPr>
        <w:t xml:space="preserve"> </w:t>
      </w:r>
      <w:r w:rsidRPr="002923D2">
        <w:rPr>
          <w:sz w:val="22"/>
        </w:rPr>
        <w:t>difficile</w:t>
      </w:r>
      <w:r w:rsidRPr="002923D2">
        <w:rPr>
          <w:i w:val="0"/>
          <w:sz w:val="22"/>
        </w:rPr>
        <w:t xml:space="preserve"> to</w:t>
      </w:r>
      <w:r>
        <w:rPr>
          <w:i w:val="0"/>
          <w:sz w:val="22"/>
        </w:rPr>
        <w:t xml:space="preserve">xin B antibody </w:t>
      </w:r>
      <w:proofErr w:type="spellStart"/>
      <w:r>
        <w:rPr>
          <w:i w:val="0"/>
          <w:sz w:val="22"/>
        </w:rPr>
        <w:t>sero</w:t>
      </w:r>
      <w:proofErr w:type="spellEnd"/>
      <w:r>
        <w:rPr>
          <w:i w:val="0"/>
          <w:sz w:val="22"/>
        </w:rPr>
        <w:t>-prevalence</w:t>
      </w:r>
      <w:r w:rsidR="00B80518">
        <w:rPr>
          <w:i w:val="0"/>
          <w:sz w:val="22"/>
        </w:rPr>
        <w:t xml:space="preserve"> </w:t>
      </w:r>
      <w:r>
        <w:rPr>
          <w:i w:val="0"/>
          <w:sz w:val="22"/>
        </w:rPr>
        <w:fldChar w:fldCharType="begin" w:fldLock="1"/>
      </w:r>
      <w:r w:rsidR="00786612">
        <w:rPr>
          <w:i w:val="0"/>
          <w:sz w:val="22"/>
        </w:rPr>
        <w:instrText>ADDIN CSL_CITATION {"citationItems":[{"id":"ITEM-1","itemData":{"DOI":"10.1093/infdis/148.1.93","ISSN":"0022-1899","author":[{"dropping-particle":"","family":"Viscidi","given":"R","non-dropping-particle":"","parse-names":false,"suffix":""},{"dropping-particle":"","family":"Laughon","given":"B E","non-dropping-particle":"","parse-names":false,"suffix":""},{"dropping-particle":"","family":"Yolken","given":"R","non-dropping-particle":"","parse-names":false,"suffix":""},{"dropping-particle":"","family":"Bo-Linn","given":"P.","non-dropping-particle":"","parse-names":false,"suffix":""},{"dropping-particle":"","family":"Moench","given":"T.","non-dropping-particle":"","parse-names":false,"suffix":""},{"dropping-particle":"","family":"Ryder","given":"R. W.","non-dropping-particle":"","parse-names":false,"suffix":""},{"dropping-particle":"","family":"Bartlett","given":"J. G.","non-dropping-particle":"","parse-names":false,"suffix":""}],"container-title":"Journal of Infectious Diseases","id":"ITEM-1","issue":"1","issued":{"date-parts":[["1983","7","1"]]},"page":"93-100","title":"Serum Antibody Response to Toxins A and B of Clostridium difficile","type":"article-journal","volume":"148"},"uris":["http://www.mendeley.com/documents/?uuid=99c883e4-71f0-46b6-b453-b78dee1367f6"]}],"mendeley":{"formattedCitation":"[29]","plainTextFormattedCitation":"[29]","previouslyFormattedCitation":"[29]"},"properties":{"noteIndex":0},"schema":"https://github.com/citation-style-language/schema/raw/master/csl-citation.json"}</w:instrText>
      </w:r>
      <w:r>
        <w:rPr>
          <w:i w:val="0"/>
          <w:sz w:val="22"/>
        </w:rPr>
        <w:fldChar w:fldCharType="separate"/>
      </w:r>
      <w:r w:rsidR="00B461B6" w:rsidRPr="00B461B6">
        <w:rPr>
          <w:i w:val="0"/>
          <w:noProof/>
          <w:sz w:val="22"/>
        </w:rPr>
        <w:t>[29]</w:t>
      </w:r>
      <w:r>
        <w:rPr>
          <w:i w:val="0"/>
          <w:sz w:val="22"/>
        </w:rPr>
        <w:fldChar w:fldCharType="end"/>
      </w:r>
      <w:r w:rsidRPr="002923D2">
        <w:rPr>
          <w:i w:val="0"/>
          <w:sz w:val="22"/>
        </w:rPr>
        <w:t>, green crosses indicate cross-sectional study infants and toddlers in chil</w:t>
      </w:r>
      <w:r>
        <w:rPr>
          <w:i w:val="0"/>
          <w:sz w:val="22"/>
        </w:rPr>
        <w:t>dcare</w:t>
      </w:r>
      <w:r w:rsidR="00B80518">
        <w:rPr>
          <w:i w:val="0"/>
          <w:sz w:val="22"/>
        </w:rPr>
        <w:t xml:space="preserve"> </w:t>
      </w:r>
      <w:r>
        <w:rPr>
          <w:i w:val="0"/>
          <w:sz w:val="22"/>
        </w:rPr>
        <w:fldChar w:fldCharType="begin" w:fldLock="1"/>
      </w:r>
      <w:r w:rsidR="00B461B6">
        <w:rPr>
          <w:i w:val="0"/>
          <w:sz w:val="22"/>
        </w:rPr>
        <w:instrText>ADDIN CSL_CITATION {"citationItems":[{"id":"ITEM-1","itemData":{"DOI":"10.1093/cid/cis637","PMID":"22843784","abstract":"BACKGROUND: Clostridium difficile has long been considered to be a nosocomial pathogen but has emerged in the community in recent years. During infancy, asymptomatic C. difficile colonization is common. However, knowledge of colonization determinants and strain characteristics is limited. We studied the dynamics of C. difficile colonization in healthy infants from the community. Determinants of colonization and strain genotypes were also determined in a cohort of infants attending day nurseries.\\n\\nMETHODS: A 1-year follow-up study involving 10 healthy infants was performed to determine the incidence and kinetics of intestinal C. difficile colonization. In addition, a 1-point study involving 85 healthy infants (age, 0-3 years) from 2 day nurseries was performed. C. difficile isolates were typed by polymerase chain reaction-ribotyping and analyzed for the presence of toxin genes.\\n\\nRESULTS: During the follow-up study, all infants acquired C. difficile and were colonized for several months. An early (neonatal) and a late (4-6 months of age) acquisition period were identified. In day nurseries, 38 infants (45%) carried C. difficile, with 11 (13%) carrying a toxigenic isolate. Age and several environmental factors were associated with the C. difficile carrier state. Strains causing disease in adults were identified in infants. Interestingly, no infant carried the common epidemic 027 or 078 strains.\\n\\nCONCLUSIONS: This study provides information on the dynamics of colonization in infants in the community and on the genotype of involved strains. C. difficile colonization appears mainly as an age-dependent process. Pathogenic strains circulate in asymptomatic infants from the community, who represent a potential reservoir of pathogenic strains.","author":[{"dropping-particle":"","family":"Rousseau","given":"Clotilde","non-dropping-particle":"","parse-names":false,"suffix":""},{"dropping-particle":"","family":"Poilane","given":"Isabelle","non-dropping-particle":"","parse-names":false,"suffix":""},{"dropping-particle":"","family":"Pontual","given":"Loic","non-dropping-particle":"De","parse-names":false,"suffix":""},{"dropping-particle":"","family":"Maherault","given":"A.-C.","non-dropping-particle":"","parse-names":false,"suffix":""},{"dropping-particle":"","family":"Monnier","given":"Alban","non-dropping-particle":"Le","parse-names":false,"suffix":""},{"dropping-particle":"","family":"Collignon","given":"Anne","non-dropping-particle":"","parse-names":false,"suffix":""}],"container-title":"Clinical Infectious Diseases","id":"ITEM-1","issue":"9","issued":{"date-parts":[["2012","11","1"]]},"page":"1209-1215","title":"Clostridium difficile Carriage in Healthy Infants in the Community: A Potential Reservoir for Pathogenic Strains","type":"article-journal","volume":"55"},"uris":["http://www.mendeley.com/documents/?uuid=de12f32c-ae8a-4dca-861e-104c28da2d5c"]}],"mendeley":{"formattedCitation":"[17]","plainTextFormattedCitation":"[17]","previouslyFormattedCitation":"[17]"},"properties":{"noteIndex":0},"schema":"https://github.com/citation-style-language/schema/raw/master/csl-citation.json"}</w:instrText>
      </w:r>
      <w:r>
        <w:rPr>
          <w:i w:val="0"/>
          <w:sz w:val="22"/>
        </w:rPr>
        <w:fldChar w:fldCharType="separate"/>
      </w:r>
      <w:r w:rsidR="00B80518" w:rsidRPr="00B80518">
        <w:rPr>
          <w:i w:val="0"/>
          <w:noProof/>
          <w:sz w:val="22"/>
        </w:rPr>
        <w:t>[17]</w:t>
      </w:r>
      <w:r>
        <w:rPr>
          <w:i w:val="0"/>
          <w:sz w:val="22"/>
        </w:rPr>
        <w:fldChar w:fldCharType="end"/>
      </w:r>
      <w:r>
        <w:rPr>
          <w:i w:val="0"/>
          <w:sz w:val="22"/>
        </w:rPr>
        <w:t>. Red crosses</w:t>
      </w:r>
      <w:r w:rsidR="00B80518">
        <w:rPr>
          <w:i w:val="0"/>
          <w:sz w:val="22"/>
        </w:rPr>
        <w:t xml:space="preserve"> </w:t>
      </w:r>
      <w:r>
        <w:rPr>
          <w:i w:val="0"/>
          <w:sz w:val="22"/>
        </w:rPr>
        <w:fldChar w:fldCharType="begin" w:fldLock="1"/>
      </w:r>
      <w:r w:rsidR="00B461B6">
        <w:rPr>
          <w:i w:val="0"/>
          <w:sz w:val="22"/>
        </w:rPr>
        <w:instrText>ADDIN CSL_CITATION {"citationItems":[{"id":"ITEM-1","itemData":{"DOI":"10.1093/cid/cis637","PMID":"22843784","abstract":"BACKGROUND: Clostridium difficile has long been considered to be a nosocomial pathogen but has emerged in the community in recent years. During infancy, asymptomatic C. difficile colonization is common. However, knowledge of colonization determinants and strain characteristics is limited. We studied the dynamics of C. difficile colonization in healthy infants from the community. Determinants of colonization and strain genotypes were also determined in a cohort of infants attending day nurseries.\\n\\nMETHODS: A 1-year follow-up study involving 10 healthy infants was performed to determine the incidence and kinetics of intestinal C. difficile colonization. In addition, a 1-point study involving 85 healthy infants (age, 0-3 years) from 2 day nurseries was performed. C. difficile isolates were typed by polymerase chain reaction-ribotyping and analyzed for the presence of toxin genes.\\n\\nRESULTS: During the follow-up study, all infants acquired C. difficile and were colonized for several months. An early (neonatal) and a late (4-6 months of age) acquisition period were identified. In day nurseries, 38 infants (45%) carried C. difficile, with 11 (13%) carrying a toxigenic isolate. Age and several environmental factors were associated with the C. difficile carrier state. Strains causing disease in adults were identified in infants. Interestingly, no infant carried the common epidemic 027 or 078 strains.\\n\\nCONCLUSIONS: This study provides information on the dynamics of colonization in infants in the community and on the genotype of involved strains. C. difficile colonization appears mainly as an age-dependent process. Pathogenic strains circulate in asymptomatic infants from the community, who represent a potential reservoir of pathogenic strains.","author":[{"dropping-particle":"","family":"Rousseau","given":"Clotilde","non-dropping-particle":"","parse-names":false,"suffix":""},{"dropping-particle":"","family":"Poilane","given":"Isabelle","non-dropping-particle":"","parse-names":false,"suffix":""},{"dropping-particle":"","family":"Pontual","given":"Loic","non-dropping-particle":"De","parse-names":false,"suffix":""},{"dropping-particle":"","family":"Maherault","given":"A.-C.","non-dropping-particle":"","parse-names":false,"suffix":""},{"dropping-particle":"","family":"Monnier","given":"Alban","non-dropping-particle":"Le","parse-names":false,"suffix":""},{"dropping-particle":"","family":"Collignon","given":"Anne","non-dropping-particle":"","parse-names":false,"suffix":""}],"container-title":"Clinical Infectious Diseases","id":"ITEM-1","issue":"9","issued":{"date-parts":[["2012","11","1"]]},"page":"1209-1215","title":"Clostridium difficile Carriage in Healthy Infants in the Community: A Potential Reservoir for Pathogenic Strains","type":"article-journal","volume":"55"},"uris":["http://www.mendeley.com/documents/?uuid=de12f32c-ae8a-4dca-861e-104c28da2d5c"]}],"mendeley":{"formattedCitation":"[17]","plainTextFormattedCitation":"[17]","previouslyFormattedCitation":"[17]"},"properties":{"noteIndex":0},"schema":"https://github.com/citation-style-language/schema/raw/master/csl-citation.json"}</w:instrText>
      </w:r>
      <w:r>
        <w:rPr>
          <w:i w:val="0"/>
          <w:sz w:val="22"/>
        </w:rPr>
        <w:fldChar w:fldCharType="separate"/>
      </w:r>
      <w:r w:rsidR="00B80518" w:rsidRPr="00B80518">
        <w:rPr>
          <w:i w:val="0"/>
          <w:noProof/>
          <w:sz w:val="22"/>
        </w:rPr>
        <w:t>[17]</w:t>
      </w:r>
      <w:r>
        <w:rPr>
          <w:i w:val="0"/>
          <w:sz w:val="22"/>
        </w:rPr>
        <w:fldChar w:fldCharType="end"/>
      </w:r>
      <w:r>
        <w:rPr>
          <w:i w:val="0"/>
          <w:sz w:val="22"/>
        </w:rPr>
        <w:t xml:space="preserve"> </w:t>
      </w:r>
      <w:r w:rsidRPr="002923D2">
        <w:rPr>
          <w:i w:val="0"/>
          <w:sz w:val="22"/>
        </w:rPr>
        <w:t>and black crosses</w:t>
      </w:r>
      <w:r w:rsidR="00B80518">
        <w:rPr>
          <w:i w:val="0"/>
          <w:sz w:val="22"/>
        </w:rPr>
        <w:t xml:space="preserve"> </w:t>
      </w:r>
      <w:r>
        <w:rPr>
          <w:i w:val="0"/>
          <w:sz w:val="22"/>
        </w:rPr>
        <w:fldChar w:fldCharType="begin" w:fldLock="1"/>
      </w:r>
      <w:r w:rsidR="00C45F1D">
        <w:rPr>
          <w:i w:val="0"/>
          <w:sz w:val="22"/>
        </w:rPr>
        <w:instrText>ADDIN CSL_CITATION {"citationItems":[{"id":"ITEM-1","itemData":{"DOI":"10.1128/AEM.01540-16","ISBN":"1098-5336 (Electronic) 0099-2240 (Linking)","ISSN":"1098-5336","PMID":"27451451","abstract":"Asymptomatic infant carriers of toxigenic Clostridium difficile are suggested to play a role in the transmission of C. difficile infection (CDI) in adults. However, the mode of C. difficile carriage in infants remains to be fully elucidated. We investigated longitudinal changes in carriage rates, counts, and strain types of toxigenic C. difficile in infants. Stools collected from 111 healthy infants in Belgium periodically from birth until the age of 6 months were examined by quantitative PCR targeting 16S rRNA and toxin genes. Toxigenic C. difficile was detected in 18 of 111 infants (16%) in the period up to the age of 6 months. The carriage rate of toxigenic C. difficile remained below 5% until the age of 3 months. The carriage rate increased to 13% 1 week after weaning (average age, 143 days) and reached 16% at the age of 6 months. Counts of toxigenic C. difficile bacteria ranged from 10(4) to 10(8) cells/g of stool. Notably, two infants retained &gt;10(8) cells/g of stool for at least several weeks. Average counts in the 18 infants hovered around 10(7) cells/g of stool from the age of 3 days until the age of 6 months, showing no age-related trend. Genotyping of toxigenic C. difficile isolates from the 18 infants revealed that 11 infants each retained a particular monophyletic strain for at least a month. The genotype most frequently identified was the same as that frequently identified in symptomatic adult CDI patients. Thus, toxigenic C. difficile strains-potential causes of CDI in adults-colonized the infants' intestines. IMPORTANCE Our study provides longitudinal data on counts and strain types of toxigenic C. difficile in infants. We found that considerable numbers of toxigenic C. difficile bacteria colonized the infants' intestines. The results of strain typing suggest that toxigenic C. difficile carried by healthy infants could be potentially pathogenic to adults. These results and findings are informative not only for ecological studies but also for efforts to prevent or control the spread of CDI in adults.","author":[{"dropping-particle":"","family":"Kubota","given":"Hiroyuki","non-dropping-particle":"","parse-names":false,"suffix":""},{"dropping-particle":"","family":"Makino","given":"Hiroshi","non-dropping-particle":"","parse-names":false,"suffix":""},{"dropping-particle":"","family":"Gawad","given":"Agata","non-dropping-particle":"","parse-names":false,"suffix":""},{"dropping-particle":"","family":"Kushiro","given":"Akira","non-dropping-particle":"","parse-names":false,"suffix":""},{"dropping-particle":"","family":"Ishikawa","given":"Eiji","non-dropping-particle":"","parse-names":false,"suffix":""},{"dropping-particle":"","family":"Sakai","given":"Takafumi","non-dropping-particle":"","parse-names":false,"suffix":""},{"dropping-particle":"","family":"Akiyama","given":"Takuya","non-dropping-particle":"","parse-names":false,"suffix":""},{"dropping-particle":"","family":"Matsuda","given":"Kazunori","non-dropping-particle":"","parse-names":false,"suffix":""},{"dropping-particle":"","family":"Martin","given":"Rocio","non-dropping-particle":"","parse-names":false,"suffix":""},{"dropping-particle":"","family":"Knol","given":"Jan","non-dropping-particle":"","parse-names":false,"suffix":""},{"dropping-particle":"","family":"Oishi","given":"Kenji","non-dropping-particle":"","parse-names":false,"suffix":""}],"container-title":"Applied and Environmental Microbiology","id":"ITEM-1","issue":"19","issued":{"date-parts":[["2016","10","1"]]},"page":"5806-14","title":"Longitudinal Investigation of Carriage Rates, Counts, and Genotypes of Toxigenic Clostridium difficile in Early Infancy.","type":"article-journal","volume":"82"},"uris":["http://www.mendeley.com/documents/?uuid=e9670c78-69e3-4d68-80cf-e799355e9a8d"]}],"mendeley":{"formattedCitation":"[18]","plainTextFormattedCitation":"[18]","previouslyFormattedCitation":"[18]"},"properties":{"noteIndex":0},"schema":"https://github.com/citation-style-language/schema/raw/master/csl-citation.json"}</w:instrText>
      </w:r>
      <w:r>
        <w:rPr>
          <w:i w:val="0"/>
          <w:sz w:val="22"/>
        </w:rPr>
        <w:fldChar w:fldCharType="separate"/>
      </w:r>
      <w:r w:rsidR="00B80518" w:rsidRPr="00B80518">
        <w:rPr>
          <w:i w:val="0"/>
          <w:noProof/>
          <w:sz w:val="22"/>
        </w:rPr>
        <w:t>[18]</w:t>
      </w:r>
      <w:r>
        <w:rPr>
          <w:i w:val="0"/>
          <w:sz w:val="22"/>
        </w:rPr>
        <w:fldChar w:fldCharType="end"/>
      </w:r>
      <w:r w:rsidRPr="002923D2">
        <w:rPr>
          <w:i w:val="0"/>
          <w:sz w:val="22"/>
        </w:rPr>
        <w:t xml:space="preserve"> indicate longitudinal studies of </w:t>
      </w:r>
      <w:r w:rsidRPr="002923D2">
        <w:rPr>
          <w:sz w:val="22"/>
        </w:rPr>
        <w:t>C. difficile</w:t>
      </w:r>
      <w:r w:rsidRPr="002923D2">
        <w:rPr>
          <w:i w:val="0"/>
          <w:sz w:val="22"/>
        </w:rPr>
        <w:t xml:space="preserve"> colonisation in infants. All error bars are 95% </w:t>
      </w:r>
      <w:r>
        <w:rPr>
          <w:i w:val="0"/>
          <w:sz w:val="22"/>
        </w:rPr>
        <w:t xml:space="preserve">binomial </w:t>
      </w:r>
      <w:r w:rsidRPr="002923D2">
        <w:rPr>
          <w:i w:val="0"/>
          <w:sz w:val="22"/>
        </w:rPr>
        <w:t>confidence intervals.</w:t>
      </w:r>
      <w:r w:rsidR="009B1C30">
        <w:rPr>
          <w:b/>
          <w:sz w:val="22"/>
        </w:rPr>
        <w:t xml:space="preserve"> </w:t>
      </w:r>
    </w:p>
    <w:p w14:paraId="19CC5A3F" w14:textId="77777777" w:rsidR="00141165" w:rsidRDefault="00141165">
      <w:pPr>
        <w:rPr>
          <w:b/>
          <w:i/>
          <w:iCs/>
          <w:color w:val="44546A" w:themeColor="text2"/>
          <w:szCs w:val="18"/>
        </w:rPr>
      </w:pPr>
      <w:r>
        <w:rPr>
          <w:b/>
        </w:rPr>
        <w:br w:type="page"/>
      </w:r>
    </w:p>
    <w:p w14:paraId="00D35F1F" w14:textId="77777777" w:rsidR="00B17285" w:rsidRPr="00966296" w:rsidRDefault="00B17285" w:rsidP="00B17285">
      <w:pPr>
        <w:pStyle w:val="Caption"/>
        <w:spacing w:after="240"/>
        <w:jc w:val="both"/>
        <w:rPr>
          <w:i w:val="0"/>
          <w:sz w:val="22"/>
        </w:rPr>
      </w:pPr>
    </w:p>
    <w:p w14:paraId="1A02AB3C" w14:textId="77777777" w:rsidR="00E15125" w:rsidRDefault="00D3411F" w:rsidP="00E15125">
      <w:pPr>
        <w:keepNext/>
      </w:pPr>
      <w:r>
        <w:rPr>
          <w:noProof/>
          <w:lang w:val="en-US"/>
        </w:rPr>
        <w:drawing>
          <wp:inline distT="0" distB="0" distL="0" distR="0" wp14:anchorId="201C0D1C" wp14:editId="6F2FB832">
            <wp:extent cx="5749200" cy="2980800"/>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ransmissionFromInfants.png"/>
                    <pic:cNvPicPr/>
                  </pic:nvPicPr>
                  <pic:blipFill>
                    <a:blip r:embed="rId11">
                      <a:extLst>
                        <a:ext uri="{28A0092B-C50C-407E-A947-70E740481C1C}">
                          <a14:useLocalDpi xmlns:a14="http://schemas.microsoft.com/office/drawing/2010/main" val="0"/>
                        </a:ext>
                      </a:extLst>
                    </a:blip>
                    <a:stretch>
                      <a:fillRect/>
                    </a:stretch>
                  </pic:blipFill>
                  <pic:spPr>
                    <a:xfrm>
                      <a:off x="0" y="0"/>
                      <a:ext cx="5749200" cy="2980800"/>
                    </a:xfrm>
                    <a:prstGeom prst="rect">
                      <a:avLst/>
                    </a:prstGeom>
                  </pic:spPr>
                </pic:pic>
              </a:graphicData>
            </a:graphic>
          </wp:inline>
        </w:drawing>
      </w:r>
    </w:p>
    <w:p w14:paraId="7568E072" w14:textId="5FBD3DDB" w:rsidR="00141165" w:rsidRDefault="00E15125" w:rsidP="009B1C30">
      <w:pPr>
        <w:pStyle w:val="Caption"/>
        <w:rPr>
          <w:i w:val="0"/>
          <w:sz w:val="22"/>
        </w:rPr>
      </w:pPr>
      <w:r w:rsidRPr="00E15125">
        <w:rPr>
          <w:b/>
          <w:sz w:val="22"/>
        </w:rPr>
        <w:t xml:space="preserve">Supp. Figure </w:t>
      </w:r>
      <w:r w:rsidRPr="00E15125">
        <w:rPr>
          <w:b/>
          <w:sz w:val="22"/>
        </w:rPr>
        <w:fldChar w:fldCharType="begin"/>
      </w:r>
      <w:r w:rsidRPr="00E15125">
        <w:rPr>
          <w:b/>
          <w:sz w:val="22"/>
        </w:rPr>
        <w:instrText xml:space="preserve"> SEQ Supp._Figure \* ARABIC </w:instrText>
      </w:r>
      <w:r w:rsidRPr="00E15125">
        <w:rPr>
          <w:b/>
          <w:sz w:val="22"/>
        </w:rPr>
        <w:fldChar w:fldCharType="separate"/>
      </w:r>
      <w:r w:rsidR="00B45891">
        <w:rPr>
          <w:b/>
          <w:noProof/>
          <w:sz w:val="22"/>
        </w:rPr>
        <w:t>3</w:t>
      </w:r>
      <w:r w:rsidRPr="00E15125">
        <w:rPr>
          <w:b/>
          <w:sz w:val="22"/>
        </w:rPr>
        <w:fldChar w:fldCharType="end"/>
      </w:r>
      <w:r>
        <w:rPr>
          <w:b/>
          <w:sz w:val="22"/>
        </w:rPr>
        <w:t xml:space="preserve"> </w:t>
      </w:r>
      <w:r>
        <w:rPr>
          <w:sz w:val="22"/>
        </w:rPr>
        <w:t>C. difficile</w:t>
      </w:r>
      <w:r>
        <w:rPr>
          <w:i w:val="0"/>
          <w:sz w:val="22"/>
        </w:rPr>
        <w:t xml:space="preserve"> transmission in the community from infants under various plausible assumptions for the</w:t>
      </w:r>
      <w:r w:rsidRPr="00683E76">
        <w:rPr>
          <w:i w:val="0"/>
          <w:sz w:val="22"/>
        </w:rPr>
        <w:t xml:space="preserve"> </w:t>
      </w:r>
      <w:r>
        <w:rPr>
          <w:sz w:val="22"/>
        </w:rPr>
        <w:t xml:space="preserve">C. difficile </w:t>
      </w:r>
      <w:r>
        <w:rPr>
          <w:i w:val="0"/>
          <w:sz w:val="22"/>
        </w:rPr>
        <w:t xml:space="preserve">colonisation prevalence </w:t>
      </w:r>
      <w:r w:rsidRPr="00683E76">
        <w:rPr>
          <w:i w:val="0"/>
          <w:sz w:val="22"/>
        </w:rPr>
        <w:t>in</w:t>
      </w:r>
      <w:r>
        <w:rPr>
          <w:i w:val="0"/>
          <w:sz w:val="22"/>
        </w:rPr>
        <w:t xml:space="preserve"> adults, </w:t>
      </w:r>
      <w:r w:rsidRPr="00683E76">
        <w:rPr>
          <w:i w:val="0"/>
          <w:sz w:val="22"/>
        </w:rPr>
        <w:t xml:space="preserve">and </w:t>
      </w:r>
      <w:r>
        <w:rPr>
          <w:i w:val="0"/>
          <w:sz w:val="22"/>
        </w:rPr>
        <w:t xml:space="preserve">the </w:t>
      </w:r>
      <w:r w:rsidRPr="00683E76">
        <w:rPr>
          <w:i w:val="0"/>
          <w:sz w:val="22"/>
        </w:rPr>
        <w:t>relative infectiousness of infants</w:t>
      </w:r>
      <w:r>
        <w:rPr>
          <w:i w:val="0"/>
          <w:sz w:val="22"/>
        </w:rPr>
        <w:t xml:space="preserve"> as (A) a</w:t>
      </w:r>
      <w:r w:rsidRPr="00683E76">
        <w:rPr>
          <w:i w:val="0"/>
          <w:sz w:val="22"/>
        </w:rPr>
        <w:t xml:space="preserve"> proportion of all transmission</w:t>
      </w:r>
      <w:r>
        <w:rPr>
          <w:i w:val="0"/>
          <w:sz w:val="22"/>
        </w:rPr>
        <w:t xml:space="preserve"> in the community</w:t>
      </w:r>
      <w:r w:rsidRPr="00683E76">
        <w:rPr>
          <w:i w:val="0"/>
          <w:sz w:val="22"/>
        </w:rPr>
        <w:t xml:space="preserve"> and</w:t>
      </w:r>
      <w:r>
        <w:rPr>
          <w:i w:val="0"/>
          <w:sz w:val="22"/>
        </w:rPr>
        <w:t xml:space="preserve"> (B)</w:t>
      </w:r>
      <w:r w:rsidRPr="00683E76">
        <w:rPr>
          <w:i w:val="0"/>
          <w:sz w:val="22"/>
        </w:rPr>
        <w:t xml:space="preserve"> as rate of exposure</w:t>
      </w:r>
      <w:r>
        <w:rPr>
          <w:i w:val="0"/>
          <w:sz w:val="22"/>
        </w:rPr>
        <w:t xml:space="preserve"> to adults in the community.</w:t>
      </w:r>
    </w:p>
    <w:p w14:paraId="79FAD1D9" w14:textId="77777777" w:rsidR="00141165" w:rsidRDefault="00141165">
      <w:pPr>
        <w:rPr>
          <w:iCs/>
          <w:color w:val="44546A" w:themeColor="text2"/>
          <w:szCs w:val="18"/>
        </w:rPr>
      </w:pPr>
      <w:r>
        <w:rPr>
          <w:i/>
        </w:rPr>
        <w:br w:type="page"/>
      </w:r>
    </w:p>
    <w:p w14:paraId="03F4C1D8" w14:textId="77777777" w:rsidR="00D3411F" w:rsidRPr="00E15125" w:rsidRDefault="00D3411F" w:rsidP="009B1C30">
      <w:pPr>
        <w:pStyle w:val="Caption"/>
        <w:rPr>
          <w:b/>
          <w:sz w:val="22"/>
        </w:rPr>
      </w:pPr>
    </w:p>
    <w:p w14:paraId="28856B47" w14:textId="77777777" w:rsidR="00E15125" w:rsidRDefault="00D3411F" w:rsidP="00E15125">
      <w:pPr>
        <w:keepNext/>
      </w:pPr>
      <w:r>
        <w:rPr>
          <w:noProof/>
          <w:lang w:val="en-US"/>
        </w:rPr>
        <w:drawing>
          <wp:inline distT="0" distB="0" distL="0" distR="0" wp14:anchorId="14BA4BE1" wp14:editId="49FDB800">
            <wp:extent cx="5620581" cy="293814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ransmissionFromIntactColonised-IntactDisrupt.png"/>
                    <pic:cNvPicPr/>
                  </pic:nvPicPr>
                  <pic:blipFill>
                    <a:blip r:embed="rId12">
                      <a:extLst>
                        <a:ext uri="{28A0092B-C50C-407E-A947-70E740481C1C}">
                          <a14:useLocalDpi xmlns:a14="http://schemas.microsoft.com/office/drawing/2010/main" val="0"/>
                        </a:ext>
                      </a:extLst>
                    </a:blip>
                    <a:stretch>
                      <a:fillRect/>
                    </a:stretch>
                  </pic:blipFill>
                  <pic:spPr>
                    <a:xfrm>
                      <a:off x="0" y="0"/>
                      <a:ext cx="5620581" cy="2938145"/>
                    </a:xfrm>
                    <a:prstGeom prst="rect">
                      <a:avLst/>
                    </a:prstGeom>
                  </pic:spPr>
                </pic:pic>
              </a:graphicData>
            </a:graphic>
          </wp:inline>
        </w:drawing>
      </w:r>
    </w:p>
    <w:p w14:paraId="51B78279" w14:textId="1F51043F" w:rsidR="00E15125" w:rsidRDefault="00E15125" w:rsidP="00E15125">
      <w:pPr>
        <w:pStyle w:val="Caption"/>
        <w:jc w:val="both"/>
        <w:rPr>
          <w:i w:val="0"/>
          <w:sz w:val="22"/>
        </w:rPr>
      </w:pPr>
      <w:r w:rsidRPr="00E15125">
        <w:rPr>
          <w:b/>
          <w:sz w:val="22"/>
        </w:rPr>
        <w:t xml:space="preserve">Supp. Figure </w:t>
      </w:r>
      <w:r w:rsidRPr="00E15125">
        <w:rPr>
          <w:b/>
          <w:sz w:val="22"/>
        </w:rPr>
        <w:fldChar w:fldCharType="begin"/>
      </w:r>
      <w:r w:rsidRPr="00E15125">
        <w:rPr>
          <w:b/>
          <w:sz w:val="22"/>
        </w:rPr>
        <w:instrText xml:space="preserve"> SEQ Supp._Figure \* ARABIC </w:instrText>
      </w:r>
      <w:r w:rsidRPr="00E15125">
        <w:rPr>
          <w:b/>
          <w:sz w:val="22"/>
        </w:rPr>
        <w:fldChar w:fldCharType="separate"/>
      </w:r>
      <w:r w:rsidR="00B45891">
        <w:rPr>
          <w:b/>
          <w:noProof/>
          <w:sz w:val="22"/>
        </w:rPr>
        <w:t>4</w:t>
      </w:r>
      <w:r w:rsidRPr="00E15125">
        <w:rPr>
          <w:b/>
          <w:sz w:val="22"/>
        </w:rPr>
        <w:fldChar w:fldCharType="end"/>
      </w:r>
      <w:r>
        <w:t xml:space="preserve"> </w:t>
      </w:r>
      <w:r>
        <w:rPr>
          <w:sz w:val="22"/>
        </w:rPr>
        <w:t>C. difficile</w:t>
      </w:r>
      <w:r>
        <w:rPr>
          <w:i w:val="0"/>
          <w:sz w:val="22"/>
        </w:rPr>
        <w:t xml:space="preserve"> transmission from colonised adults with intact gut flora under various assumptions for the</w:t>
      </w:r>
      <w:r w:rsidRPr="00683E76">
        <w:rPr>
          <w:i w:val="0"/>
          <w:sz w:val="22"/>
        </w:rPr>
        <w:t xml:space="preserve"> </w:t>
      </w:r>
      <w:r>
        <w:rPr>
          <w:sz w:val="22"/>
        </w:rPr>
        <w:t xml:space="preserve">C. difficile </w:t>
      </w:r>
      <w:r>
        <w:rPr>
          <w:i w:val="0"/>
          <w:sz w:val="22"/>
        </w:rPr>
        <w:t xml:space="preserve">colonisation prevalence </w:t>
      </w:r>
      <w:r w:rsidRPr="00683E76">
        <w:rPr>
          <w:i w:val="0"/>
          <w:sz w:val="22"/>
        </w:rPr>
        <w:t>in</w:t>
      </w:r>
      <w:r>
        <w:rPr>
          <w:i w:val="0"/>
          <w:sz w:val="22"/>
        </w:rPr>
        <w:t xml:space="preserve"> adults, </w:t>
      </w:r>
      <w:r w:rsidRPr="00683E76">
        <w:rPr>
          <w:i w:val="0"/>
          <w:sz w:val="22"/>
        </w:rPr>
        <w:t xml:space="preserve">and </w:t>
      </w:r>
      <w:r>
        <w:rPr>
          <w:i w:val="0"/>
          <w:sz w:val="22"/>
        </w:rPr>
        <w:t xml:space="preserve">the </w:t>
      </w:r>
      <w:r w:rsidRPr="00683E76">
        <w:rPr>
          <w:i w:val="0"/>
          <w:sz w:val="22"/>
        </w:rPr>
        <w:t>relative infectiousness of infants</w:t>
      </w:r>
      <w:r>
        <w:rPr>
          <w:i w:val="0"/>
          <w:sz w:val="22"/>
        </w:rPr>
        <w:t xml:space="preserve"> as (A) the</w:t>
      </w:r>
      <w:r w:rsidRPr="00683E76">
        <w:rPr>
          <w:i w:val="0"/>
          <w:sz w:val="22"/>
        </w:rPr>
        <w:t xml:space="preserve"> proportion of all transmission</w:t>
      </w:r>
      <w:r>
        <w:rPr>
          <w:i w:val="0"/>
          <w:sz w:val="22"/>
        </w:rPr>
        <w:t xml:space="preserve"> in the community</w:t>
      </w:r>
      <w:r w:rsidRPr="00683E76">
        <w:rPr>
          <w:i w:val="0"/>
          <w:sz w:val="22"/>
        </w:rPr>
        <w:t xml:space="preserve"> and</w:t>
      </w:r>
      <w:r>
        <w:rPr>
          <w:i w:val="0"/>
          <w:sz w:val="22"/>
        </w:rPr>
        <w:t xml:space="preserve"> (B)</w:t>
      </w:r>
      <w:r w:rsidRPr="00683E76">
        <w:rPr>
          <w:i w:val="0"/>
          <w:sz w:val="22"/>
        </w:rPr>
        <w:t xml:space="preserve"> </w:t>
      </w:r>
      <w:r>
        <w:rPr>
          <w:i w:val="0"/>
          <w:sz w:val="22"/>
        </w:rPr>
        <w:t>the</w:t>
      </w:r>
      <w:r w:rsidRPr="00683E76">
        <w:rPr>
          <w:i w:val="0"/>
          <w:sz w:val="22"/>
        </w:rPr>
        <w:t xml:space="preserve"> proportion of all transmission</w:t>
      </w:r>
      <w:r>
        <w:rPr>
          <w:i w:val="0"/>
          <w:sz w:val="22"/>
        </w:rPr>
        <w:t xml:space="preserve"> in the hospital.</w:t>
      </w:r>
    </w:p>
    <w:p w14:paraId="1B548EAE" w14:textId="77777777" w:rsidR="00141165" w:rsidRDefault="00141165">
      <w:pPr>
        <w:rPr>
          <w:rFonts w:asciiTheme="majorHAnsi" w:eastAsiaTheme="majorEastAsia" w:hAnsiTheme="majorHAnsi" w:cstheme="majorBidi"/>
          <w:color w:val="2E74B5" w:themeColor="accent1" w:themeShade="BF"/>
          <w:sz w:val="32"/>
          <w:szCs w:val="32"/>
        </w:rPr>
      </w:pPr>
      <w:r>
        <w:br w:type="page"/>
      </w:r>
    </w:p>
    <w:p w14:paraId="67B96E57" w14:textId="77777777" w:rsidR="0041089E" w:rsidRDefault="0041089E" w:rsidP="002A6AF3">
      <w:pPr>
        <w:pStyle w:val="Heading1"/>
        <w:sectPr w:rsidR="0041089E">
          <w:footerReference w:type="default" r:id="rId13"/>
          <w:pgSz w:w="11906" w:h="16838"/>
          <w:pgMar w:top="1440" w:right="1440" w:bottom="1440" w:left="1440" w:header="708" w:footer="708" w:gutter="0"/>
          <w:cols w:space="708"/>
          <w:docGrid w:linePitch="360"/>
        </w:sectPr>
      </w:pPr>
    </w:p>
    <w:p w14:paraId="46137F25" w14:textId="1B13F562" w:rsidR="00985E70" w:rsidRDefault="00985E70" w:rsidP="002A6AF3">
      <w:pPr>
        <w:pStyle w:val="Heading1"/>
      </w:pPr>
      <w:r>
        <w:lastRenderedPageBreak/>
        <w:t>References</w:t>
      </w:r>
    </w:p>
    <w:p w14:paraId="1C453DA8" w14:textId="4329FBB0" w:rsidR="00C45F1D" w:rsidRPr="00C45F1D" w:rsidRDefault="00985E70" w:rsidP="00C45F1D">
      <w:pPr>
        <w:widowControl w:val="0"/>
        <w:autoSpaceDE w:val="0"/>
        <w:autoSpaceDN w:val="0"/>
        <w:adjustRightInd w:val="0"/>
        <w:spacing w:line="240" w:lineRule="auto"/>
        <w:ind w:left="640" w:hanging="640"/>
        <w:rPr>
          <w:rFonts w:ascii="Calibri" w:hAnsi="Calibri" w:cs="Calibri"/>
          <w:noProof/>
          <w:lang w:val="en-US"/>
        </w:rPr>
      </w:pPr>
      <w:r>
        <w:fldChar w:fldCharType="begin" w:fldLock="1"/>
      </w:r>
      <w:r>
        <w:instrText xml:space="preserve">ADDIN Mendeley Bibliography CSL_BIBLIOGRAPHY </w:instrText>
      </w:r>
      <w:r>
        <w:fldChar w:fldCharType="separate"/>
      </w:r>
      <w:r w:rsidR="00C45F1D" w:rsidRPr="00C45F1D">
        <w:rPr>
          <w:rFonts w:ascii="Calibri" w:hAnsi="Calibri" w:cs="Calibri"/>
          <w:noProof/>
          <w:lang w:val="en-US"/>
        </w:rPr>
        <w:t>1.</w:t>
      </w:r>
      <w:r w:rsidR="00C45F1D" w:rsidRPr="00C45F1D">
        <w:rPr>
          <w:rFonts w:ascii="Calibri" w:hAnsi="Calibri" w:cs="Calibri"/>
          <w:noProof/>
          <w:lang w:val="en-US"/>
        </w:rPr>
        <w:tab/>
      </w:r>
      <w:r w:rsidR="00C45F1D" w:rsidRPr="00C45F1D">
        <w:rPr>
          <w:rFonts w:ascii="Calibri" w:hAnsi="Calibri" w:cs="Calibri"/>
          <w:b/>
          <w:bCs/>
          <w:noProof/>
          <w:lang w:val="en-US"/>
        </w:rPr>
        <w:t>Centers for Disease Control and Prevention - National Center for Health Statistics.</w:t>
      </w:r>
      <w:r w:rsidR="00C45F1D" w:rsidRPr="00C45F1D">
        <w:rPr>
          <w:rFonts w:ascii="Calibri" w:hAnsi="Calibri" w:cs="Calibri"/>
          <w:noProof/>
          <w:lang w:val="en-US"/>
        </w:rPr>
        <w:t xml:space="preserve"> </w:t>
      </w:r>
      <w:r w:rsidR="00C45F1D" w:rsidRPr="00C45F1D">
        <w:rPr>
          <w:rFonts w:ascii="Calibri" w:hAnsi="Calibri" w:cs="Calibri"/>
          <w:i/>
          <w:iCs/>
          <w:noProof/>
          <w:lang w:val="en-US"/>
        </w:rPr>
        <w:t>CDC Wonder: Underlying Cause of Death, Multiple Cause of Death Files, 1999-2016</w:t>
      </w:r>
      <w:r w:rsidR="00C45F1D" w:rsidRPr="00C45F1D">
        <w:rPr>
          <w:rFonts w:ascii="Calibri" w:hAnsi="Calibri" w:cs="Calibri"/>
          <w:noProof/>
          <w:lang w:val="en-US"/>
        </w:rPr>
        <w:t xml:space="preserve">. (http://wonder.cdc.gov/ucd-icd10.html). Accessed 18 December 2017. </w:t>
      </w:r>
    </w:p>
    <w:p w14:paraId="275B1B91" w14:textId="009565C5" w:rsidR="00C45F1D" w:rsidRPr="00C45F1D" w:rsidRDefault="00C45F1D" w:rsidP="00C45F1D">
      <w:pPr>
        <w:widowControl w:val="0"/>
        <w:autoSpaceDE w:val="0"/>
        <w:autoSpaceDN w:val="0"/>
        <w:adjustRightInd w:val="0"/>
        <w:spacing w:line="240" w:lineRule="auto"/>
        <w:ind w:left="640" w:hanging="640"/>
        <w:rPr>
          <w:rFonts w:ascii="Calibri" w:hAnsi="Calibri" w:cs="Calibri"/>
          <w:noProof/>
          <w:lang w:val="en-US"/>
        </w:rPr>
      </w:pPr>
      <w:r w:rsidRPr="00C45F1D">
        <w:rPr>
          <w:rFonts w:ascii="Calibri" w:hAnsi="Calibri" w:cs="Calibri"/>
          <w:noProof/>
          <w:lang w:val="en-US"/>
        </w:rPr>
        <w:t>2.</w:t>
      </w:r>
      <w:r w:rsidRPr="00C45F1D">
        <w:rPr>
          <w:rFonts w:ascii="Calibri" w:hAnsi="Calibri" w:cs="Calibri"/>
          <w:noProof/>
          <w:lang w:val="en-US"/>
        </w:rPr>
        <w:tab/>
      </w:r>
      <w:r w:rsidRPr="00C45F1D">
        <w:rPr>
          <w:rFonts w:ascii="Calibri" w:hAnsi="Calibri" w:cs="Calibri"/>
          <w:b/>
          <w:bCs/>
          <w:noProof/>
          <w:lang w:val="en-US"/>
        </w:rPr>
        <w:t xml:space="preserve">Foglia G, </w:t>
      </w:r>
      <w:r w:rsidRPr="00C45F1D">
        <w:rPr>
          <w:rFonts w:ascii="Calibri" w:hAnsi="Calibri" w:cs="Calibri"/>
          <w:b/>
          <w:bCs/>
          <w:i/>
          <w:iCs/>
          <w:noProof/>
          <w:lang w:val="en-US"/>
        </w:rPr>
        <w:t>et al.</w:t>
      </w:r>
      <w:r w:rsidRPr="00C45F1D">
        <w:rPr>
          <w:rFonts w:ascii="Calibri" w:hAnsi="Calibri" w:cs="Calibri"/>
          <w:noProof/>
          <w:lang w:val="en-US"/>
        </w:rPr>
        <w:t xml:space="preserve"> </w:t>
      </w:r>
      <w:r w:rsidR="00BB0639" w:rsidRPr="00BB0639">
        <w:rPr>
          <w:rFonts w:ascii="Calibri" w:hAnsi="Calibri" w:cs="Calibri"/>
          <w:i/>
          <w:noProof/>
          <w:lang w:val="en-US"/>
        </w:rPr>
        <w:t>Clostridium difficile</w:t>
      </w:r>
      <w:r w:rsidRPr="00C45F1D">
        <w:rPr>
          <w:rFonts w:ascii="Calibri" w:hAnsi="Calibri" w:cs="Calibri"/>
          <w:noProof/>
          <w:lang w:val="en-US"/>
        </w:rPr>
        <w:t xml:space="preserve">: Development of a novel candidate vaccine. </w:t>
      </w:r>
      <w:r w:rsidRPr="00C45F1D">
        <w:rPr>
          <w:rFonts w:ascii="Calibri" w:hAnsi="Calibri" w:cs="Calibri"/>
          <w:i/>
          <w:iCs/>
          <w:noProof/>
          <w:lang w:val="en-US"/>
        </w:rPr>
        <w:t>Vaccine</w:t>
      </w:r>
      <w:r w:rsidRPr="00C45F1D">
        <w:rPr>
          <w:rFonts w:ascii="Calibri" w:hAnsi="Calibri" w:cs="Calibri"/>
          <w:noProof/>
          <w:lang w:val="en-US"/>
        </w:rPr>
        <w:t xml:space="preserve"> Elsevier Ltd, 2012; </w:t>
      </w:r>
      <w:r w:rsidRPr="00C45F1D">
        <w:rPr>
          <w:rFonts w:ascii="Calibri" w:hAnsi="Calibri" w:cs="Calibri"/>
          <w:b/>
          <w:bCs/>
          <w:noProof/>
          <w:lang w:val="en-US"/>
        </w:rPr>
        <w:t>30</w:t>
      </w:r>
      <w:r w:rsidRPr="00C45F1D">
        <w:rPr>
          <w:rFonts w:ascii="Calibri" w:hAnsi="Calibri" w:cs="Calibri"/>
          <w:noProof/>
          <w:lang w:val="en-US"/>
        </w:rPr>
        <w:t xml:space="preserve">: 4307–4309. </w:t>
      </w:r>
    </w:p>
    <w:p w14:paraId="6D3D52BA" w14:textId="59E67799" w:rsidR="00C45F1D" w:rsidRPr="00C45F1D" w:rsidRDefault="00C45F1D" w:rsidP="00C45F1D">
      <w:pPr>
        <w:widowControl w:val="0"/>
        <w:autoSpaceDE w:val="0"/>
        <w:autoSpaceDN w:val="0"/>
        <w:adjustRightInd w:val="0"/>
        <w:spacing w:line="240" w:lineRule="auto"/>
        <w:ind w:left="640" w:hanging="640"/>
        <w:rPr>
          <w:rFonts w:ascii="Calibri" w:hAnsi="Calibri" w:cs="Calibri"/>
          <w:noProof/>
          <w:lang w:val="en-US"/>
        </w:rPr>
      </w:pPr>
      <w:r w:rsidRPr="00C45F1D">
        <w:rPr>
          <w:rFonts w:ascii="Calibri" w:hAnsi="Calibri" w:cs="Calibri"/>
          <w:noProof/>
          <w:lang w:val="en-US"/>
        </w:rPr>
        <w:t>3.</w:t>
      </w:r>
      <w:r w:rsidRPr="00C45F1D">
        <w:rPr>
          <w:rFonts w:ascii="Calibri" w:hAnsi="Calibri" w:cs="Calibri"/>
          <w:noProof/>
          <w:lang w:val="en-US"/>
        </w:rPr>
        <w:tab/>
      </w:r>
      <w:r w:rsidRPr="00C45F1D">
        <w:rPr>
          <w:rFonts w:ascii="Calibri" w:hAnsi="Calibri" w:cs="Calibri"/>
          <w:b/>
          <w:bCs/>
          <w:noProof/>
          <w:lang w:val="en-US"/>
        </w:rPr>
        <w:t xml:space="preserve">de Bruyn G, </w:t>
      </w:r>
      <w:r w:rsidRPr="00C45F1D">
        <w:rPr>
          <w:rFonts w:ascii="Calibri" w:hAnsi="Calibri" w:cs="Calibri"/>
          <w:b/>
          <w:bCs/>
          <w:i/>
          <w:iCs/>
          <w:noProof/>
          <w:lang w:val="en-US"/>
        </w:rPr>
        <w:t>et al.</w:t>
      </w:r>
      <w:r w:rsidRPr="00C45F1D">
        <w:rPr>
          <w:rFonts w:ascii="Calibri" w:hAnsi="Calibri" w:cs="Calibri"/>
          <w:noProof/>
          <w:lang w:val="en-US"/>
        </w:rPr>
        <w:t xml:space="preserve"> Defining the optimal formulation and schedule of a candidate toxoid vaccine against </w:t>
      </w:r>
      <w:r w:rsidR="00BB0639" w:rsidRPr="00BB0639">
        <w:rPr>
          <w:rFonts w:ascii="Calibri" w:hAnsi="Calibri" w:cs="Calibri"/>
          <w:i/>
          <w:noProof/>
          <w:lang w:val="en-US"/>
        </w:rPr>
        <w:t>Clostridium difficile</w:t>
      </w:r>
      <w:r w:rsidRPr="00C45F1D">
        <w:rPr>
          <w:rFonts w:ascii="Calibri" w:hAnsi="Calibri" w:cs="Calibri"/>
          <w:noProof/>
          <w:lang w:val="en-US"/>
        </w:rPr>
        <w:t xml:space="preserve"> infection: A randomized Phase 2 clinical trial. </w:t>
      </w:r>
      <w:r w:rsidRPr="00C45F1D">
        <w:rPr>
          <w:rFonts w:ascii="Calibri" w:hAnsi="Calibri" w:cs="Calibri"/>
          <w:i/>
          <w:iCs/>
          <w:noProof/>
          <w:lang w:val="en-US"/>
        </w:rPr>
        <w:t>Vaccine</w:t>
      </w:r>
      <w:r w:rsidRPr="00C45F1D">
        <w:rPr>
          <w:rFonts w:ascii="Calibri" w:hAnsi="Calibri" w:cs="Calibri"/>
          <w:noProof/>
          <w:lang w:val="en-US"/>
        </w:rPr>
        <w:t xml:space="preserve"> Elsevier Ltd, 2016; </w:t>
      </w:r>
      <w:r w:rsidRPr="00C45F1D">
        <w:rPr>
          <w:rFonts w:ascii="Calibri" w:hAnsi="Calibri" w:cs="Calibri"/>
          <w:b/>
          <w:bCs/>
          <w:noProof/>
          <w:lang w:val="en-US"/>
        </w:rPr>
        <w:t>34</w:t>
      </w:r>
      <w:r w:rsidRPr="00C45F1D">
        <w:rPr>
          <w:rFonts w:ascii="Calibri" w:hAnsi="Calibri" w:cs="Calibri"/>
          <w:noProof/>
          <w:lang w:val="en-US"/>
        </w:rPr>
        <w:t xml:space="preserve">: 2170–2178. </w:t>
      </w:r>
    </w:p>
    <w:p w14:paraId="649BAD98" w14:textId="77777777" w:rsidR="00C45F1D" w:rsidRPr="00C45F1D" w:rsidRDefault="00C45F1D" w:rsidP="00C45F1D">
      <w:pPr>
        <w:widowControl w:val="0"/>
        <w:autoSpaceDE w:val="0"/>
        <w:autoSpaceDN w:val="0"/>
        <w:adjustRightInd w:val="0"/>
        <w:spacing w:line="240" w:lineRule="auto"/>
        <w:ind w:left="640" w:hanging="640"/>
        <w:rPr>
          <w:rFonts w:ascii="Calibri" w:hAnsi="Calibri" w:cs="Calibri"/>
          <w:noProof/>
          <w:lang w:val="en-US"/>
        </w:rPr>
      </w:pPr>
      <w:r w:rsidRPr="00C45F1D">
        <w:rPr>
          <w:rFonts w:ascii="Calibri" w:hAnsi="Calibri" w:cs="Calibri"/>
          <w:noProof/>
          <w:lang w:val="en-US"/>
        </w:rPr>
        <w:t>4.</w:t>
      </w:r>
      <w:r w:rsidRPr="00C45F1D">
        <w:rPr>
          <w:rFonts w:ascii="Calibri" w:hAnsi="Calibri" w:cs="Calibri"/>
          <w:noProof/>
          <w:lang w:val="en-US"/>
        </w:rPr>
        <w:tab/>
      </w:r>
      <w:r w:rsidRPr="00C45F1D">
        <w:rPr>
          <w:rFonts w:ascii="Calibri" w:hAnsi="Calibri" w:cs="Calibri"/>
          <w:b/>
          <w:bCs/>
          <w:noProof/>
          <w:lang w:val="en-US"/>
        </w:rPr>
        <w:t>Weiss (Truven Health Analytics) AJ, Elixhauser (AHRQ) A</w:t>
      </w:r>
      <w:r w:rsidRPr="00C45F1D">
        <w:rPr>
          <w:rFonts w:ascii="Calibri" w:hAnsi="Calibri" w:cs="Calibri"/>
          <w:noProof/>
          <w:lang w:val="en-US"/>
        </w:rPr>
        <w:t xml:space="preserve">. </w:t>
      </w:r>
      <w:r w:rsidRPr="00C45F1D">
        <w:rPr>
          <w:rFonts w:ascii="Calibri" w:hAnsi="Calibri" w:cs="Calibri"/>
          <w:i/>
          <w:iCs/>
          <w:noProof/>
          <w:lang w:val="en-US"/>
        </w:rPr>
        <w:t>Overview of Hospital Stays in the United States, 2012: Statistical Brief #180</w:t>
      </w:r>
      <w:r w:rsidRPr="00C45F1D">
        <w:rPr>
          <w:rFonts w:ascii="Calibri" w:hAnsi="Calibri" w:cs="Calibri"/>
          <w:noProof/>
          <w:lang w:val="en-US"/>
        </w:rPr>
        <w:t xml:space="preserve">. </w:t>
      </w:r>
      <w:r w:rsidRPr="00C45F1D">
        <w:rPr>
          <w:rFonts w:ascii="Calibri" w:hAnsi="Calibri" w:cs="Calibri"/>
          <w:i/>
          <w:iCs/>
          <w:noProof/>
          <w:lang w:val="en-US"/>
        </w:rPr>
        <w:t>Healthcare Cost and Utilization Project (HCUP) Statistical Briefs</w:t>
      </w:r>
      <w:r w:rsidRPr="00C45F1D">
        <w:rPr>
          <w:rFonts w:ascii="Calibri" w:hAnsi="Calibri" w:cs="Calibri"/>
          <w:noProof/>
          <w:lang w:val="en-US"/>
        </w:rPr>
        <w:t xml:space="preserve">. Rockville, MD: Agency for Healthcare Research and Quality, 2014. </w:t>
      </w:r>
    </w:p>
    <w:p w14:paraId="435F7C28" w14:textId="77777777" w:rsidR="00C45F1D" w:rsidRPr="00C45F1D" w:rsidRDefault="00C45F1D" w:rsidP="00C45F1D">
      <w:pPr>
        <w:widowControl w:val="0"/>
        <w:autoSpaceDE w:val="0"/>
        <w:autoSpaceDN w:val="0"/>
        <w:adjustRightInd w:val="0"/>
        <w:spacing w:line="240" w:lineRule="auto"/>
        <w:ind w:left="640" w:hanging="640"/>
        <w:rPr>
          <w:rFonts w:ascii="Calibri" w:hAnsi="Calibri" w:cs="Calibri"/>
          <w:noProof/>
          <w:lang w:val="en-US"/>
        </w:rPr>
      </w:pPr>
      <w:r w:rsidRPr="00C45F1D">
        <w:rPr>
          <w:rFonts w:ascii="Calibri" w:hAnsi="Calibri" w:cs="Calibri"/>
          <w:noProof/>
          <w:lang w:val="en-US"/>
        </w:rPr>
        <w:t>5.</w:t>
      </w:r>
      <w:r w:rsidRPr="00C45F1D">
        <w:rPr>
          <w:rFonts w:ascii="Calibri" w:hAnsi="Calibri" w:cs="Calibri"/>
          <w:noProof/>
          <w:lang w:val="en-US"/>
        </w:rPr>
        <w:tab/>
      </w:r>
      <w:r w:rsidRPr="00C45F1D">
        <w:rPr>
          <w:rFonts w:ascii="Calibri" w:hAnsi="Calibri" w:cs="Calibri"/>
          <w:b/>
          <w:bCs/>
          <w:noProof/>
          <w:lang w:val="en-US"/>
        </w:rPr>
        <w:t>MacDougall C, Polk RE</w:t>
      </w:r>
      <w:r w:rsidRPr="00C45F1D">
        <w:rPr>
          <w:rFonts w:ascii="Calibri" w:hAnsi="Calibri" w:cs="Calibri"/>
          <w:noProof/>
          <w:lang w:val="en-US"/>
        </w:rPr>
        <w:t xml:space="preserve">. Variability in rates of use of antibacterials among 130 US hospitals and risk-adjustment models for interhospital comparison. </w:t>
      </w:r>
      <w:r w:rsidRPr="00C45F1D">
        <w:rPr>
          <w:rFonts w:ascii="Calibri" w:hAnsi="Calibri" w:cs="Calibri"/>
          <w:i/>
          <w:iCs/>
          <w:noProof/>
          <w:lang w:val="en-US"/>
        </w:rPr>
        <w:t>Infection control and hospital epidemiology</w:t>
      </w:r>
      <w:r w:rsidRPr="00C45F1D">
        <w:rPr>
          <w:rFonts w:ascii="Calibri" w:hAnsi="Calibri" w:cs="Calibri"/>
          <w:noProof/>
          <w:lang w:val="en-US"/>
        </w:rPr>
        <w:t xml:space="preserve"> 2008; </w:t>
      </w:r>
      <w:r w:rsidRPr="00C45F1D">
        <w:rPr>
          <w:rFonts w:ascii="Calibri" w:hAnsi="Calibri" w:cs="Calibri"/>
          <w:b/>
          <w:bCs/>
          <w:noProof/>
          <w:lang w:val="en-US"/>
        </w:rPr>
        <w:t>29</w:t>
      </w:r>
      <w:r w:rsidRPr="00C45F1D">
        <w:rPr>
          <w:rFonts w:ascii="Calibri" w:hAnsi="Calibri" w:cs="Calibri"/>
          <w:noProof/>
          <w:lang w:val="en-US"/>
        </w:rPr>
        <w:t xml:space="preserve">: 203–11. </w:t>
      </w:r>
    </w:p>
    <w:p w14:paraId="412ADF80" w14:textId="77777777" w:rsidR="00C45F1D" w:rsidRPr="00C45F1D" w:rsidRDefault="00C45F1D" w:rsidP="00C45F1D">
      <w:pPr>
        <w:widowControl w:val="0"/>
        <w:autoSpaceDE w:val="0"/>
        <w:autoSpaceDN w:val="0"/>
        <w:adjustRightInd w:val="0"/>
        <w:spacing w:line="240" w:lineRule="auto"/>
        <w:ind w:left="640" w:hanging="640"/>
        <w:rPr>
          <w:rFonts w:ascii="Calibri" w:hAnsi="Calibri" w:cs="Calibri"/>
          <w:noProof/>
          <w:lang w:val="en-US"/>
        </w:rPr>
      </w:pPr>
      <w:r w:rsidRPr="00C45F1D">
        <w:rPr>
          <w:rFonts w:ascii="Calibri" w:hAnsi="Calibri" w:cs="Calibri"/>
          <w:noProof/>
          <w:lang w:val="en-US"/>
        </w:rPr>
        <w:t>6.</w:t>
      </w:r>
      <w:r w:rsidRPr="00C45F1D">
        <w:rPr>
          <w:rFonts w:ascii="Calibri" w:hAnsi="Calibri" w:cs="Calibri"/>
          <w:noProof/>
          <w:lang w:val="en-US"/>
        </w:rPr>
        <w:tab/>
      </w:r>
      <w:r w:rsidRPr="00C45F1D">
        <w:rPr>
          <w:rFonts w:ascii="Calibri" w:hAnsi="Calibri" w:cs="Calibri"/>
          <w:b/>
          <w:bCs/>
          <w:noProof/>
          <w:lang w:val="en-US"/>
        </w:rPr>
        <w:t>Australian Commonwealth Department of Health - Drug utilisation sub-committee (DUSC)</w:t>
      </w:r>
      <w:r w:rsidRPr="00C45F1D">
        <w:rPr>
          <w:rFonts w:ascii="Calibri" w:hAnsi="Calibri" w:cs="Calibri"/>
          <w:noProof/>
          <w:lang w:val="en-US"/>
        </w:rPr>
        <w:t xml:space="preserve">. </w:t>
      </w:r>
      <w:r w:rsidRPr="00C45F1D">
        <w:rPr>
          <w:rFonts w:ascii="Calibri" w:hAnsi="Calibri" w:cs="Calibri"/>
          <w:i/>
          <w:iCs/>
          <w:noProof/>
          <w:lang w:val="en-US"/>
        </w:rPr>
        <w:t>Antibiotics : PBS / RPBS utilisation</w:t>
      </w:r>
      <w:r w:rsidRPr="00C45F1D">
        <w:rPr>
          <w:rFonts w:ascii="Calibri" w:hAnsi="Calibri" w:cs="Calibri"/>
          <w:noProof/>
          <w:lang w:val="en-US"/>
        </w:rPr>
        <w:t xml:space="preserve">. Canberra, 2015. </w:t>
      </w:r>
    </w:p>
    <w:p w14:paraId="24CD0A97" w14:textId="77777777" w:rsidR="00C45F1D" w:rsidRPr="00C45F1D" w:rsidRDefault="00C45F1D" w:rsidP="00C45F1D">
      <w:pPr>
        <w:widowControl w:val="0"/>
        <w:autoSpaceDE w:val="0"/>
        <w:autoSpaceDN w:val="0"/>
        <w:adjustRightInd w:val="0"/>
        <w:spacing w:line="240" w:lineRule="auto"/>
        <w:ind w:left="640" w:hanging="640"/>
        <w:rPr>
          <w:rFonts w:ascii="Calibri" w:hAnsi="Calibri" w:cs="Calibri"/>
          <w:noProof/>
          <w:lang w:val="en-US"/>
        </w:rPr>
      </w:pPr>
      <w:r w:rsidRPr="00C45F1D">
        <w:rPr>
          <w:rFonts w:ascii="Calibri" w:hAnsi="Calibri" w:cs="Calibri"/>
          <w:noProof/>
          <w:lang w:val="en-US"/>
        </w:rPr>
        <w:t>7.</w:t>
      </w:r>
      <w:r w:rsidRPr="00C45F1D">
        <w:rPr>
          <w:rFonts w:ascii="Calibri" w:hAnsi="Calibri" w:cs="Calibri"/>
          <w:noProof/>
          <w:lang w:val="en-US"/>
        </w:rPr>
        <w:tab/>
      </w:r>
      <w:r w:rsidRPr="00C45F1D">
        <w:rPr>
          <w:rFonts w:ascii="Calibri" w:hAnsi="Calibri" w:cs="Calibri"/>
          <w:b/>
          <w:bCs/>
          <w:noProof/>
          <w:lang w:val="en-US"/>
        </w:rPr>
        <w:t>Rafii F, Sutherland JB, Cerniglia CE</w:t>
      </w:r>
      <w:r w:rsidRPr="00C45F1D">
        <w:rPr>
          <w:rFonts w:ascii="Calibri" w:hAnsi="Calibri" w:cs="Calibri"/>
          <w:noProof/>
          <w:lang w:val="en-US"/>
        </w:rPr>
        <w:t xml:space="preserve">. Effects of treatment with antimicrobial agents on the human colonic microflora. </w:t>
      </w:r>
      <w:r w:rsidRPr="00C45F1D">
        <w:rPr>
          <w:rFonts w:ascii="Calibri" w:hAnsi="Calibri" w:cs="Calibri"/>
          <w:i/>
          <w:iCs/>
          <w:noProof/>
          <w:lang w:val="en-US"/>
        </w:rPr>
        <w:t>Therapeutics and clinical risk management</w:t>
      </w:r>
      <w:r w:rsidRPr="00C45F1D">
        <w:rPr>
          <w:rFonts w:ascii="Calibri" w:hAnsi="Calibri" w:cs="Calibri"/>
          <w:noProof/>
          <w:lang w:val="en-US"/>
        </w:rPr>
        <w:t xml:space="preserve"> 2008; </w:t>
      </w:r>
      <w:r w:rsidRPr="00C45F1D">
        <w:rPr>
          <w:rFonts w:ascii="Calibri" w:hAnsi="Calibri" w:cs="Calibri"/>
          <w:b/>
          <w:bCs/>
          <w:noProof/>
          <w:lang w:val="en-US"/>
        </w:rPr>
        <w:t>4</w:t>
      </w:r>
      <w:r w:rsidRPr="00C45F1D">
        <w:rPr>
          <w:rFonts w:ascii="Calibri" w:hAnsi="Calibri" w:cs="Calibri"/>
          <w:noProof/>
          <w:lang w:val="en-US"/>
        </w:rPr>
        <w:t xml:space="preserve">: 1343–58. </w:t>
      </w:r>
    </w:p>
    <w:p w14:paraId="691C1B92" w14:textId="7987184C" w:rsidR="00C45F1D" w:rsidRPr="00C45F1D" w:rsidRDefault="00C45F1D" w:rsidP="00C45F1D">
      <w:pPr>
        <w:widowControl w:val="0"/>
        <w:autoSpaceDE w:val="0"/>
        <w:autoSpaceDN w:val="0"/>
        <w:adjustRightInd w:val="0"/>
        <w:spacing w:line="240" w:lineRule="auto"/>
        <w:ind w:left="640" w:hanging="640"/>
        <w:rPr>
          <w:rFonts w:ascii="Calibri" w:hAnsi="Calibri" w:cs="Calibri"/>
          <w:noProof/>
          <w:lang w:val="en-US"/>
        </w:rPr>
      </w:pPr>
      <w:r w:rsidRPr="00C45F1D">
        <w:rPr>
          <w:rFonts w:ascii="Calibri" w:hAnsi="Calibri" w:cs="Calibri"/>
          <w:noProof/>
          <w:lang w:val="en-US"/>
        </w:rPr>
        <w:t>8.</w:t>
      </w:r>
      <w:r w:rsidRPr="00C45F1D">
        <w:rPr>
          <w:rFonts w:ascii="Calibri" w:hAnsi="Calibri" w:cs="Calibri"/>
          <w:noProof/>
          <w:lang w:val="en-US"/>
        </w:rPr>
        <w:tab/>
      </w:r>
      <w:r w:rsidRPr="00C45F1D">
        <w:rPr>
          <w:rFonts w:ascii="Calibri" w:hAnsi="Calibri" w:cs="Calibri"/>
          <w:b/>
          <w:bCs/>
          <w:noProof/>
          <w:lang w:val="en-US"/>
        </w:rPr>
        <w:t xml:space="preserve">Dial S, </w:t>
      </w:r>
      <w:r w:rsidRPr="00C45F1D">
        <w:rPr>
          <w:rFonts w:ascii="Calibri" w:hAnsi="Calibri" w:cs="Calibri"/>
          <w:b/>
          <w:bCs/>
          <w:i/>
          <w:iCs/>
          <w:noProof/>
          <w:lang w:val="en-US"/>
        </w:rPr>
        <w:t>et al.</w:t>
      </w:r>
      <w:r w:rsidRPr="00C45F1D">
        <w:rPr>
          <w:rFonts w:ascii="Calibri" w:hAnsi="Calibri" w:cs="Calibri"/>
          <w:noProof/>
          <w:lang w:val="en-US"/>
        </w:rPr>
        <w:t xml:space="preserve"> Patterns of antibiotic use and risk of hospital admission because of </w:t>
      </w:r>
      <w:r w:rsidR="00BB0639" w:rsidRPr="00BB0639">
        <w:rPr>
          <w:rFonts w:ascii="Calibri" w:hAnsi="Calibri" w:cs="Calibri"/>
          <w:i/>
          <w:noProof/>
          <w:lang w:val="en-US"/>
        </w:rPr>
        <w:t>Clostridium difficile</w:t>
      </w:r>
      <w:r w:rsidRPr="00C45F1D">
        <w:rPr>
          <w:rFonts w:ascii="Calibri" w:hAnsi="Calibri" w:cs="Calibri"/>
          <w:noProof/>
          <w:lang w:val="en-US"/>
        </w:rPr>
        <w:t xml:space="preserve"> infection. </w:t>
      </w:r>
      <w:r w:rsidRPr="00C45F1D">
        <w:rPr>
          <w:rFonts w:ascii="Calibri" w:hAnsi="Calibri" w:cs="Calibri"/>
          <w:i/>
          <w:iCs/>
          <w:noProof/>
          <w:lang w:val="en-US"/>
        </w:rPr>
        <w:t>Canadian Medical Association Journal</w:t>
      </w:r>
      <w:r w:rsidRPr="00C45F1D">
        <w:rPr>
          <w:rFonts w:ascii="Calibri" w:hAnsi="Calibri" w:cs="Calibri"/>
          <w:noProof/>
          <w:lang w:val="en-US"/>
        </w:rPr>
        <w:t xml:space="preserve"> 2008; </w:t>
      </w:r>
      <w:r w:rsidRPr="00C45F1D">
        <w:rPr>
          <w:rFonts w:ascii="Calibri" w:hAnsi="Calibri" w:cs="Calibri"/>
          <w:b/>
          <w:bCs/>
          <w:noProof/>
          <w:lang w:val="en-US"/>
        </w:rPr>
        <w:t>179</w:t>
      </w:r>
      <w:r w:rsidRPr="00C45F1D">
        <w:rPr>
          <w:rFonts w:ascii="Calibri" w:hAnsi="Calibri" w:cs="Calibri"/>
          <w:noProof/>
          <w:lang w:val="en-US"/>
        </w:rPr>
        <w:t xml:space="preserve">: 767–772. </w:t>
      </w:r>
    </w:p>
    <w:p w14:paraId="765A8C46" w14:textId="77777777" w:rsidR="00C45F1D" w:rsidRPr="00C45F1D" w:rsidRDefault="00C45F1D" w:rsidP="00C45F1D">
      <w:pPr>
        <w:widowControl w:val="0"/>
        <w:autoSpaceDE w:val="0"/>
        <w:autoSpaceDN w:val="0"/>
        <w:adjustRightInd w:val="0"/>
        <w:spacing w:line="240" w:lineRule="auto"/>
        <w:ind w:left="640" w:hanging="640"/>
        <w:rPr>
          <w:rFonts w:ascii="Calibri" w:hAnsi="Calibri" w:cs="Calibri"/>
          <w:noProof/>
          <w:lang w:val="en-US"/>
        </w:rPr>
      </w:pPr>
      <w:r w:rsidRPr="00C45F1D">
        <w:rPr>
          <w:rFonts w:ascii="Calibri" w:hAnsi="Calibri" w:cs="Calibri"/>
          <w:noProof/>
          <w:lang w:val="en-US"/>
        </w:rPr>
        <w:t>9.</w:t>
      </w:r>
      <w:r w:rsidRPr="00C45F1D">
        <w:rPr>
          <w:rFonts w:ascii="Calibri" w:hAnsi="Calibri" w:cs="Calibri"/>
          <w:noProof/>
          <w:lang w:val="en-US"/>
        </w:rPr>
        <w:tab/>
      </w:r>
      <w:r w:rsidRPr="00C45F1D">
        <w:rPr>
          <w:rFonts w:ascii="Calibri" w:hAnsi="Calibri" w:cs="Calibri"/>
          <w:b/>
          <w:bCs/>
          <w:noProof/>
          <w:lang w:val="en-US"/>
        </w:rPr>
        <w:t>Bartlett JG</w:t>
      </w:r>
      <w:r w:rsidRPr="00C45F1D">
        <w:rPr>
          <w:rFonts w:ascii="Calibri" w:hAnsi="Calibri" w:cs="Calibri"/>
          <w:noProof/>
          <w:lang w:val="en-US"/>
        </w:rPr>
        <w:t xml:space="preserve">. Treatment of Antibiotic-Associated Pseudomembranous Colitis. </w:t>
      </w:r>
      <w:r w:rsidRPr="00C45F1D">
        <w:rPr>
          <w:rFonts w:ascii="Calibri" w:hAnsi="Calibri" w:cs="Calibri"/>
          <w:i/>
          <w:iCs/>
          <w:noProof/>
          <w:lang w:val="en-US"/>
        </w:rPr>
        <w:t>Clinical Infectious Diseases</w:t>
      </w:r>
      <w:r w:rsidRPr="00C45F1D">
        <w:rPr>
          <w:rFonts w:ascii="Calibri" w:hAnsi="Calibri" w:cs="Calibri"/>
          <w:noProof/>
          <w:lang w:val="en-US"/>
        </w:rPr>
        <w:t xml:space="preserve"> 1984; </w:t>
      </w:r>
      <w:r w:rsidRPr="00C45F1D">
        <w:rPr>
          <w:rFonts w:ascii="Calibri" w:hAnsi="Calibri" w:cs="Calibri"/>
          <w:b/>
          <w:bCs/>
          <w:noProof/>
          <w:lang w:val="en-US"/>
        </w:rPr>
        <w:t>6</w:t>
      </w:r>
      <w:r w:rsidRPr="00C45F1D">
        <w:rPr>
          <w:rFonts w:ascii="Calibri" w:hAnsi="Calibri" w:cs="Calibri"/>
          <w:noProof/>
          <w:lang w:val="en-US"/>
        </w:rPr>
        <w:t xml:space="preserve">: S235--S241. </w:t>
      </w:r>
    </w:p>
    <w:p w14:paraId="0AC44A46" w14:textId="4EBC1524" w:rsidR="00C45F1D" w:rsidRPr="00C45F1D" w:rsidRDefault="00C45F1D" w:rsidP="00C45F1D">
      <w:pPr>
        <w:widowControl w:val="0"/>
        <w:autoSpaceDE w:val="0"/>
        <w:autoSpaceDN w:val="0"/>
        <w:adjustRightInd w:val="0"/>
        <w:spacing w:line="240" w:lineRule="auto"/>
        <w:ind w:left="640" w:hanging="640"/>
        <w:rPr>
          <w:rFonts w:ascii="Calibri" w:hAnsi="Calibri" w:cs="Calibri"/>
          <w:noProof/>
          <w:lang w:val="en-US"/>
        </w:rPr>
      </w:pPr>
      <w:r w:rsidRPr="00C45F1D">
        <w:rPr>
          <w:rFonts w:ascii="Calibri" w:hAnsi="Calibri" w:cs="Calibri"/>
          <w:noProof/>
          <w:lang w:val="en-US"/>
        </w:rPr>
        <w:t>10.</w:t>
      </w:r>
      <w:r w:rsidRPr="00C45F1D">
        <w:rPr>
          <w:rFonts w:ascii="Calibri" w:hAnsi="Calibri" w:cs="Calibri"/>
          <w:noProof/>
          <w:lang w:val="en-US"/>
        </w:rPr>
        <w:tab/>
      </w:r>
      <w:r w:rsidRPr="00C45F1D">
        <w:rPr>
          <w:rFonts w:ascii="Calibri" w:hAnsi="Calibri" w:cs="Calibri"/>
          <w:b/>
          <w:bCs/>
          <w:noProof/>
          <w:lang w:val="en-US"/>
        </w:rPr>
        <w:t xml:space="preserve">McLure A, </w:t>
      </w:r>
      <w:r w:rsidRPr="00C45F1D">
        <w:rPr>
          <w:rFonts w:ascii="Calibri" w:hAnsi="Calibri" w:cs="Calibri"/>
          <w:b/>
          <w:bCs/>
          <w:i/>
          <w:iCs/>
          <w:noProof/>
          <w:lang w:val="en-US"/>
        </w:rPr>
        <w:t>et al.</w:t>
      </w:r>
      <w:r w:rsidRPr="00C45F1D">
        <w:rPr>
          <w:rFonts w:ascii="Calibri" w:hAnsi="Calibri" w:cs="Calibri"/>
          <w:noProof/>
          <w:lang w:val="en-US"/>
        </w:rPr>
        <w:t xml:space="preserve"> Healthcare-Associated </w:t>
      </w:r>
      <w:r w:rsidR="00BB0639" w:rsidRPr="00BB0639">
        <w:rPr>
          <w:rFonts w:ascii="Calibri" w:hAnsi="Calibri" w:cs="Calibri"/>
          <w:i/>
          <w:noProof/>
          <w:lang w:val="en-US"/>
        </w:rPr>
        <w:t>Clostridium difficile</w:t>
      </w:r>
      <w:r w:rsidRPr="00C45F1D">
        <w:rPr>
          <w:rFonts w:ascii="Calibri" w:hAnsi="Calibri" w:cs="Calibri"/>
          <w:noProof/>
          <w:lang w:val="en-US"/>
        </w:rPr>
        <w:t xml:space="preserve"> Infections are Sustained by Disease from the Community. </w:t>
      </w:r>
      <w:r w:rsidRPr="00C45F1D">
        <w:rPr>
          <w:rFonts w:ascii="Calibri" w:hAnsi="Calibri" w:cs="Calibri"/>
          <w:i/>
          <w:iCs/>
          <w:noProof/>
          <w:lang w:val="en-US"/>
        </w:rPr>
        <w:t>Bulletin of Mathematical Biology</w:t>
      </w:r>
      <w:r w:rsidRPr="00C45F1D">
        <w:rPr>
          <w:rFonts w:ascii="Calibri" w:hAnsi="Calibri" w:cs="Calibri"/>
          <w:noProof/>
          <w:lang w:val="en-US"/>
        </w:rPr>
        <w:t xml:space="preserve"> 2017; </w:t>
      </w:r>
      <w:r w:rsidRPr="00C45F1D">
        <w:rPr>
          <w:rFonts w:ascii="Calibri" w:hAnsi="Calibri" w:cs="Calibri"/>
          <w:b/>
          <w:bCs/>
          <w:noProof/>
          <w:lang w:val="en-US"/>
        </w:rPr>
        <w:t>79</w:t>
      </w:r>
      <w:r w:rsidRPr="00C45F1D">
        <w:rPr>
          <w:rFonts w:ascii="Calibri" w:hAnsi="Calibri" w:cs="Calibri"/>
          <w:noProof/>
          <w:lang w:val="en-US"/>
        </w:rPr>
        <w:t xml:space="preserve">: 2242–2257. </w:t>
      </w:r>
    </w:p>
    <w:p w14:paraId="27622830" w14:textId="2083F7E5" w:rsidR="00C45F1D" w:rsidRPr="00C45F1D" w:rsidRDefault="00C45F1D" w:rsidP="00C45F1D">
      <w:pPr>
        <w:widowControl w:val="0"/>
        <w:autoSpaceDE w:val="0"/>
        <w:autoSpaceDN w:val="0"/>
        <w:adjustRightInd w:val="0"/>
        <w:spacing w:line="240" w:lineRule="auto"/>
        <w:ind w:left="640" w:hanging="640"/>
        <w:rPr>
          <w:rFonts w:ascii="Calibri" w:hAnsi="Calibri" w:cs="Calibri"/>
          <w:noProof/>
          <w:lang w:val="en-US"/>
        </w:rPr>
      </w:pPr>
      <w:r w:rsidRPr="00C45F1D">
        <w:rPr>
          <w:rFonts w:ascii="Calibri" w:hAnsi="Calibri" w:cs="Calibri"/>
          <w:noProof/>
          <w:lang w:val="en-US"/>
        </w:rPr>
        <w:t>11.</w:t>
      </w:r>
      <w:r w:rsidRPr="00C45F1D">
        <w:rPr>
          <w:rFonts w:ascii="Calibri" w:hAnsi="Calibri" w:cs="Calibri"/>
          <w:noProof/>
          <w:lang w:val="en-US"/>
        </w:rPr>
        <w:tab/>
      </w:r>
      <w:r w:rsidRPr="00C45F1D">
        <w:rPr>
          <w:rFonts w:ascii="Calibri" w:hAnsi="Calibri" w:cs="Calibri"/>
          <w:b/>
          <w:bCs/>
          <w:noProof/>
          <w:lang w:val="en-US"/>
        </w:rPr>
        <w:t xml:space="preserve">Johnson S, </w:t>
      </w:r>
      <w:r w:rsidRPr="00C45F1D">
        <w:rPr>
          <w:rFonts w:ascii="Calibri" w:hAnsi="Calibri" w:cs="Calibri"/>
          <w:b/>
          <w:bCs/>
          <w:i/>
          <w:iCs/>
          <w:noProof/>
          <w:lang w:val="en-US"/>
        </w:rPr>
        <w:t>et al.</w:t>
      </w:r>
      <w:r w:rsidRPr="00C45F1D">
        <w:rPr>
          <w:rFonts w:ascii="Calibri" w:hAnsi="Calibri" w:cs="Calibri"/>
          <w:noProof/>
          <w:lang w:val="en-US"/>
        </w:rPr>
        <w:t xml:space="preserve"> Treatment of asymptomatic </w:t>
      </w:r>
      <w:r w:rsidR="00BB0639" w:rsidRPr="00BB0639">
        <w:rPr>
          <w:rFonts w:ascii="Calibri" w:hAnsi="Calibri" w:cs="Calibri"/>
          <w:i/>
          <w:noProof/>
          <w:lang w:val="en-US"/>
        </w:rPr>
        <w:t>Clostridium difficile</w:t>
      </w:r>
      <w:r w:rsidRPr="00C45F1D">
        <w:rPr>
          <w:rFonts w:ascii="Calibri" w:hAnsi="Calibri" w:cs="Calibri"/>
          <w:noProof/>
          <w:lang w:val="en-US"/>
        </w:rPr>
        <w:t xml:space="preserve"> carriers (fecal excretors) with vancomycin or metronidazole. A randomized, placebo-controlled trial. </w:t>
      </w:r>
      <w:r w:rsidRPr="00C45F1D">
        <w:rPr>
          <w:rFonts w:ascii="Calibri" w:hAnsi="Calibri" w:cs="Calibri"/>
          <w:i/>
          <w:iCs/>
          <w:noProof/>
          <w:lang w:val="en-US"/>
        </w:rPr>
        <w:t>Annals of Internal Medicine</w:t>
      </w:r>
      <w:r w:rsidRPr="00C45F1D">
        <w:rPr>
          <w:rFonts w:ascii="Calibri" w:hAnsi="Calibri" w:cs="Calibri"/>
          <w:noProof/>
          <w:lang w:val="en-US"/>
        </w:rPr>
        <w:t xml:space="preserve"> 1992; </w:t>
      </w:r>
      <w:r w:rsidRPr="00C45F1D">
        <w:rPr>
          <w:rFonts w:ascii="Calibri" w:hAnsi="Calibri" w:cs="Calibri"/>
          <w:b/>
          <w:bCs/>
          <w:noProof/>
          <w:lang w:val="en-US"/>
        </w:rPr>
        <w:t>117</w:t>
      </w:r>
      <w:r w:rsidRPr="00C45F1D">
        <w:rPr>
          <w:rFonts w:ascii="Calibri" w:hAnsi="Calibri" w:cs="Calibri"/>
          <w:noProof/>
          <w:lang w:val="en-US"/>
        </w:rPr>
        <w:t xml:space="preserve">: 297–302. </w:t>
      </w:r>
    </w:p>
    <w:p w14:paraId="7BAC7B39" w14:textId="39093866" w:rsidR="00C45F1D" w:rsidRPr="00C45F1D" w:rsidRDefault="00C45F1D" w:rsidP="00C45F1D">
      <w:pPr>
        <w:widowControl w:val="0"/>
        <w:autoSpaceDE w:val="0"/>
        <w:autoSpaceDN w:val="0"/>
        <w:adjustRightInd w:val="0"/>
        <w:spacing w:line="240" w:lineRule="auto"/>
        <w:ind w:left="640" w:hanging="640"/>
        <w:rPr>
          <w:rFonts w:ascii="Calibri" w:hAnsi="Calibri" w:cs="Calibri"/>
          <w:noProof/>
          <w:lang w:val="en-US"/>
        </w:rPr>
      </w:pPr>
      <w:r w:rsidRPr="00C45F1D">
        <w:rPr>
          <w:rFonts w:ascii="Calibri" w:hAnsi="Calibri" w:cs="Calibri"/>
          <w:noProof/>
          <w:lang w:val="en-US"/>
        </w:rPr>
        <w:t>12.</w:t>
      </w:r>
      <w:r w:rsidRPr="00C45F1D">
        <w:rPr>
          <w:rFonts w:ascii="Calibri" w:hAnsi="Calibri" w:cs="Calibri"/>
          <w:noProof/>
          <w:lang w:val="en-US"/>
        </w:rPr>
        <w:tab/>
      </w:r>
      <w:r w:rsidRPr="00C45F1D">
        <w:rPr>
          <w:rFonts w:ascii="Calibri" w:hAnsi="Calibri" w:cs="Calibri"/>
          <w:b/>
          <w:bCs/>
          <w:noProof/>
          <w:lang w:val="en-US"/>
        </w:rPr>
        <w:t>Freeman J</w:t>
      </w:r>
      <w:r w:rsidRPr="00C45F1D">
        <w:rPr>
          <w:rFonts w:ascii="Calibri" w:hAnsi="Calibri" w:cs="Calibri"/>
          <w:noProof/>
          <w:lang w:val="en-US"/>
        </w:rPr>
        <w:t xml:space="preserve">. Effects of cefotaxime and desacetylcefotaxime upon </w:t>
      </w:r>
      <w:r w:rsidR="00BB0639" w:rsidRPr="00BB0639">
        <w:rPr>
          <w:rFonts w:ascii="Calibri" w:hAnsi="Calibri" w:cs="Calibri"/>
          <w:i/>
          <w:noProof/>
          <w:lang w:val="en-US"/>
        </w:rPr>
        <w:t>Clostridium difficile</w:t>
      </w:r>
      <w:r w:rsidRPr="00C45F1D">
        <w:rPr>
          <w:rFonts w:ascii="Calibri" w:hAnsi="Calibri" w:cs="Calibri"/>
          <w:noProof/>
          <w:lang w:val="en-US"/>
        </w:rPr>
        <w:t xml:space="preserve"> proliferation and toxin production in a triple-stage chemostat model of the human gut. </w:t>
      </w:r>
      <w:r w:rsidRPr="00C45F1D">
        <w:rPr>
          <w:rFonts w:ascii="Calibri" w:hAnsi="Calibri" w:cs="Calibri"/>
          <w:i/>
          <w:iCs/>
          <w:noProof/>
          <w:lang w:val="en-US"/>
        </w:rPr>
        <w:t>Journal of Antimicrobial Chemotherapy</w:t>
      </w:r>
      <w:r w:rsidRPr="00C45F1D">
        <w:rPr>
          <w:rFonts w:ascii="Calibri" w:hAnsi="Calibri" w:cs="Calibri"/>
          <w:noProof/>
          <w:lang w:val="en-US"/>
        </w:rPr>
        <w:t xml:space="preserve"> 2003; </w:t>
      </w:r>
      <w:r w:rsidRPr="00C45F1D">
        <w:rPr>
          <w:rFonts w:ascii="Calibri" w:hAnsi="Calibri" w:cs="Calibri"/>
          <w:b/>
          <w:bCs/>
          <w:noProof/>
          <w:lang w:val="en-US"/>
        </w:rPr>
        <w:t>52</w:t>
      </w:r>
      <w:r w:rsidRPr="00C45F1D">
        <w:rPr>
          <w:rFonts w:ascii="Calibri" w:hAnsi="Calibri" w:cs="Calibri"/>
          <w:noProof/>
          <w:lang w:val="en-US"/>
        </w:rPr>
        <w:t xml:space="preserve">: 96–102. </w:t>
      </w:r>
    </w:p>
    <w:p w14:paraId="230025FB" w14:textId="31C57414" w:rsidR="00C45F1D" w:rsidRPr="00C45F1D" w:rsidRDefault="00C45F1D" w:rsidP="00C45F1D">
      <w:pPr>
        <w:widowControl w:val="0"/>
        <w:autoSpaceDE w:val="0"/>
        <w:autoSpaceDN w:val="0"/>
        <w:adjustRightInd w:val="0"/>
        <w:spacing w:line="240" w:lineRule="auto"/>
        <w:ind w:left="640" w:hanging="640"/>
        <w:rPr>
          <w:rFonts w:ascii="Calibri" w:hAnsi="Calibri" w:cs="Calibri"/>
          <w:noProof/>
          <w:lang w:val="en-US"/>
        </w:rPr>
      </w:pPr>
      <w:r w:rsidRPr="00C45F1D">
        <w:rPr>
          <w:rFonts w:ascii="Calibri" w:hAnsi="Calibri" w:cs="Calibri"/>
          <w:noProof/>
          <w:lang w:val="en-US"/>
        </w:rPr>
        <w:t>13.</w:t>
      </w:r>
      <w:r w:rsidRPr="00C45F1D">
        <w:rPr>
          <w:rFonts w:ascii="Calibri" w:hAnsi="Calibri" w:cs="Calibri"/>
          <w:noProof/>
          <w:lang w:val="en-US"/>
        </w:rPr>
        <w:tab/>
      </w:r>
      <w:r w:rsidRPr="00C45F1D">
        <w:rPr>
          <w:rFonts w:ascii="Calibri" w:hAnsi="Calibri" w:cs="Calibri"/>
          <w:b/>
          <w:bCs/>
          <w:noProof/>
          <w:lang w:val="en-US"/>
        </w:rPr>
        <w:t xml:space="preserve">Muto CA, </w:t>
      </w:r>
      <w:r w:rsidRPr="00C45F1D">
        <w:rPr>
          <w:rFonts w:ascii="Calibri" w:hAnsi="Calibri" w:cs="Calibri"/>
          <w:b/>
          <w:bCs/>
          <w:i/>
          <w:iCs/>
          <w:noProof/>
          <w:lang w:val="en-US"/>
        </w:rPr>
        <w:t>et al.</w:t>
      </w:r>
      <w:r w:rsidRPr="00C45F1D">
        <w:rPr>
          <w:rFonts w:ascii="Calibri" w:hAnsi="Calibri" w:cs="Calibri"/>
          <w:noProof/>
          <w:lang w:val="en-US"/>
        </w:rPr>
        <w:t xml:space="preserve"> A Large Outbreak of </w:t>
      </w:r>
      <w:r w:rsidR="00BB0639" w:rsidRPr="00BB0639">
        <w:rPr>
          <w:rFonts w:ascii="Calibri" w:hAnsi="Calibri" w:cs="Calibri"/>
          <w:i/>
          <w:noProof/>
          <w:lang w:val="en-US"/>
        </w:rPr>
        <w:t>Clostridium difficile</w:t>
      </w:r>
      <w:r w:rsidRPr="00C45F1D">
        <w:rPr>
          <w:rFonts w:ascii="Calibri" w:hAnsi="Calibri" w:cs="Calibri"/>
          <w:noProof/>
          <w:lang w:val="en-US"/>
        </w:rPr>
        <w:t xml:space="preserve">–Associated Disease with an Unexpected Proportion of Deaths and Colectomies at a Teaching Hospital Following Increased Fluoroquinolone Use. </w:t>
      </w:r>
      <w:r w:rsidRPr="00C45F1D">
        <w:rPr>
          <w:rFonts w:ascii="Calibri" w:hAnsi="Calibri" w:cs="Calibri"/>
          <w:i/>
          <w:iCs/>
          <w:noProof/>
          <w:lang w:val="en-US"/>
        </w:rPr>
        <w:t>Infection Control &amp; Hospital Epidemiology</w:t>
      </w:r>
      <w:r w:rsidRPr="00C45F1D">
        <w:rPr>
          <w:rFonts w:ascii="Calibri" w:hAnsi="Calibri" w:cs="Calibri"/>
          <w:noProof/>
          <w:lang w:val="en-US"/>
        </w:rPr>
        <w:t xml:space="preserve"> 2005; </w:t>
      </w:r>
      <w:r w:rsidRPr="00C45F1D">
        <w:rPr>
          <w:rFonts w:ascii="Calibri" w:hAnsi="Calibri" w:cs="Calibri"/>
          <w:b/>
          <w:bCs/>
          <w:noProof/>
          <w:lang w:val="en-US"/>
        </w:rPr>
        <w:t>26</w:t>
      </w:r>
      <w:r w:rsidRPr="00C45F1D">
        <w:rPr>
          <w:rFonts w:ascii="Calibri" w:hAnsi="Calibri" w:cs="Calibri"/>
          <w:noProof/>
          <w:lang w:val="en-US"/>
        </w:rPr>
        <w:t xml:space="preserve">: 273–280. </w:t>
      </w:r>
    </w:p>
    <w:p w14:paraId="57BDD3CA" w14:textId="77777777" w:rsidR="00C45F1D" w:rsidRPr="00C45F1D" w:rsidRDefault="00C45F1D" w:rsidP="00C45F1D">
      <w:pPr>
        <w:widowControl w:val="0"/>
        <w:autoSpaceDE w:val="0"/>
        <w:autoSpaceDN w:val="0"/>
        <w:adjustRightInd w:val="0"/>
        <w:spacing w:line="240" w:lineRule="auto"/>
        <w:ind w:left="640" w:hanging="640"/>
        <w:rPr>
          <w:rFonts w:ascii="Calibri" w:hAnsi="Calibri" w:cs="Calibri"/>
          <w:noProof/>
          <w:lang w:val="en-US"/>
        </w:rPr>
      </w:pPr>
      <w:r w:rsidRPr="00C45F1D">
        <w:rPr>
          <w:rFonts w:ascii="Calibri" w:hAnsi="Calibri" w:cs="Calibri"/>
          <w:noProof/>
          <w:lang w:val="en-US"/>
        </w:rPr>
        <w:t>14.</w:t>
      </w:r>
      <w:r w:rsidRPr="00C45F1D">
        <w:rPr>
          <w:rFonts w:ascii="Calibri" w:hAnsi="Calibri" w:cs="Calibri"/>
          <w:noProof/>
          <w:lang w:val="en-US"/>
        </w:rPr>
        <w:tab/>
      </w:r>
      <w:r w:rsidRPr="00C45F1D">
        <w:rPr>
          <w:rFonts w:ascii="Calibri" w:hAnsi="Calibri" w:cs="Calibri"/>
          <w:b/>
          <w:bCs/>
          <w:noProof/>
          <w:lang w:val="en-US"/>
        </w:rPr>
        <w:t xml:space="preserve">Van Cauteren D, </w:t>
      </w:r>
      <w:r w:rsidRPr="00C45F1D">
        <w:rPr>
          <w:rFonts w:ascii="Calibri" w:hAnsi="Calibri" w:cs="Calibri"/>
          <w:b/>
          <w:bCs/>
          <w:i/>
          <w:iCs/>
          <w:noProof/>
          <w:lang w:val="en-US"/>
        </w:rPr>
        <w:t>et al.</w:t>
      </w:r>
      <w:r w:rsidRPr="00C45F1D">
        <w:rPr>
          <w:rFonts w:ascii="Calibri" w:hAnsi="Calibri" w:cs="Calibri"/>
          <w:noProof/>
          <w:lang w:val="en-US"/>
        </w:rPr>
        <w:t xml:space="preserve"> Burden of acute gastroenteritis and healthcare-seeking behaviour in France: a population-based study. </w:t>
      </w:r>
      <w:r w:rsidRPr="00C45F1D">
        <w:rPr>
          <w:rFonts w:ascii="Calibri" w:hAnsi="Calibri" w:cs="Calibri"/>
          <w:i/>
          <w:iCs/>
          <w:noProof/>
          <w:lang w:val="en-US"/>
        </w:rPr>
        <w:t>Epidemiology and Infection</w:t>
      </w:r>
      <w:r w:rsidRPr="00C45F1D">
        <w:rPr>
          <w:rFonts w:ascii="Calibri" w:hAnsi="Calibri" w:cs="Calibri"/>
          <w:noProof/>
          <w:lang w:val="en-US"/>
        </w:rPr>
        <w:t xml:space="preserve"> 2012; </w:t>
      </w:r>
      <w:r w:rsidRPr="00C45F1D">
        <w:rPr>
          <w:rFonts w:ascii="Calibri" w:hAnsi="Calibri" w:cs="Calibri"/>
          <w:b/>
          <w:bCs/>
          <w:noProof/>
          <w:lang w:val="en-US"/>
        </w:rPr>
        <w:t>140</w:t>
      </w:r>
      <w:r w:rsidRPr="00C45F1D">
        <w:rPr>
          <w:rFonts w:ascii="Calibri" w:hAnsi="Calibri" w:cs="Calibri"/>
          <w:noProof/>
          <w:lang w:val="en-US"/>
        </w:rPr>
        <w:t xml:space="preserve">: 697–705. </w:t>
      </w:r>
    </w:p>
    <w:p w14:paraId="2872E2C5" w14:textId="7F02F7A2" w:rsidR="00C45F1D" w:rsidRPr="00C45F1D" w:rsidRDefault="00C45F1D" w:rsidP="00C45F1D">
      <w:pPr>
        <w:widowControl w:val="0"/>
        <w:autoSpaceDE w:val="0"/>
        <w:autoSpaceDN w:val="0"/>
        <w:adjustRightInd w:val="0"/>
        <w:spacing w:line="240" w:lineRule="auto"/>
        <w:ind w:left="640" w:hanging="640"/>
        <w:rPr>
          <w:rFonts w:ascii="Calibri" w:hAnsi="Calibri" w:cs="Calibri"/>
          <w:noProof/>
          <w:lang w:val="en-US"/>
        </w:rPr>
      </w:pPr>
      <w:r w:rsidRPr="00C45F1D">
        <w:rPr>
          <w:rFonts w:ascii="Calibri" w:hAnsi="Calibri" w:cs="Calibri"/>
          <w:noProof/>
          <w:lang w:val="en-US"/>
        </w:rPr>
        <w:t>15.</w:t>
      </w:r>
      <w:r w:rsidRPr="00C45F1D">
        <w:rPr>
          <w:rFonts w:ascii="Calibri" w:hAnsi="Calibri" w:cs="Calibri"/>
          <w:noProof/>
          <w:lang w:val="en-US"/>
        </w:rPr>
        <w:tab/>
      </w:r>
      <w:r w:rsidRPr="00C45F1D">
        <w:rPr>
          <w:rFonts w:ascii="Calibri" w:hAnsi="Calibri" w:cs="Calibri"/>
          <w:b/>
          <w:bCs/>
          <w:noProof/>
          <w:lang w:val="en-US"/>
        </w:rPr>
        <w:t>Leffler DA, Lamont JT</w:t>
      </w:r>
      <w:r w:rsidRPr="00C45F1D">
        <w:rPr>
          <w:rFonts w:ascii="Calibri" w:hAnsi="Calibri" w:cs="Calibri"/>
          <w:noProof/>
          <w:lang w:val="en-US"/>
        </w:rPr>
        <w:t xml:space="preserve">. Treatment of </w:t>
      </w:r>
      <w:r w:rsidR="00BB0639" w:rsidRPr="00BB0639">
        <w:rPr>
          <w:rFonts w:ascii="Calibri" w:hAnsi="Calibri" w:cs="Calibri"/>
          <w:i/>
          <w:noProof/>
          <w:lang w:val="en-US"/>
        </w:rPr>
        <w:t>Clostridium difficile</w:t>
      </w:r>
      <w:r w:rsidRPr="00C45F1D">
        <w:rPr>
          <w:rFonts w:ascii="Calibri" w:hAnsi="Calibri" w:cs="Calibri"/>
          <w:noProof/>
          <w:lang w:val="en-US"/>
        </w:rPr>
        <w:t xml:space="preserve">-associated disease. </w:t>
      </w:r>
      <w:r w:rsidRPr="00C45F1D">
        <w:rPr>
          <w:rFonts w:ascii="Calibri" w:hAnsi="Calibri" w:cs="Calibri"/>
          <w:i/>
          <w:iCs/>
          <w:noProof/>
          <w:lang w:val="en-US"/>
        </w:rPr>
        <w:t>Gastroenterology</w:t>
      </w:r>
      <w:r w:rsidRPr="00C45F1D">
        <w:rPr>
          <w:rFonts w:ascii="Calibri" w:hAnsi="Calibri" w:cs="Calibri"/>
          <w:noProof/>
          <w:lang w:val="en-US"/>
        </w:rPr>
        <w:t xml:space="preserve"> AGA Institute American Gastroenterological Association, 2009; </w:t>
      </w:r>
      <w:r w:rsidRPr="00C45F1D">
        <w:rPr>
          <w:rFonts w:ascii="Calibri" w:hAnsi="Calibri" w:cs="Calibri"/>
          <w:b/>
          <w:bCs/>
          <w:noProof/>
          <w:lang w:val="en-US"/>
        </w:rPr>
        <w:t>136</w:t>
      </w:r>
      <w:r w:rsidRPr="00C45F1D">
        <w:rPr>
          <w:rFonts w:ascii="Calibri" w:hAnsi="Calibri" w:cs="Calibri"/>
          <w:noProof/>
          <w:lang w:val="en-US"/>
        </w:rPr>
        <w:t xml:space="preserve">: 1899–912. </w:t>
      </w:r>
    </w:p>
    <w:p w14:paraId="5A72791B" w14:textId="2FE2EFEC" w:rsidR="00C45F1D" w:rsidRPr="00C45F1D" w:rsidRDefault="00C45F1D" w:rsidP="00C45F1D">
      <w:pPr>
        <w:widowControl w:val="0"/>
        <w:autoSpaceDE w:val="0"/>
        <w:autoSpaceDN w:val="0"/>
        <w:adjustRightInd w:val="0"/>
        <w:spacing w:line="240" w:lineRule="auto"/>
        <w:ind w:left="640" w:hanging="640"/>
        <w:rPr>
          <w:rFonts w:ascii="Calibri" w:hAnsi="Calibri" w:cs="Calibri"/>
          <w:noProof/>
          <w:lang w:val="en-US"/>
        </w:rPr>
      </w:pPr>
      <w:r w:rsidRPr="00C45F1D">
        <w:rPr>
          <w:rFonts w:ascii="Calibri" w:hAnsi="Calibri" w:cs="Calibri"/>
          <w:noProof/>
          <w:lang w:val="en-US"/>
        </w:rPr>
        <w:t>16.</w:t>
      </w:r>
      <w:r w:rsidRPr="00C45F1D">
        <w:rPr>
          <w:rFonts w:ascii="Calibri" w:hAnsi="Calibri" w:cs="Calibri"/>
          <w:noProof/>
          <w:lang w:val="en-US"/>
        </w:rPr>
        <w:tab/>
      </w:r>
      <w:r w:rsidRPr="00C45F1D">
        <w:rPr>
          <w:rFonts w:ascii="Calibri" w:hAnsi="Calibri" w:cs="Calibri"/>
          <w:b/>
          <w:bCs/>
          <w:noProof/>
          <w:lang w:val="en-US"/>
        </w:rPr>
        <w:t>Holst E, Helin I, Mårdh PA</w:t>
      </w:r>
      <w:r w:rsidRPr="00C45F1D">
        <w:rPr>
          <w:rFonts w:ascii="Calibri" w:hAnsi="Calibri" w:cs="Calibri"/>
          <w:noProof/>
          <w:lang w:val="en-US"/>
        </w:rPr>
        <w:t xml:space="preserve">. Recovery of </w:t>
      </w:r>
      <w:r w:rsidR="00BB0639" w:rsidRPr="00BB0639">
        <w:rPr>
          <w:rFonts w:ascii="Calibri" w:hAnsi="Calibri" w:cs="Calibri"/>
          <w:i/>
          <w:noProof/>
          <w:lang w:val="en-US"/>
        </w:rPr>
        <w:t>Clostridium difficile</w:t>
      </w:r>
      <w:r w:rsidRPr="00C45F1D">
        <w:rPr>
          <w:rFonts w:ascii="Calibri" w:hAnsi="Calibri" w:cs="Calibri"/>
          <w:noProof/>
          <w:lang w:val="en-US"/>
        </w:rPr>
        <w:t xml:space="preserve"> from children. </w:t>
      </w:r>
      <w:r w:rsidRPr="00C45F1D">
        <w:rPr>
          <w:rFonts w:ascii="Calibri" w:hAnsi="Calibri" w:cs="Calibri"/>
          <w:i/>
          <w:iCs/>
          <w:noProof/>
          <w:lang w:val="en-US"/>
        </w:rPr>
        <w:t>Scandinavian Journal of Infectious Diseases</w:t>
      </w:r>
      <w:r w:rsidRPr="00C45F1D">
        <w:rPr>
          <w:rFonts w:ascii="Calibri" w:hAnsi="Calibri" w:cs="Calibri"/>
          <w:noProof/>
          <w:lang w:val="en-US"/>
        </w:rPr>
        <w:t xml:space="preserve"> 1981; </w:t>
      </w:r>
      <w:r w:rsidRPr="00C45F1D">
        <w:rPr>
          <w:rFonts w:ascii="Calibri" w:hAnsi="Calibri" w:cs="Calibri"/>
          <w:b/>
          <w:bCs/>
          <w:noProof/>
          <w:lang w:val="en-US"/>
        </w:rPr>
        <w:t>13</w:t>
      </w:r>
      <w:r w:rsidRPr="00C45F1D">
        <w:rPr>
          <w:rFonts w:ascii="Calibri" w:hAnsi="Calibri" w:cs="Calibri"/>
          <w:noProof/>
          <w:lang w:val="en-US"/>
        </w:rPr>
        <w:t xml:space="preserve">: 41–5. </w:t>
      </w:r>
    </w:p>
    <w:p w14:paraId="749CDCF8" w14:textId="301B0422" w:rsidR="00C45F1D" w:rsidRPr="00C45F1D" w:rsidRDefault="00C45F1D" w:rsidP="00C45F1D">
      <w:pPr>
        <w:widowControl w:val="0"/>
        <w:autoSpaceDE w:val="0"/>
        <w:autoSpaceDN w:val="0"/>
        <w:adjustRightInd w:val="0"/>
        <w:spacing w:line="240" w:lineRule="auto"/>
        <w:ind w:left="640" w:hanging="640"/>
        <w:rPr>
          <w:rFonts w:ascii="Calibri" w:hAnsi="Calibri" w:cs="Calibri"/>
          <w:noProof/>
          <w:lang w:val="en-US"/>
        </w:rPr>
      </w:pPr>
      <w:r w:rsidRPr="00C45F1D">
        <w:rPr>
          <w:rFonts w:ascii="Calibri" w:hAnsi="Calibri" w:cs="Calibri"/>
          <w:noProof/>
          <w:lang w:val="en-US"/>
        </w:rPr>
        <w:lastRenderedPageBreak/>
        <w:t>17.</w:t>
      </w:r>
      <w:r w:rsidRPr="00C45F1D">
        <w:rPr>
          <w:rFonts w:ascii="Calibri" w:hAnsi="Calibri" w:cs="Calibri"/>
          <w:noProof/>
          <w:lang w:val="en-US"/>
        </w:rPr>
        <w:tab/>
      </w:r>
      <w:r w:rsidRPr="00C45F1D">
        <w:rPr>
          <w:rFonts w:ascii="Calibri" w:hAnsi="Calibri" w:cs="Calibri"/>
          <w:b/>
          <w:bCs/>
          <w:noProof/>
          <w:lang w:val="en-US"/>
        </w:rPr>
        <w:t xml:space="preserve">Rousseau C, </w:t>
      </w:r>
      <w:r w:rsidRPr="00C45F1D">
        <w:rPr>
          <w:rFonts w:ascii="Calibri" w:hAnsi="Calibri" w:cs="Calibri"/>
          <w:b/>
          <w:bCs/>
          <w:i/>
          <w:iCs/>
          <w:noProof/>
          <w:lang w:val="en-US"/>
        </w:rPr>
        <w:t>et al.</w:t>
      </w:r>
      <w:r w:rsidRPr="00C45F1D">
        <w:rPr>
          <w:rFonts w:ascii="Calibri" w:hAnsi="Calibri" w:cs="Calibri"/>
          <w:noProof/>
          <w:lang w:val="en-US"/>
        </w:rPr>
        <w:t xml:space="preserve"> </w:t>
      </w:r>
      <w:r w:rsidR="00BB0639" w:rsidRPr="00BB0639">
        <w:rPr>
          <w:rFonts w:ascii="Calibri" w:hAnsi="Calibri" w:cs="Calibri"/>
          <w:i/>
          <w:noProof/>
          <w:lang w:val="en-US"/>
        </w:rPr>
        <w:t>Clostridium difficile</w:t>
      </w:r>
      <w:r w:rsidRPr="00C45F1D">
        <w:rPr>
          <w:rFonts w:ascii="Calibri" w:hAnsi="Calibri" w:cs="Calibri"/>
          <w:noProof/>
          <w:lang w:val="en-US"/>
        </w:rPr>
        <w:t xml:space="preserve"> Carriage in Healthy Infants in the Community: A Potential Reservoir for Pathogenic Strains. </w:t>
      </w:r>
      <w:r w:rsidRPr="00C45F1D">
        <w:rPr>
          <w:rFonts w:ascii="Calibri" w:hAnsi="Calibri" w:cs="Calibri"/>
          <w:i/>
          <w:iCs/>
          <w:noProof/>
          <w:lang w:val="en-US"/>
        </w:rPr>
        <w:t>Clinical Infectious Diseases</w:t>
      </w:r>
      <w:r w:rsidRPr="00C45F1D">
        <w:rPr>
          <w:rFonts w:ascii="Calibri" w:hAnsi="Calibri" w:cs="Calibri"/>
          <w:noProof/>
          <w:lang w:val="en-US"/>
        </w:rPr>
        <w:t xml:space="preserve"> 2012; </w:t>
      </w:r>
      <w:r w:rsidRPr="00C45F1D">
        <w:rPr>
          <w:rFonts w:ascii="Calibri" w:hAnsi="Calibri" w:cs="Calibri"/>
          <w:b/>
          <w:bCs/>
          <w:noProof/>
          <w:lang w:val="en-US"/>
        </w:rPr>
        <w:t>55</w:t>
      </w:r>
      <w:r w:rsidRPr="00C45F1D">
        <w:rPr>
          <w:rFonts w:ascii="Calibri" w:hAnsi="Calibri" w:cs="Calibri"/>
          <w:noProof/>
          <w:lang w:val="en-US"/>
        </w:rPr>
        <w:t xml:space="preserve">: 1209–1215. </w:t>
      </w:r>
    </w:p>
    <w:p w14:paraId="40D5FFF8" w14:textId="177A4633" w:rsidR="00C45F1D" w:rsidRPr="00C45F1D" w:rsidRDefault="00C45F1D" w:rsidP="00C45F1D">
      <w:pPr>
        <w:widowControl w:val="0"/>
        <w:autoSpaceDE w:val="0"/>
        <w:autoSpaceDN w:val="0"/>
        <w:adjustRightInd w:val="0"/>
        <w:spacing w:line="240" w:lineRule="auto"/>
        <w:ind w:left="640" w:hanging="640"/>
        <w:rPr>
          <w:rFonts w:ascii="Calibri" w:hAnsi="Calibri" w:cs="Calibri"/>
          <w:noProof/>
          <w:lang w:val="en-US"/>
        </w:rPr>
      </w:pPr>
      <w:r w:rsidRPr="00C45F1D">
        <w:rPr>
          <w:rFonts w:ascii="Calibri" w:hAnsi="Calibri" w:cs="Calibri"/>
          <w:noProof/>
          <w:lang w:val="en-US"/>
        </w:rPr>
        <w:t>18.</w:t>
      </w:r>
      <w:r w:rsidRPr="00C45F1D">
        <w:rPr>
          <w:rFonts w:ascii="Calibri" w:hAnsi="Calibri" w:cs="Calibri"/>
          <w:noProof/>
          <w:lang w:val="en-US"/>
        </w:rPr>
        <w:tab/>
      </w:r>
      <w:r w:rsidRPr="00C45F1D">
        <w:rPr>
          <w:rFonts w:ascii="Calibri" w:hAnsi="Calibri" w:cs="Calibri"/>
          <w:b/>
          <w:bCs/>
          <w:noProof/>
          <w:lang w:val="en-US"/>
        </w:rPr>
        <w:t xml:space="preserve">Kubota H, </w:t>
      </w:r>
      <w:r w:rsidRPr="00C45F1D">
        <w:rPr>
          <w:rFonts w:ascii="Calibri" w:hAnsi="Calibri" w:cs="Calibri"/>
          <w:b/>
          <w:bCs/>
          <w:i/>
          <w:iCs/>
          <w:noProof/>
          <w:lang w:val="en-US"/>
        </w:rPr>
        <w:t>et al.</w:t>
      </w:r>
      <w:r w:rsidRPr="00C45F1D">
        <w:rPr>
          <w:rFonts w:ascii="Calibri" w:hAnsi="Calibri" w:cs="Calibri"/>
          <w:noProof/>
          <w:lang w:val="en-US"/>
        </w:rPr>
        <w:t xml:space="preserve"> Longitudinal Investigation of Carriage Rates, Counts, and Genotypes of Toxigenic </w:t>
      </w:r>
      <w:r w:rsidR="00BB0639" w:rsidRPr="00BB0639">
        <w:rPr>
          <w:rFonts w:ascii="Calibri" w:hAnsi="Calibri" w:cs="Calibri"/>
          <w:i/>
          <w:noProof/>
          <w:lang w:val="en-US"/>
        </w:rPr>
        <w:t>Clostridium difficile</w:t>
      </w:r>
      <w:r w:rsidRPr="00C45F1D">
        <w:rPr>
          <w:rFonts w:ascii="Calibri" w:hAnsi="Calibri" w:cs="Calibri"/>
          <w:noProof/>
          <w:lang w:val="en-US"/>
        </w:rPr>
        <w:t xml:space="preserve"> in Early Infancy. </w:t>
      </w:r>
      <w:r w:rsidRPr="00C45F1D">
        <w:rPr>
          <w:rFonts w:ascii="Calibri" w:hAnsi="Calibri" w:cs="Calibri"/>
          <w:i/>
          <w:iCs/>
          <w:noProof/>
          <w:lang w:val="en-US"/>
        </w:rPr>
        <w:t>Applied and Environmental Microbiology</w:t>
      </w:r>
      <w:r w:rsidRPr="00C45F1D">
        <w:rPr>
          <w:rFonts w:ascii="Calibri" w:hAnsi="Calibri" w:cs="Calibri"/>
          <w:noProof/>
          <w:lang w:val="en-US"/>
        </w:rPr>
        <w:t xml:space="preserve"> 2016; </w:t>
      </w:r>
      <w:r w:rsidRPr="00C45F1D">
        <w:rPr>
          <w:rFonts w:ascii="Calibri" w:hAnsi="Calibri" w:cs="Calibri"/>
          <w:b/>
          <w:bCs/>
          <w:noProof/>
          <w:lang w:val="en-US"/>
        </w:rPr>
        <w:t>82</w:t>
      </w:r>
      <w:r w:rsidRPr="00C45F1D">
        <w:rPr>
          <w:rFonts w:ascii="Calibri" w:hAnsi="Calibri" w:cs="Calibri"/>
          <w:noProof/>
          <w:lang w:val="en-US"/>
        </w:rPr>
        <w:t xml:space="preserve">: 5806–14. </w:t>
      </w:r>
    </w:p>
    <w:p w14:paraId="6CC999E5" w14:textId="77777777" w:rsidR="00C45F1D" w:rsidRPr="00C45F1D" w:rsidRDefault="00C45F1D" w:rsidP="00C45F1D">
      <w:pPr>
        <w:widowControl w:val="0"/>
        <w:autoSpaceDE w:val="0"/>
        <w:autoSpaceDN w:val="0"/>
        <w:adjustRightInd w:val="0"/>
        <w:spacing w:line="240" w:lineRule="auto"/>
        <w:ind w:left="640" w:hanging="640"/>
        <w:rPr>
          <w:rFonts w:ascii="Calibri" w:hAnsi="Calibri" w:cs="Calibri"/>
          <w:noProof/>
          <w:lang w:val="en-US"/>
        </w:rPr>
      </w:pPr>
      <w:r w:rsidRPr="00C45F1D">
        <w:rPr>
          <w:rFonts w:ascii="Calibri" w:hAnsi="Calibri" w:cs="Calibri"/>
          <w:noProof/>
          <w:lang w:val="en-US"/>
        </w:rPr>
        <w:t>19.</w:t>
      </w:r>
      <w:r w:rsidRPr="00C45F1D">
        <w:rPr>
          <w:rFonts w:ascii="Calibri" w:hAnsi="Calibri" w:cs="Calibri"/>
          <w:noProof/>
          <w:lang w:val="en-US"/>
        </w:rPr>
        <w:tab/>
      </w:r>
      <w:r w:rsidRPr="00C45F1D">
        <w:rPr>
          <w:rFonts w:ascii="Calibri" w:hAnsi="Calibri" w:cs="Calibri"/>
          <w:b/>
          <w:bCs/>
          <w:noProof/>
          <w:lang w:val="en-US"/>
        </w:rPr>
        <w:t>Healthcare Cost and Utilization Project (HCUP)</w:t>
      </w:r>
      <w:r w:rsidRPr="00C45F1D">
        <w:rPr>
          <w:rFonts w:ascii="Calibri" w:hAnsi="Calibri" w:cs="Calibri"/>
          <w:noProof/>
          <w:lang w:val="en-US"/>
        </w:rPr>
        <w:t xml:space="preserve">. </w:t>
      </w:r>
      <w:r w:rsidRPr="00C45F1D">
        <w:rPr>
          <w:rFonts w:ascii="Calibri" w:hAnsi="Calibri" w:cs="Calibri"/>
          <w:i/>
          <w:iCs/>
          <w:noProof/>
          <w:lang w:val="en-US"/>
        </w:rPr>
        <w:t>HCUP National Inpatient Sample (NIS)</w:t>
      </w:r>
      <w:r w:rsidRPr="00C45F1D">
        <w:rPr>
          <w:rFonts w:ascii="Calibri" w:hAnsi="Calibri" w:cs="Calibri"/>
          <w:noProof/>
          <w:lang w:val="en-US"/>
        </w:rPr>
        <w:t xml:space="preserve">. Rockville, MD: Agency for Healthcare Research and Quality, 2014. </w:t>
      </w:r>
    </w:p>
    <w:p w14:paraId="0D21C701" w14:textId="48E3CEB2" w:rsidR="00C45F1D" w:rsidRPr="00C45F1D" w:rsidRDefault="00C45F1D" w:rsidP="00C45F1D">
      <w:pPr>
        <w:widowControl w:val="0"/>
        <w:autoSpaceDE w:val="0"/>
        <w:autoSpaceDN w:val="0"/>
        <w:adjustRightInd w:val="0"/>
        <w:spacing w:line="240" w:lineRule="auto"/>
        <w:ind w:left="640" w:hanging="640"/>
        <w:rPr>
          <w:rFonts w:ascii="Calibri" w:hAnsi="Calibri" w:cs="Calibri"/>
          <w:noProof/>
          <w:lang w:val="en-US"/>
        </w:rPr>
      </w:pPr>
      <w:r w:rsidRPr="00C45F1D">
        <w:rPr>
          <w:rFonts w:ascii="Calibri" w:hAnsi="Calibri" w:cs="Calibri"/>
          <w:noProof/>
          <w:lang w:val="en-US"/>
        </w:rPr>
        <w:t>20.</w:t>
      </w:r>
      <w:r w:rsidRPr="00C45F1D">
        <w:rPr>
          <w:rFonts w:ascii="Calibri" w:hAnsi="Calibri" w:cs="Calibri"/>
          <w:noProof/>
          <w:lang w:val="en-US"/>
        </w:rPr>
        <w:tab/>
      </w:r>
      <w:r w:rsidRPr="00C45F1D">
        <w:rPr>
          <w:rFonts w:ascii="Calibri" w:hAnsi="Calibri" w:cs="Calibri"/>
          <w:b/>
          <w:bCs/>
          <w:noProof/>
          <w:lang w:val="en-US"/>
        </w:rPr>
        <w:t>Gerding DN, Lessa FC</w:t>
      </w:r>
      <w:r w:rsidRPr="00C45F1D">
        <w:rPr>
          <w:rFonts w:ascii="Calibri" w:hAnsi="Calibri" w:cs="Calibri"/>
          <w:noProof/>
          <w:lang w:val="en-US"/>
        </w:rPr>
        <w:t xml:space="preserve">. The epidemiology of </w:t>
      </w:r>
      <w:r w:rsidR="00BB0639" w:rsidRPr="00BB0639">
        <w:rPr>
          <w:rFonts w:ascii="Calibri" w:hAnsi="Calibri" w:cs="Calibri"/>
          <w:i/>
          <w:noProof/>
          <w:lang w:val="en-US"/>
        </w:rPr>
        <w:t>Clostridium difficile</w:t>
      </w:r>
      <w:r w:rsidRPr="00C45F1D">
        <w:rPr>
          <w:rFonts w:ascii="Calibri" w:hAnsi="Calibri" w:cs="Calibri"/>
          <w:noProof/>
          <w:lang w:val="en-US"/>
        </w:rPr>
        <w:t xml:space="preserve"> infection inside and outside health care institutions. </w:t>
      </w:r>
      <w:r w:rsidRPr="00C45F1D">
        <w:rPr>
          <w:rFonts w:ascii="Calibri" w:hAnsi="Calibri" w:cs="Calibri"/>
          <w:i/>
          <w:iCs/>
          <w:noProof/>
          <w:lang w:val="en-US"/>
        </w:rPr>
        <w:t>Infectious disease clinics of North America</w:t>
      </w:r>
      <w:r w:rsidRPr="00C45F1D">
        <w:rPr>
          <w:rFonts w:ascii="Calibri" w:hAnsi="Calibri" w:cs="Calibri"/>
          <w:noProof/>
          <w:lang w:val="en-US"/>
        </w:rPr>
        <w:t xml:space="preserve"> 2015; </w:t>
      </w:r>
      <w:r w:rsidRPr="00C45F1D">
        <w:rPr>
          <w:rFonts w:ascii="Calibri" w:hAnsi="Calibri" w:cs="Calibri"/>
          <w:b/>
          <w:bCs/>
          <w:noProof/>
          <w:lang w:val="en-US"/>
        </w:rPr>
        <w:t>29</w:t>
      </w:r>
      <w:r w:rsidRPr="00C45F1D">
        <w:rPr>
          <w:rFonts w:ascii="Calibri" w:hAnsi="Calibri" w:cs="Calibri"/>
          <w:noProof/>
          <w:lang w:val="en-US"/>
        </w:rPr>
        <w:t xml:space="preserve">: 37–50. </w:t>
      </w:r>
    </w:p>
    <w:p w14:paraId="63DC188D" w14:textId="667D5708" w:rsidR="00C45F1D" w:rsidRPr="00C45F1D" w:rsidRDefault="00C45F1D" w:rsidP="00C45F1D">
      <w:pPr>
        <w:widowControl w:val="0"/>
        <w:autoSpaceDE w:val="0"/>
        <w:autoSpaceDN w:val="0"/>
        <w:adjustRightInd w:val="0"/>
        <w:spacing w:line="240" w:lineRule="auto"/>
        <w:ind w:left="640" w:hanging="640"/>
        <w:rPr>
          <w:rFonts w:ascii="Calibri" w:hAnsi="Calibri" w:cs="Calibri"/>
          <w:noProof/>
          <w:lang w:val="en-US"/>
        </w:rPr>
      </w:pPr>
      <w:r w:rsidRPr="00C45F1D">
        <w:rPr>
          <w:rFonts w:ascii="Calibri" w:hAnsi="Calibri" w:cs="Calibri"/>
          <w:noProof/>
          <w:lang w:val="en-US"/>
        </w:rPr>
        <w:t>21.</w:t>
      </w:r>
      <w:r w:rsidRPr="00C45F1D">
        <w:rPr>
          <w:rFonts w:ascii="Calibri" w:hAnsi="Calibri" w:cs="Calibri"/>
          <w:noProof/>
          <w:lang w:val="en-US"/>
        </w:rPr>
        <w:tab/>
      </w:r>
      <w:r w:rsidRPr="00C45F1D">
        <w:rPr>
          <w:rFonts w:ascii="Calibri" w:hAnsi="Calibri" w:cs="Calibri"/>
          <w:b/>
          <w:bCs/>
          <w:noProof/>
          <w:lang w:val="en-US"/>
        </w:rPr>
        <w:t xml:space="preserve">Walker AS, </w:t>
      </w:r>
      <w:r w:rsidRPr="00C45F1D">
        <w:rPr>
          <w:rFonts w:ascii="Calibri" w:hAnsi="Calibri" w:cs="Calibri"/>
          <w:b/>
          <w:bCs/>
          <w:i/>
          <w:iCs/>
          <w:noProof/>
          <w:lang w:val="en-US"/>
        </w:rPr>
        <w:t>et al.</w:t>
      </w:r>
      <w:r w:rsidRPr="00C45F1D">
        <w:rPr>
          <w:rFonts w:ascii="Calibri" w:hAnsi="Calibri" w:cs="Calibri"/>
          <w:noProof/>
          <w:lang w:val="en-US"/>
        </w:rPr>
        <w:t xml:space="preserve"> Characterisation of </w:t>
      </w:r>
      <w:r w:rsidR="00BB0639" w:rsidRPr="00BB0639">
        <w:rPr>
          <w:rFonts w:ascii="Calibri" w:hAnsi="Calibri" w:cs="Calibri"/>
          <w:i/>
          <w:noProof/>
          <w:lang w:val="en-US"/>
        </w:rPr>
        <w:t>Clostridium difficile</w:t>
      </w:r>
      <w:r w:rsidRPr="00C45F1D">
        <w:rPr>
          <w:rFonts w:ascii="Calibri" w:hAnsi="Calibri" w:cs="Calibri"/>
          <w:noProof/>
          <w:lang w:val="en-US"/>
        </w:rPr>
        <w:t xml:space="preserve"> hospital ward-based transmission using extensive epidemiological data and molecular typing. </w:t>
      </w:r>
      <w:r w:rsidRPr="00C45F1D">
        <w:rPr>
          <w:rFonts w:ascii="Calibri" w:hAnsi="Calibri" w:cs="Calibri"/>
          <w:i/>
          <w:iCs/>
          <w:noProof/>
          <w:lang w:val="en-US"/>
        </w:rPr>
        <w:t>PLoS medicine</w:t>
      </w:r>
      <w:r w:rsidRPr="00C45F1D">
        <w:rPr>
          <w:rFonts w:ascii="Calibri" w:hAnsi="Calibri" w:cs="Calibri"/>
          <w:noProof/>
          <w:lang w:val="en-US"/>
        </w:rPr>
        <w:t xml:space="preserve"> 2012; </w:t>
      </w:r>
      <w:r w:rsidRPr="00C45F1D">
        <w:rPr>
          <w:rFonts w:ascii="Calibri" w:hAnsi="Calibri" w:cs="Calibri"/>
          <w:b/>
          <w:bCs/>
          <w:noProof/>
          <w:lang w:val="en-US"/>
        </w:rPr>
        <w:t>9</w:t>
      </w:r>
      <w:r w:rsidRPr="00C45F1D">
        <w:rPr>
          <w:rFonts w:ascii="Calibri" w:hAnsi="Calibri" w:cs="Calibri"/>
          <w:noProof/>
          <w:lang w:val="en-US"/>
        </w:rPr>
        <w:t xml:space="preserve">: e1001172. </w:t>
      </w:r>
    </w:p>
    <w:p w14:paraId="0DA6B2FD" w14:textId="7180BBF9" w:rsidR="00C45F1D" w:rsidRPr="00C45F1D" w:rsidRDefault="00C45F1D" w:rsidP="00C45F1D">
      <w:pPr>
        <w:widowControl w:val="0"/>
        <w:autoSpaceDE w:val="0"/>
        <w:autoSpaceDN w:val="0"/>
        <w:adjustRightInd w:val="0"/>
        <w:spacing w:line="240" w:lineRule="auto"/>
        <w:ind w:left="640" w:hanging="640"/>
        <w:rPr>
          <w:rFonts w:ascii="Calibri" w:hAnsi="Calibri" w:cs="Calibri"/>
          <w:noProof/>
          <w:lang w:val="en-US"/>
        </w:rPr>
      </w:pPr>
      <w:r w:rsidRPr="00C45F1D">
        <w:rPr>
          <w:rFonts w:ascii="Calibri" w:hAnsi="Calibri" w:cs="Calibri"/>
          <w:noProof/>
          <w:lang w:val="en-US"/>
        </w:rPr>
        <w:t>22.</w:t>
      </w:r>
      <w:r w:rsidRPr="00C45F1D">
        <w:rPr>
          <w:rFonts w:ascii="Calibri" w:hAnsi="Calibri" w:cs="Calibri"/>
          <w:noProof/>
          <w:lang w:val="en-US"/>
        </w:rPr>
        <w:tab/>
      </w:r>
      <w:r w:rsidRPr="00C45F1D">
        <w:rPr>
          <w:rFonts w:ascii="Calibri" w:hAnsi="Calibri" w:cs="Calibri"/>
          <w:b/>
          <w:bCs/>
          <w:noProof/>
          <w:lang w:val="en-US"/>
        </w:rPr>
        <w:t xml:space="preserve">Adlerberth I, </w:t>
      </w:r>
      <w:r w:rsidRPr="00C45F1D">
        <w:rPr>
          <w:rFonts w:ascii="Calibri" w:hAnsi="Calibri" w:cs="Calibri"/>
          <w:b/>
          <w:bCs/>
          <w:i/>
          <w:iCs/>
          <w:noProof/>
          <w:lang w:val="en-US"/>
        </w:rPr>
        <w:t>et al.</w:t>
      </w:r>
      <w:r w:rsidRPr="00C45F1D">
        <w:rPr>
          <w:rFonts w:ascii="Calibri" w:hAnsi="Calibri" w:cs="Calibri"/>
          <w:noProof/>
          <w:lang w:val="en-US"/>
        </w:rPr>
        <w:t xml:space="preserve"> Toxin-producing </w:t>
      </w:r>
      <w:r w:rsidR="00BB0639" w:rsidRPr="00BB0639">
        <w:rPr>
          <w:rFonts w:ascii="Calibri" w:hAnsi="Calibri" w:cs="Calibri"/>
          <w:i/>
          <w:noProof/>
          <w:lang w:val="en-US"/>
        </w:rPr>
        <w:t>Clostridium difficile</w:t>
      </w:r>
      <w:r w:rsidRPr="00C45F1D">
        <w:rPr>
          <w:rFonts w:ascii="Calibri" w:hAnsi="Calibri" w:cs="Calibri"/>
          <w:noProof/>
          <w:lang w:val="en-US"/>
        </w:rPr>
        <w:t xml:space="preserve"> strains as long-term gut colonizers in healthy infants. </w:t>
      </w:r>
      <w:r w:rsidRPr="00C45F1D">
        <w:rPr>
          <w:rFonts w:ascii="Calibri" w:hAnsi="Calibri" w:cs="Calibri"/>
          <w:i/>
          <w:iCs/>
          <w:noProof/>
          <w:lang w:val="en-US"/>
        </w:rPr>
        <w:t>Journal of Clinical Microbiology</w:t>
      </w:r>
      <w:r w:rsidRPr="00C45F1D">
        <w:rPr>
          <w:rFonts w:ascii="Calibri" w:hAnsi="Calibri" w:cs="Calibri"/>
          <w:noProof/>
          <w:lang w:val="en-US"/>
        </w:rPr>
        <w:t xml:space="preserve"> 2014; </w:t>
      </w:r>
      <w:r w:rsidRPr="00C45F1D">
        <w:rPr>
          <w:rFonts w:ascii="Calibri" w:hAnsi="Calibri" w:cs="Calibri"/>
          <w:b/>
          <w:bCs/>
          <w:noProof/>
          <w:lang w:val="en-US"/>
        </w:rPr>
        <w:t>52</w:t>
      </w:r>
      <w:r w:rsidRPr="00C45F1D">
        <w:rPr>
          <w:rFonts w:ascii="Calibri" w:hAnsi="Calibri" w:cs="Calibri"/>
          <w:noProof/>
          <w:lang w:val="en-US"/>
        </w:rPr>
        <w:t xml:space="preserve">: 173–9. </w:t>
      </w:r>
    </w:p>
    <w:p w14:paraId="4F2D5E9D" w14:textId="72B83923" w:rsidR="00C45F1D" w:rsidRPr="00C45F1D" w:rsidRDefault="00C45F1D" w:rsidP="00C45F1D">
      <w:pPr>
        <w:widowControl w:val="0"/>
        <w:autoSpaceDE w:val="0"/>
        <w:autoSpaceDN w:val="0"/>
        <w:adjustRightInd w:val="0"/>
        <w:spacing w:line="240" w:lineRule="auto"/>
        <w:ind w:left="640" w:hanging="640"/>
        <w:rPr>
          <w:rFonts w:ascii="Calibri" w:hAnsi="Calibri" w:cs="Calibri"/>
          <w:noProof/>
          <w:lang w:val="en-US"/>
        </w:rPr>
      </w:pPr>
      <w:r w:rsidRPr="00C45F1D">
        <w:rPr>
          <w:rFonts w:ascii="Calibri" w:hAnsi="Calibri" w:cs="Calibri"/>
          <w:noProof/>
          <w:lang w:val="en-US"/>
        </w:rPr>
        <w:t>23.</w:t>
      </w:r>
      <w:r w:rsidRPr="00C45F1D">
        <w:rPr>
          <w:rFonts w:ascii="Calibri" w:hAnsi="Calibri" w:cs="Calibri"/>
          <w:noProof/>
          <w:lang w:val="en-US"/>
        </w:rPr>
        <w:tab/>
      </w:r>
      <w:r w:rsidRPr="00C45F1D">
        <w:rPr>
          <w:rFonts w:ascii="Calibri" w:hAnsi="Calibri" w:cs="Calibri"/>
          <w:b/>
          <w:bCs/>
          <w:noProof/>
          <w:lang w:val="en-US"/>
        </w:rPr>
        <w:t xml:space="preserve">Loo VG, </w:t>
      </w:r>
      <w:r w:rsidRPr="00C45F1D">
        <w:rPr>
          <w:rFonts w:ascii="Calibri" w:hAnsi="Calibri" w:cs="Calibri"/>
          <w:b/>
          <w:bCs/>
          <w:i/>
          <w:iCs/>
          <w:noProof/>
          <w:lang w:val="en-US"/>
        </w:rPr>
        <w:t>et al.</w:t>
      </w:r>
      <w:r w:rsidRPr="00C45F1D">
        <w:rPr>
          <w:rFonts w:ascii="Calibri" w:hAnsi="Calibri" w:cs="Calibri"/>
          <w:noProof/>
          <w:lang w:val="en-US"/>
        </w:rPr>
        <w:t xml:space="preserve"> Host and Pathogen Factors for </w:t>
      </w:r>
      <w:r w:rsidR="00BB0639" w:rsidRPr="00BB0639">
        <w:rPr>
          <w:rFonts w:ascii="Calibri" w:hAnsi="Calibri" w:cs="Calibri"/>
          <w:i/>
          <w:noProof/>
          <w:lang w:val="en-US"/>
        </w:rPr>
        <w:t>Clostridium difficile</w:t>
      </w:r>
      <w:r w:rsidRPr="00C45F1D">
        <w:rPr>
          <w:rFonts w:ascii="Calibri" w:hAnsi="Calibri" w:cs="Calibri"/>
          <w:noProof/>
          <w:lang w:val="en-US"/>
        </w:rPr>
        <w:t xml:space="preserve"> Infection and Colonization. </w:t>
      </w:r>
      <w:r w:rsidRPr="00C45F1D">
        <w:rPr>
          <w:rFonts w:ascii="Calibri" w:hAnsi="Calibri" w:cs="Calibri"/>
          <w:i/>
          <w:iCs/>
          <w:noProof/>
          <w:lang w:val="en-US"/>
        </w:rPr>
        <w:t>New England Journal of Medicine</w:t>
      </w:r>
      <w:r w:rsidRPr="00C45F1D">
        <w:rPr>
          <w:rFonts w:ascii="Calibri" w:hAnsi="Calibri" w:cs="Calibri"/>
          <w:noProof/>
          <w:lang w:val="en-US"/>
        </w:rPr>
        <w:t xml:space="preserve"> 2011; </w:t>
      </w:r>
      <w:r w:rsidRPr="00C45F1D">
        <w:rPr>
          <w:rFonts w:ascii="Calibri" w:hAnsi="Calibri" w:cs="Calibri"/>
          <w:b/>
          <w:bCs/>
          <w:noProof/>
          <w:lang w:val="en-US"/>
        </w:rPr>
        <w:t>365</w:t>
      </w:r>
      <w:r w:rsidRPr="00C45F1D">
        <w:rPr>
          <w:rFonts w:ascii="Calibri" w:hAnsi="Calibri" w:cs="Calibri"/>
          <w:noProof/>
          <w:lang w:val="en-US"/>
        </w:rPr>
        <w:t xml:space="preserve">: 1693–1703. </w:t>
      </w:r>
    </w:p>
    <w:p w14:paraId="1A938A8C" w14:textId="2074F352" w:rsidR="00C45F1D" w:rsidRPr="00C45F1D" w:rsidRDefault="00C45F1D" w:rsidP="00C45F1D">
      <w:pPr>
        <w:widowControl w:val="0"/>
        <w:autoSpaceDE w:val="0"/>
        <w:autoSpaceDN w:val="0"/>
        <w:adjustRightInd w:val="0"/>
        <w:spacing w:line="240" w:lineRule="auto"/>
        <w:ind w:left="640" w:hanging="640"/>
        <w:rPr>
          <w:rFonts w:ascii="Calibri" w:hAnsi="Calibri" w:cs="Calibri"/>
          <w:noProof/>
          <w:lang w:val="en-US"/>
        </w:rPr>
      </w:pPr>
      <w:r w:rsidRPr="00C45F1D">
        <w:rPr>
          <w:rFonts w:ascii="Calibri" w:hAnsi="Calibri" w:cs="Calibri"/>
          <w:noProof/>
          <w:lang w:val="en-US"/>
        </w:rPr>
        <w:t>24.</w:t>
      </w:r>
      <w:r w:rsidRPr="00C45F1D">
        <w:rPr>
          <w:rFonts w:ascii="Calibri" w:hAnsi="Calibri" w:cs="Calibri"/>
          <w:noProof/>
          <w:lang w:val="en-US"/>
        </w:rPr>
        <w:tab/>
      </w:r>
      <w:r w:rsidRPr="00C45F1D">
        <w:rPr>
          <w:rFonts w:ascii="Calibri" w:hAnsi="Calibri" w:cs="Calibri"/>
          <w:b/>
          <w:bCs/>
          <w:noProof/>
          <w:lang w:val="en-US"/>
        </w:rPr>
        <w:t xml:space="preserve">Khanna S, </w:t>
      </w:r>
      <w:r w:rsidRPr="00C45F1D">
        <w:rPr>
          <w:rFonts w:ascii="Calibri" w:hAnsi="Calibri" w:cs="Calibri"/>
          <w:b/>
          <w:bCs/>
          <w:i/>
          <w:iCs/>
          <w:noProof/>
          <w:lang w:val="en-US"/>
        </w:rPr>
        <w:t>et al.</w:t>
      </w:r>
      <w:r w:rsidRPr="00C45F1D">
        <w:rPr>
          <w:rFonts w:ascii="Calibri" w:hAnsi="Calibri" w:cs="Calibri"/>
          <w:noProof/>
          <w:lang w:val="en-US"/>
        </w:rPr>
        <w:t xml:space="preserve"> The Epidemiology of Community-Acquired </w:t>
      </w:r>
      <w:r w:rsidR="00BB0639" w:rsidRPr="00BB0639">
        <w:rPr>
          <w:rFonts w:ascii="Calibri" w:hAnsi="Calibri" w:cs="Calibri"/>
          <w:i/>
          <w:noProof/>
          <w:lang w:val="en-US"/>
        </w:rPr>
        <w:t>Clostridium difficile</w:t>
      </w:r>
      <w:r w:rsidRPr="00C45F1D">
        <w:rPr>
          <w:rFonts w:ascii="Calibri" w:hAnsi="Calibri" w:cs="Calibri"/>
          <w:noProof/>
          <w:lang w:val="en-US"/>
        </w:rPr>
        <w:t xml:space="preserve"> Infection: A Population-Based Study. </w:t>
      </w:r>
      <w:r w:rsidRPr="00C45F1D">
        <w:rPr>
          <w:rFonts w:ascii="Calibri" w:hAnsi="Calibri" w:cs="Calibri"/>
          <w:i/>
          <w:iCs/>
          <w:noProof/>
          <w:lang w:val="en-US"/>
        </w:rPr>
        <w:t>The American Journal of Gastroenterology</w:t>
      </w:r>
      <w:r w:rsidRPr="00C45F1D">
        <w:rPr>
          <w:rFonts w:ascii="Calibri" w:hAnsi="Calibri" w:cs="Calibri"/>
          <w:noProof/>
          <w:lang w:val="en-US"/>
        </w:rPr>
        <w:t xml:space="preserve"> Nature Publishing Group, 2012; </w:t>
      </w:r>
      <w:r w:rsidRPr="00C45F1D">
        <w:rPr>
          <w:rFonts w:ascii="Calibri" w:hAnsi="Calibri" w:cs="Calibri"/>
          <w:b/>
          <w:bCs/>
          <w:noProof/>
          <w:lang w:val="en-US"/>
        </w:rPr>
        <w:t>107</w:t>
      </w:r>
      <w:r w:rsidRPr="00C45F1D">
        <w:rPr>
          <w:rFonts w:ascii="Calibri" w:hAnsi="Calibri" w:cs="Calibri"/>
          <w:noProof/>
          <w:lang w:val="en-US"/>
        </w:rPr>
        <w:t xml:space="preserve">: 89–95. </w:t>
      </w:r>
    </w:p>
    <w:p w14:paraId="2936EAB6" w14:textId="41A75127" w:rsidR="00C45F1D" w:rsidRPr="00C45F1D" w:rsidRDefault="00C45F1D" w:rsidP="00C45F1D">
      <w:pPr>
        <w:widowControl w:val="0"/>
        <w:autoSpaceDE w:val="0"/>
        <w:autoSpaceDN w:val="0"/>
        <w:adjustRightInd w:val="0"/>
        <w:spacing w:line="240" w:lineRule="auto"/>
        <w:ind w:left="640" w:hanging="640"/>
        <w:rPr>
          <w:rFonts w:ascii="Calibri" w:hAnsi="Calibri" w:cs="Calibri"/>
          <w:noProof/>
          <w:lang w:val="en-US"/>
        </w:rPr>
      </w:pPr>
      <w:r w:rsidRPr="00C45F1D">
        <w:rPr>
          <w:rFonts w:ascii="Calibri" w:hAnsi="Calibri" w:cs="Calibri"/>
          <w:noProof/>
          <w:lang w:val="en-US"/>
        </w:rPr>
        <w:t>25.</w:t>
      </w:r>
      <w:r w:rsidRPr="00C45F1D">
        <w:rPr>
          <w:rFonts w:ascii="Calibri" w:hAnsi="Calibri" w:cs="Calibri"/>
          <w:noProof/>
          <w:lang w:val="en-US"/>
        </w:rPr>
        <w:tab/>
      </w:r>
      <w:r w:rsidRPr="00C45F1D">
        <w:rPr>
          <w:rFonts w:ascii="Calibri" w:hAnsi="Calibri" w:cs="Calibri"/>
          <w:b/>
          <w:bCs/>
          <w:noProof/>
          <w:lang w:val="en-US"/>
        </w:rPr>
        <w:t>Freeman J</w:t>
      </w:r>
      <w:r w:rsidRPr="00C45F1D">
        <w:rPr>
          <w:rFonts w:ascii="Calibri" w:hAnsi="Calibri" w:cs="Calibri"/>
          <w:noProof/>
          <w:lang w:val="en-US"/>
        </w:rPr>
        <w:t xml:space="preserve">. Comparison of the efficacy of ramoplanin and vancomycin in both in vitro and in vivo models of clindamycin-induced </w:t>
      </w:r>
      <w:r w:rsidR="00BB0639" w:rsidRPr="00BB0639">
        <w:rPr>
          <w:rFonts w:ascii="Calibri" w:hAnsi="Calibri" w:cs="Calibri"/>
          <w:i/>
          <w:noProof/>
          <w:lang w:val="en-US"/>
        </w:rPr>
        <w:t>Clostridium difficile</w:t>
      </w:r>
      <w:r w:rsidRPr="00C45F1D">
        <w:rPr>
          <w:rFonts w:ascii="Calibri" w:hAnsi="Calibri" w:cs="Calibri"/>
          <w:noProof/>
          <w:lang w:val="en-US"/>
        </w:rPr>
        <w:t xml:space="preserve"> infection. </w:t>
      </w:r>
      <w:r w:rsidRPr="00C45F1D">
        <w:rPr>
          <w:rFonts w:ascii="Calibri" w:hAnsi="Calibri" w:cs="Calibri"/>
          <w:i/>
          <w:iCs/>
          <w:noProof/>
          <w:lang w:val="en-US"/>
        </w:rPr>
        <w:t>Journal of Antimicrobial Chemotherapy</w:t>
      </w:r>
      <w:r w:rsidRPr="00C45F1D">
        <w:rPr>
          <w:rFonts w:ascii="Calibri" w:hAnsi="Calibri" w:cs="Calibri"/>
          <w:noProof/>
          <w:lang w:val="en-US"/>
        </w:rPr>
        <w:t xml:space="preserve"> 2005; </w:t>
      </w:r>
      <w:r w:rsidRPr="00C45F1D">
        <w:rPr>
          <w:rFonts w:ascii="Calibri" w:hAnsi="Calibri" w:cs="Calibri"/>
          <w:b/>
          <w:bCs/>
          <w:noProof/>
          <w:lang w:val="en-US"/>
        </w:rPr>
        <w:t>56</w:t>
      </w:r>
      <w:r w:rsidRPr="00C45F1D">
        <w:rPr>
          <w:rFonts w:ascii="Calibri" w:hAnsi="Calibri" w:cs="Calibri"/>
          <w:noProof/>
          <w:lang w:val="en-US"/>
        </w:rPr>
        <w:t xml:space="preserve">: 717–725. </w:t>
      </w:r>
    </w:p>
    <w:p w14:paraId="3AD71764" w14:textId="4AE12021" w:rsidR="00C45F1D" w:rsidRPr="00C45F1D" w:rsidRDefault="00C45F1D" w:rsidP="00C45F1D">
      <w:pPr>
        <w:widowControl w:val="0"/>
        <w:autoSpaceDE w:val="0"/>
        <w:autoSpaceDN w:val="0"/>
        <w:adjustRightInd w:val="0"/>
        <w:spacing w:line="240" w:lineRule="auto"/>
        <w:ind w:left="640" w:hanging="640"/>
        <w:rPr>
          <w:rFonts w:ascii="Calibri" w:hAnsi="Calibri" w:cs="Calibri"/>
          <w:noProof/>
          <w:lang w:val="en-US"/>
        </w:rPr>
      </w:pPr>
      <w:r w:rsidRPr="00C45F1D">
        <w:rPr>
          <w:rFonts w:ascii="Calibri" w:hAnsi="Calibri" w:cs="Calibri"/>
          <w:noProof/>
          <w:lang w:val="en-US"/>
        </w:rPr>
        <w:t>26.</w:t>
      </w:r>
      <w:r w:rsidRPr="00C45F1D">
        <w:rPr>
          <w:rFonts w:ascii="Calibri" w:hAnsi="Calibri" w:cs="Calibri"/>
          <w:noProof/>
          <w:lang w:val="en-US"/>
        </w:rPr>
        <w:tab/>
      </w:r>
      <w:r w:rsidRPr="00C45F1D">
        <w:rPr>
          <w:rFonts w:ascii="Calibri" w:hAnsi="Calibri" w:cs="Calibri"/>
          <w:b/>
          <w:bCs/>
          <w:noProof/>
          <w:lang w:val="en-US"/>
        </w:rPr>
        <w:t xml:space="preserve">Khan FY, </w:t>
      </w:r>
      <w:r w:rsidRPr="00C45F1D">
        <w:rPr>
          <w:rFonts w:ascii="Calibri" w:hAnsi="Calibri" w:cs="Calibri"/>
          <w:b/>
          <w:bCs/>
          <w:i/>
          <w:iCs/>
          <w:noProof/>
          <w:lang w:val="en-US"/>
        </w:rPr>
        <w:t>et al.</w:t>
      </w:r>
      <w:r w:rsidRPr="00C45F1D">
        <w:rPr>
          <w:rFonts w:ascii="Calibri" w:hAnsi="Calibri" w:cs="Calibri"/>
          <w:noProof/>
          <w:lang w:val="en-US"/>
        </w:rPr>
        <w:t xml:space="preserve"> Epidemiological features of </w:t>
      </w:r>
      <w:r w:rsidR="00BB0639" w:rsidRPr="00BB0639">
        <w:rPr>
          <w:rFonts w:ascii="Calibri" w:hAnsi="Calibri" w:cs="Calibri"/>
          <w:i/>
          <w:noProof/>
          <w:lang w:val="en-US"/>
        </w:rPr>
        <w:t>Clostridium difficile</w:t>
      </w:r>
      <w:r w:rsidRPr="00C45F1D">
        <w:rPr>
          <w:rFonts w:ascii="Calibri" w:hAnsi="Calibri" w:cs="Calibri"/>
          <w:noProof/>
          <w:lang w:val="en-US"/>
        </w:rPr>
        <w:t xml:space="preserve"> infection among inpatients at Hamad General Hospital in the state of Qatar, 2006-2009. </w:t>
      </w:r>
      <w:r w:rsidRPr="00C45F1D">
        <w:rPr>
          <w:rFonts w:ascii="Calibri" w:hAnsi="Calibri" w:cs="Calibri"/>
          <w:i/>
          <w:iCs/>
          <w:noProof/>
          <w:lang w:val="en-US"/>
        </w:rPr>
        <w:t>Travel medicine and infectious disease</w:t>
      </w:r>
      <w:r w:rsidRPr="00C45F1D">
        <w:rPr>
          <w:rFonts w:ascii="Calibri" w:hAnsi="Calibri" w:cs="Calibri"/>
          <w:noProof/>
          <w:lang w:val="en-US"/>
        </w:rPr>
        <w:t xml:space="preserve"> Elsevier Ltd, 2012; </w:t>
      </w:r>
      <w:r w:rsidRPr="00C45F1D">
        <w:rPr>
          <w:rFonts w:ascii="Calibri" w:hAnsi="Calibri" w:cs="Calibri"/>
          <w:b/>
          <w:bCs/>
          <w:noProof/>
          <w:lang w:val="en-US"/>
        </w:rPr>
        <w:t>10</w:t>
      </w:r>
      <w:r w:rsidRPr="00C45F1D">
        <w:rPr>
          <w:rFonts w:ascii="Calibri" w:hAnsi="Calibri" w:cs="Calibri"/>
          <w:noProof/>
          <w:lang w:val="en-US"/>
        </w:rPr>
        <w:t xml:space="preserve">: 179–85. </w:t>
      </w:r>
    </w:p>
    <w:p w14:paraId="68A937E9" w14:textId="399A7F76" w:rsidR="00C45F1D" w:rsidRPr="00C45F1D" w:rsidRDefault="00C45F1D" w:rsidP="00C45F1D">
      <w:pPr>
        <w:widowControl w:val="0"/>
        <w:autoSpaceDE w:val="0"/>
        <w:autoSpaceDN w:val="0"/>
        <w:adjustRightInd w:val="0"/>
        <w:spacing w:line="240" w:lineRule="auto"/>
        <w:ind w:left="640" w:hanging="640"/>
        <w:rPr>
          <w:rFonts w:ascii="Calibri" w:hAnsi="Calibri" w:cs="Calibri"/>
          <w:noProof/>
          <w:lang w:val="en-US"/>
        </w:rPr>
      </w:pPr>
      <w:r w:rsidRPr="00C45F1D">
        <w:rPr>
          <w:rFonts w:ascii="Calibri" w:hAnsi="Calibri" w:cs="Calibri"/>
          <w:noProof/>
          <w:lang w:val="en-US"/>
        </w:rPr>
        <w:t>27.</w:t>
      </w:r>
      <w:r w:rsidRPr="00C45F1D">
        <w:rPr>
          <w:rFonts w:ascii="Calibri" w:hAnsi="Calibri" w:cs="Calibri"/>
          <w:noProof/>
          <w:lang w:val="en-US"/>
        </w:rPr>
        <w:tab/>
      </w:r>
      <w:r w:rsidRPr="00C45F1D">
        <w:rPr>
          <w:rFonts w:ascii="Calibri" w:hAnsi="Calibri" w:cs="Calibri"/>
          <w:b/>
          <w:bCs/>
          <w:noProof/>
          <w:lang w:val="en-US"/>
        </w:rPr>
        <w:t xml:space="preserve">Jarvis WR, </w:t>
      </w:r>
      <w:r w:rsidRPr="00C45F1D">
        <w:rPr>
          <w:rFonts w:ascii="Calibri" w:hAnsi="Calibri" w:cs="Calibri"/>
          <w:b/>
          <w:bCs/>
          <w:i/>
          <w:iCs/>
          <w:noProof/>
          <w:lang w:val="en-US"/>
        </w:rPr>
        <w:t>et al.</w:t>
      </w:r>
      <w:r w:rsidRPr="00C45F1D">
        <w:rPr>
          <w:rFonts w:ascii="Calibri" w:hAnsi="Calibri" w:cs="Calibri"/>
          <w:noProof/>
          <w:lang w:val="en-US"/>
        </w:rPr>
        <w:t xml:space="preserve"> National point prevalence of </w:t>
      </w:r>
      <w:r w:rsidR="00BB0639" w:rsidRPr="00BB0639">
        <w:rPr>
          <w:rFonts w:ascii="Calibri" w:hAnsi="Calibri" w:cs="Calibri"/>
          <w:i/>
          <w:noProof/>
          <w:lang w:val="en-US"/>
        </w:rPr>
        <w:t>Clostridium difficile</w:t>
      </w:r>
      <w:r w:rsidRPr="00C45F1D">
        <w:rPr>
          <w:rFonts w:ascii="Calibri" w:hAnsi="Calibri" w:cs="Calibri"/>
          <w:noProof/>
          <w:lang w:val="en-US"/>
        </w:rPr>
        <w:t xml:space="preserve"> in US health care facility inpatients, 2008. </w:t>
      </w:r>
      <w:r w:rsidRPr="00C45F1D">
        <w:rPr>
          <w:rFonts w:ascii="Calibri" w:hAnsi="Calibri" w:cs="Calibri"/>
          <w:i/>
          <w:iCs/>
          <w:noProof/>
          <w:lang w:val="en-US"/>
        </w:rPr>
        <w:t>American Journal of Infection Control</w:t>
      </w:r>
      <w:r w:rsidRPr="00C45F1D">
        <w:rPr>
          <w:rFonts w:ascii="Calibri" w:hAnsi="Calibri" w:cs="Calibri"/>
          <w:noProof/>
          <w:lang w:val="en-US"/>
        </w:rPr>
        <w:t xml:space="preserve"> 2009; </w:t>
      </w:r>
      <w:r w:rsidRPr="00C45F1D">
        <w:rPr>
          <w:rFonts w:ascii="Calibri" w:hAnsi="Calibri" w:cs="Calibri"/>
          <w:b/>
          <w:bCs/>
          <w:noProof/>
          <w:lang w:val="en-US"/>
        </w:rPr>
        <w:t>37</w:t>
      </w:r>
      <w:r w:rsidRPr="00C45F1D">
        <w:rPr>
          <w:rFonts w:ascii="Calibri" w:hAnsi="Calibri" w:cs="Calibri"/>
          <w:noProof/>
          <w:lang w:val="en-US"/>
        </w:rPr>
        <w:t xml:space="preserve">: 263–270. </w:t>
      </w:r>
    </w:p>
    <w:p w14:paraId="3ED2C4A7" w14:textId="771893CD" w:rsidR="00C45F1D" w:rsidRPr="00C45F1D" w:rsidRDefault="00C45F1D" w:rsidP="00C45F1D">
      <w:pPr>
        <w:widowControl w:val="0"/>
        <w:autoSpaceDE w:val="0"/>
        <w:autoSpaceDN w:val="0"/>
        <w:adjustRightInd w:val="0"/>
        <w:spacing w:line="240" w:lineRule="auto"/>
        <w:ind w:left="640" w:hanging="640"/>
        <w:rPr>
          <w:rFonts w:ascii="Calibri" w:hAnsi="Calibri" w:cs="Calibri"/>
          <w:noProof/>
          <w:lang w:val="en-US"/>
        </w:rPr>
      </w:pPr>
      <w:r w:rsidRPr="00C45F1D">
        <w:rPr>
          <w:rFonts w:ascii="Calibri" w:hAnsi="Calibri" w:cs="Calibri"/>
          <w:noProof/>
          <w:lang w:val="en-US"/>
        </w:rPr>
        <w:t>28.</w:t>
      </w:r>
      <w:r w:rsidRPr="00C45F1D">
        <w:rPr>
          <w:rFonts w:ascii="Calibri" w:hAnsi="Calibri" w:cs="Calibri"/>
          <w:noProof/>
          <w:lang w:val="en-US"/>
        </w:rPr>
        <w:tab/>
      </w:r>
      <w:r w:rsidRPr="00C45F1D">
        <w:rPr>
          <w:rFonts w:ascii="Calibri" w:hAnsi="Calibri" w:cs="Calibri"/>
          <w:b/>
          <w:bCs/>
          <w:noProof/>
          <w:lang w:val="en-US"/>
        </w:rPr>
        <w:t>Jangi S, Lamont JT</w:t>
      </w:r>
      <w:r w:rsidRPr="00C45F1D">
        <w:rPr>
          <w:rFonts w:ascii="Calibri" w:hAnsi="Calibri" w:cs="Calibri"/>
          <w:noProof/>
          <w:lang w:val="en-US"/>
        </w:rPr>
        <w:t xml:space="preserve">. Asymptomatic Colonization by </w:t>
      </w:r>
      <w:r w:rsidR="00BB0639" w:rsidRPr="00BB0639">
        <w:rPr>
          <w:rFonts w:ascii="Calibri" w:hAnsi="Calibri" w:cs="Calibri"/>
          <w:i/>
          <w:noProof/>
          <w:lang w:val="en-US"/>
        </w:rPr>
        <w:t>Clostridium difficile</w:t>
      </w:r>
      <w:r w:rsidRPr="00C45F1D">
        <w:rPr>
          <w:rFonts w:ascii="Calibri" w:hAnsi="Calibri" w:cs="Calibri"/>
          <w:noProof/>
          <w:lang w:val="en-US"/>
        </w:rPr>
        <w:t xml:space="preserve"> in Infants: Implications for Disease in Later Life. </w:t>
      </w:r>
      <w:r w:rsidRPr="00C45F1D">
        <w:rPr>
          <w:rFonts w:ascii="Calibri" w:hAnsi="Calibri" w:cs="Calibri"/>
          <w:i/>
          <w:iCs/>
          <w:noProof/>
          <w:lang w:val="en-US"/>
        </w:rPr>
        <w:t>Journal of Pediatric Gastroenterology and Nutrition</w:t>
      </w:r>
      <w:r w:rsidRPr="00C45F1D">
        <w:rPr>
          <w:rFonts w:ascii="Calibri" w:hAnsi="Calibri" w:cs="Calibri"/>
          <w:noProof/>
          <w:lang w:val="en-US"/>
        </w:rPr>
        <w:t xml:space="preserve"> 2010; </w:t>
      </w:r>
      <w:r w:rsidRPr="00C45F1D">
        <w:rPr>
          <w:rFonts w:ascii="Calibri" w:hAnsi="Calibri" w:cs="Calibri"/>
          <w:b/>
          <w:bCs/>
          <w:noProof/>
          <w:lang w:val="en-US"/>
        </w:rPr>
        <w:t>51</w:t>
      </w:r>
      <w:r w:rsidRPr="00C45F1D">
        <w:rPr>
          <w:rFonts w:ascii="Calibri" w:hAnsi="Calibri" w:cs="Calibri"/>
          <w:noProof/>
          <w:lang w:val="en-US"/>
        </w:rPr>
        <w:t xml:space="preserve">: 2–7. </w:t>
      </w:r>
    </w:p>
    <w:p w14:paraId="36CF20CC" w14:textId="04EB19AF" w:rsidR="00C45F1D" w:rsidRPr="00C45F1D" w:rsidRDefault="00C45F1D" w:rsidP="00C45F1D">
      <w:pPr>
        <w:widowControl w:val="0"/>
        <w:autoSpaceDE w:val="0"/>
        <w:autoSpaceDN w:val="0"/>
        <w:adjustRightInd w:val="0"/>
        <w:spacing w:line="240" w:lineRule="auto"/>
        <w:ind w:left="640" w:hanging="640"/>
        <w:rPr>
          <w:rFonts w:ascii="Calibri" w:hAnsi="Calibri" w:cs="Calibri"/>
          <w:noProof/>
        </w:rPr>
      </w:pPr>
      <w:r w:rsidRPr="00C45F1D">
        <w:rPr>
          <w:rFonts w:ascii="Calibri" w:hAnsi="Calibri" w:cs="Calibri"/>
          <w:noProof/>
          <w:lang w:val="en-US"/>
        </w:rPr>
        <w:t>29.</w:t>
      </w:r>
      <w:r w:rsidRPr="00C45F1D">
        <w:rPr>
          <w:rFonts w:ascii="Calibri" w:hAnsi="Calibri" w:cs="Calibri"/>
          <w:noProof/>
          <w:lang w:val="en-US"/>
        </w:rPr>
        <w:tab/>
      </w:r>
      <w:r w:rsidRPr="00C45F1D">
        <w:rPr>
          <w:rFonts w:ascii="Calibri" w:hAnsi="Calibri" w:cs="Calibri"/>
          <w:b/>
          <w:bCs/>
          <w:noProof/>
          <w:lang w:val="en-US"/>
        </w:rPr>
        <w:t xml:space="preserve">Viscidi R, </w:t>
      </w:r>
      <w:r w:rsidRPr="00C45F1D">
        <w:rPr>
          <w:rFonts w:ascii="Calibri" w:hAnsi="Calibri" w:cs="Calibri"/>
          <w:b/>
          <w:bCs/>
          <w:i/>
          <w:iCs/>
          <w:noProof/>
          <w:lang w:val="en-US"/>
        </w:rPr>
        <w:t>et al.</w:t>
      </w:r>
      <w:r w:rsidRPr="00C45F1D">
        <w:rPr>
          <w:rFonts w:ascii="Calibri" w:hAnsi="Calibri" w:cs="Calibri"/>
          <w:noProof/>
          <w:lang w:val="en-US"/>
        </w:rPr>
        <w:t xml:space="preserve"> Serum Antibody Response to Toxins A and B of </w:t>
      </w:r>
      <w:r w:rsidR="00BB0639" w:rsidRPr="00BB0639">
        <w:rPr>
          <w:rFonts w:ascii="Calibri" w:hAnsi="Calibri" w:cs="Calibri"/>
          <w:i/>
          <w:noProof/>
          <w:lang w:val="en-US"/>
        </w:rPr>
        <w:t>Clostridium difficile</w:t>
      </w:r>
      <w:r w:rsidRPr="00C45F1D">
        <w:rPr>
          <w:rFonts w:ascii="Calibri" w:hAnsi="Calibri" w:cs="Calibri"/>
          <w:noProof/>
          <w:lang w:val="en-US"/>
        </w:rPr>
        <w:t xml:space="preserve">. </w:t>
      </w:r>
      <w:r w:rsidRPr="00C45F1D">
        <w:rPr>
          <w:rFonts w:ascii="Calibri" w:hAnsi="Calibri" w:cs="Calibri"/>
          <w:i/>
          <w:iCs/>
          <w:noProof/>
          <w:lang w:val="en-US"/>
        </w:rPr>
        <w:t>Journal of Infectious Diseases</w:t>
      </w:r>
      <w:r w:rsidRPr="00C45F1D">
        <w:rPr>
          <w:rFonts w:ascii="Calibri" w:hAnsi="Calibri" w:cs="Calibri"/>
          <w:noProof/>
          <w:lang w:val="en-US"/>
        </w:rPr>
        <w:t xml:space="preserve"> 1983; </w:t>
      </w:r>
      <w:r w:rsidRPr="00C45F1D">
        <w:rPr>
          <w:rFonts w:ascii="Calibri" w:hAnsi="Calibri" w:cs="Calibri"/>
          <w:b/>
          <w:bCs/>
          <w:noProof/>
          <w:lang w:val="en-US"/>
        </w:rPr>
        <w:t>148</w:t>
      </w:r>
      <w:r w:rsidRPr="00C45F1D">
        <w:rPr>
          <w:rFonts w:ascii="Calibri" w:hAnsi="Calibri" w:cs="Calibri"/>
          <w:noProof/>
          <w:lang w:val="en-US"/>
        </w:rPr>
        <w:t xml:space="preserve">: 93–100. </w:t>
      </w:r>
    </w:p>
    <w:p w14:paraId="5B7E5C9B" w14:textId="7D18D163" w:rsidR="00985E70" w:rsidRPr="00985E70" w:rsidRDefault="00985E70" w:rsidP="00C45F1D">
      <w:pPr>
        <w:widowControl w:val="0"/>
        <w:autoSpaceDE w:val="0"/>
        <w:autoSpaceDN w:val="0"/>
        <w:adjustRightInd w:val="0"/>
        <w:spacing w:line="240" w:lineRule="auto"/>
        <w:ind w:left="640" w:hanging="640"/>
      </w:pPr>
      <w:r>
        <w:fldChar w:fldCharType="end"/>
      </w:r>
    </w:p>
    <w:p w14:paraId="29E214F8" w14:textId="7E7B0D3B" w:rsidR="00D3411F" w:rsidRDefault="00D3411F" w:rsidP="009B1C30">
      <w:pPr>
        <w:pStyle w:val="Caption"/>
      </w:pPr>
    </w:p>
    <w:p w14:paraId="21A198EB" w14:textId="77777777" w:rsidR="008F373F" w:rsidRPr="008F373F" w:rsidRDefault="008F373F"/>
    <w:sectPr w:rsidR="008F373F" w:rsidRPr="008F373F" w:rsidSect="0041089E">
      <w:type w:val="continuous"/>
      <w:pgSz w:w="11906" w:h="16838"/>
      <w:pgMar w:top="1440" w:right="1440" w:bottom="1440" w:left="1440" w:header="708" w:footer="708" w:gutter="0"/>
      <w:pgNumType w:start="15"/>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A9297D" w14:textId="77777777" w:rsidR="00A56759" w:rsidRDefault="00A56759" w:rsidP="00AA4400">
      <w:pPr>
        <w:spacing w:after="0" w:line="240" w:lineRule="auto"/>
      </w:pPr>
      <w:r>
        <w:separator/>
      </w:r>
    </w:p>
  </w:endnote>
  <w:endnote w:type="continuationSeparator" w:id="0">
    <w:p w14:paraId="421A228D" w14:textId="77777777" w:rsidR="00A56759" w:rsidRDefault="00A56759" w:rsidP="00AA44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Segoe UI">
    <w:altName w:val="Calibri"/>
    <w:charset w:val="00"/>
    <w:family w:val="swiss"/>
    <w:pitch w:val="variable"/>
    <w:sig w:usb0="E10022FF" w:usb1="C000E47F" w:usb2="00000029" w:usb3="00000000" w:csb0="000001DF" w:csb1="00000000"/>
  </w:font>
  <w:font w:name="Cambria Math">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8705295"/>
      <w:docPartObj>
        <w:docPartGallery w:val="Page Numbers (Bottom of Page)"/>
        <w:docPartUnique/>
      </w:docPartObj>
    </w:sdtPr>
    <w:sdtEndPr>
      <w:rPr>
        <w:noProof/>
      </w:rPr>
    </w:sdtEndPr>
    <w:sdtContent>
      <w:p w14:paraId="1928C549" w14:textId="0DBFA0CF" w:rsidR="00F95D60" w:rsidRDefault="00F95D60">
        <w:pPr>
          <w:pStyle w:val="Footer"/>
          <w:jc w:val="center"/>
        </w:pPr>
        <w:r>
          <w:fldChar w:fldCharType="begin"/>
        </w:r>
        <w:r>
          <w:instrText xml:space="preserve"> PAGE   \* MERGEFORMAT </w:instrText>
        </w:r>
        <w:r>
          <w:fldChar w:fldCharType="separate"/>
        </w:r>
        <w:r w:rsidR="00243701">
          <w:rPr>
            <w:noProof/>
          </w:rPr>
          <w:t>15</w:t>
        </w:r>
        <w:r>
          <w:rPr>
            <w:noProof/>
          </w:rPr>
          <w:fldChar w:fldCharType="end"/>
        </w:r>
      </w:p>
    </w:sdtContent>
  </w:sdt>
  <w:p w14:paraId="4213B079" w14:textId="77777777" w:rsidR="00F95D60" w:rsidRDefault="00F95D6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D5D374" w14:textId="77777777" w:rsidR="00A56759" w:rsidRDefault="00A56759" w:rsidP="00AA4400">
      <w:pPr>
        <w:spacing w:after="0" w:line="240" w:lineRule="auto"/>
      </w:pPr>
      <w:r>
        <w:separator/>
      </w:r>
    </w:p>
  </w:footnote>
  <w:footnote w:type="continuationSeparator" w:id="0">
    <w:p w14:paraId="6DEADEC8" w14:textId="77777777" w:rsidR="00A56759" w:rsidRDefault="00A56759" w:rsidP="00AA440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D624E1"/>
    <w:multiLevelType w:val="hybridMultilevel"/>
    <w:tmpl w:val="12DE183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gus McLure">
    <w15:presenceInfo w15:providerId="AD" w15:userId="S::u4859599@anu.edu.au::ef3d2a35-9b1c-45e5-8212-b9f51747e8a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B52"/>
    <w:rsid w:val="00035C3C"/>
    <w:rsid w:val="00054277"/>
    <w:rsid w:val="00084BBD"/>
    <w:rsid w:val="00091D14"/>
    <w:rsid w:val="000A6585"/>
    <w:rsid w:val="000D32FE"/>
    <w:rsid w:val="000D60AF"/>
    <w:rsid w:val="00103645"/>
    <w:rsid w:val="00133488"/>
    <w:rsid w:val="00141165"/>
    <w:rsid w:val="00153FA7"/>
    <w:rsid w:val="00172891"/>
    <w:rsid w:val="00196540"/>
    <w:rsid w:val="001A5BCC"/>
    <w:rsid w:val="001C1BD1"/>
    <w:rsid w:val="001D5951"/>
    <w:rsid w:val="00204BA4"/>
    <w:rsid w:val="00243701"/>
    <w:rsid w:val="0025070E"/>
    <w:rsid w:val="00257F60"/>
    <w:rsid w:val="002A6AF3"/>
    <w:rsid w:val="002B77D5"/>
    <w:rsid w:val="00302785"/>
    <w:rsid w:val="00311A9C"/>
    <w:rsid w:val="00352E72"/>
    <w:rsid w:val="00391593"/>
    <w:rsid w:val="003C6AC2"/>
    <w:rsid w:val="003F0899"/>
    <w:rsid w:val="004070E2"/>
    <w:rsid w:val="0041089E"/>
    <w:rsid w:val="00413893"/>
    <w:rsid w:val="00424096"/>
    <w:rsid w:val="004934E6"/>
    <w:rsid w:val="004A1181"/>
    <w:rsid w:val="004A1EF4"/>
    <w:rsid w:val="004C256D"/>
    <w:rsid w:val="004C5E9C"/>
    <w:rsid w:val="004D63FF"/>
    <w:rsid w:val="004F3324"/>
    <w:rsid w:val="004F591C"/>
    <w:rsid w:val="00503BAB"/>
    <w:rsid w:val="00531029"/>
    <w:rsid w:val="005B310C"/>
    <w:rsid w:val="005B594C"/>
    <w:rsid w:val="005C468D"/>
    <w:rsid w:val="00622B49"/>
    <w:rsid w:val="00653948"/>
    <w:rsid w:val="00670B37"/>
    <w:rsid w:val="00725882"/>
    <w:rsid w:val="00746854"/>
    <w:rsid w:val="00764A6D"/>
    <w:rsid w:val="00775A08"/>
    <w:rsid w:val="00786612"/>
    <w:rsid w:val="007D1EF2"/>
    <w:rsid w:val="0080109D"/>
    <w:rsid w:val="008052D2"/>
    <w:rsid w:val="008B1751"/>
    <w:rsid w:val="008F373F"/>
    <w:rsid w:val="009774D9"/>
    <w:rsid w:val="00985E70"/>
    <w:rsid w:val="009B1C30"/>
    <w:rsid w:val="00A0634A"/>
    <w:rsid w:val="00A406F6"/>
    <w:rsid w:val="00A5235E"/>
    <w:rsid w:val="00A56759"/>
    <w:rsid w:val="00A71FC9"/>
    <w:rsid w:val="00A845D7"/>
    <w:rsid w:val="00A877DF"/>
    <w:rsid w:val="00AA4400"/>
    <w:rsid w:val="00AF067A"/>
    <w:rsid w:val="00B17285"/>
    <w:rsid w:val="00B45891"/>
    <w:rsid w:val="00B461B6"/>
    <w:rsid w:val="00B5065D"/>
    <w:rsid w:val="00B6288D"/>
    <w:rsid w:val="00B7118D"/>
    <w:rsid w:val="00B80518"/>
    <w:rsid w:val="00B81A43"/>
    <w:rsid w:val="00BA0EC7"/>
    <w:rsid w:val="00BB0639"/>
    <w:rsid w:val="00BB1B52"/>
    <w:rsid w:val="00BE3E53"/>
    <w:rsid w:val="00BE6C9F"/>
    <w:rsid w:val="00BF19D5"/>
    <w:rsid w:val="00BF79A2"/>
    <w:rsid w:val="00C310EA"/>
    <w:rsid w:val="00C45F1D"/>
    <w:rsid w:val="00C63F43"/>
    <w:rsid w:val="00C914C4"/>
    <w:rsid w:val="00CE0491"/>
    <w:rsid w:val="00D24491"/>
    <w:rsid w:val="00D33F79"/>
    <w:rsid w:val="00D3411F"/>
    <w:rsid w:val="00D5631E"/>
    <w:rsid w:val="00DC453D"/>
    <w:rsid w:val="00DF42F5"/>
    <w:rsid w:val="00E01E46"/>
    <w:rsid w:val="00E15125"/>
    <w:rsid w:val="00E254AA"/>
    <w:rsid w:val="00E416CA"/>
    <w:rsid w:val="00E63468"/>
    <w:rsid w:val="00E710B6"/>
    <w:rsid w:val="00EB52BF"/>
    <w:rsid w:val="00F11909"/>
    <w:rsid w:val="00F21CEF"/>
    <w:rsid w:val="00F31FFB"/>
    <w:rsid w:val="00F93D1F"/>
    <w:rsid w:val="00F95D6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26B8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B52"/>
  </w:style>
  <w:style w:type="paragraph" w:styleId="Heading1">
    <w:name w:val="heading 1"/>
    <w:basedOn w:val="Normal"/>
    <w:next w:val="Normal"/>
    <w:link w:val="Heading1Char"/>
    <w:uiPriority w:val="9"/>
    <w:qFormat/>
    <w:rsid w:val="00EB52B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F373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B1B5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BB1B5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B1B5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BB1B52"/>
    <w:rPr>
      <w:rFonts w:asciiTheme="majorHAnsi" w:eastAsiaTheme="majorEastAsia" w:hAnsiTheme="majorHAnsi" w:cstheme="majorBidi"/>
      <w:i/>
      <w:iCs/>
      <w:color w:val="2E74B5" w:themeColor="accent1" w:themeShade="BF"/>
    </w:rPr>
  </w:style>
  <w:style w:type="paragraph" w:styleId="ListParagraph">
    <w:name w:val="List Paragraph"/>
    <w:basedOn w:val="Normal"/>
    <w:uiPriority w:val="34"/>
    <w:qFormat/>
    <w:rsid w:val="00BB1B52"/>
    <w:pPr>
      <w:ind w:left="720"/>
      <w:contextualSpacing/>
    </w:pPr>
  </w:style>
  <w:style w:type="character" w:styleId="CommentReference">
    <w:name w:val="annotation reference"/>
    <w:basedOn w:val="DefaultParagraphFont"/>
    <w:uiPriority w:val="99"/>
    <w:semiHidden/>
    <w:unhideWhenUsed/>
    <w:rsid w:val="00BB1B52"/>
    <w:rPr>
      <w:sz w:val="16"/>
      <w:szCs w:val="16"/>
    </w:rPr>
  </w:style>
  <w:style w:type="paragraph" w:styleId="CommentText">
    <w:name w:val="annotation text"/>
    <w:basedOn w:val="Normal"/>
    <w:link w:val="CommentTextChar"/>
    <w:uiPriority w:val="99"/>
    <w:semiHidden/>
    <w:unhideWhenUsed/>
    <w:rsid w:val="00BB1B52"/>
    <w:pPr>
      <w:spacing w:line="240" w:lineRule="auto"/>
    </w:pPr>
    <w:rPr>
      <w:sz w:val="20"/>
      <w:szCs w:val="20"/>
    </w:rPr>
  </w:style>
  <w:style w:type="character" w:customStyle="1" w:styleId="CommentTextChar">
    <w:name w:val="Comment Text Char"/>
    <w:basedOn w:val="DefaultParagraphFont"/>
    <w:link w:val="CommentText"/>
    <w:uiPriority w:val="99"/>
    <w:semiHidden/>
    <w:rsid w:val="00BB1B52"/>
    <w:rPr>
      <w:sz w:val="20"/>
      <w:szCs w:val="20"/>
    </w:rPr>
  </w:style>
  <w:style w:type="paragraph" w:styleId="BalloonText">
    <w:name w:val="Balloon Text"/>
    <w:basedOn w:val="Normal"/>
    <w:link w:val="BalloonTextChar"/>
    <w:uiPriority w:val="99"/>
    <w:semiHidden/>
    <w:unhideWhenUsed/>
    <w:rsid w:val="00BB1B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1B52"/>
    <w:rPr>
      <w:rFonts w:ascii="Segoe UI" w:hAnsi="Segoe UI" w:cs="Segoe UI"/>
      <w:sz w:val="18"/>
      <w:szCs w:val="18"/>
    </w:rPr>
  </w:style>
  <w:style w:type="character" w:customStyle="1" w:styleId="Heading2Char">
    <w:name w:val="Heading 2 Char"/>
    <w:basedOn w:val="DefaultParagraphFont"/>
    <w:link w:val="Heading2"/>
    <w:uiPriority w:val="9"/>
    <w:rsid w:val="008F373F"/>
    <w:rPr>
      <w:rFonts w:asciiTheme="majorHAnsi" w:eastAsiaTheme="majorEastAsia" w:hAnsiTheme="majorHAnsi" w:cstheme="majorBidi"/>
      <w:color w:val="2E74B5" w:themeColor="accent1" w:themeShade="BF"/>
      <w:sz w:val="26"/>
      <w:szCs w:val="26"/>
    </w:rPr>
  </w:style>
  <w:style w:type="paragraph" w:styleId="Caption">
    <w:name w:val="caption"/>
    <w:basedOn w:val="Normal"/>
    <w:next w:val="Normal"/>
    <w:link w:val="CaptionChar"/>
    <w:unhideWhenUsed/>
    <w:qFormat/>
    <w:rsid w:val="00B17285"/>
    <w:pPr>
      <w:spacing w:after="200" w:line="240" w:lineRule="auto"/>
    </w:pPr>
    <w:rPr>
      <w:i/>
      <w:iCs/>
      <w:color w:val="44546A" w:themeColor="text2"/>
      <w:sz w:val="18"/>
      <w:szCs w:val="18"/>
    </w:rPr>
  </w:style>
  <w:style w:type="character" w:customStyle="1" w:styleId="CaptionChar">
    <w:name w:val="Caption Char"/>
    <w:basedOn w:val="DefaultParagraphFont"/>
    <w:link w:val="Caption"/>
    <w:rsid w:val="00B17285"/>
    <w:rPr>
      <w:i/>
      <w:iCs/>
      <w:color w:val="44546A" w:themeColor="text2"/>
      <w:sz w:val="18"/>
      <w:szCs w:val="18"/>
    </w:rPr>
  </w:style>
  <w:style w:type="paragraph" w:styleId="CommentSubject">
    <w:name w:val="annotation subject"/>
    <w:basedOn w:val="CommentText"/>
    <w:next w:val="CommentText"/>
    <w:link w:val="CommentSubjectChar"/>
    <w:uiPriority w:val="99"/>
    <w:semiHidden/>
    <w:unhideWhenUsed/>
    <w:rsid w:val="00BA0EC7"/>
    <w:rPr>
      <w:b/>
      <w:bCs/>
    </w:rPr>
  </w:style>
  <w:style w:type="character" w:customStyle="1" w:styleId="CommentSubjectChar">
    <w:name w:val="Comment Subject Char"/>
    <w:basedOn w:val="CommentTextChar"/>
    <w:link w:val="CommentSubject"/>
    <w:uiPriority w:val="99"/>
    <w:semiHidden/>
    <w:rsid w:val="00BA0EC7"/>
    <w:rPr>
      <w:b/>
      <w:bCs/>
      <w:sz w:val="20"/>
      <w:szCs w:val="20"/>
    </w:rPr>
  </w:style>
  <w:style w:type="paragraph" w:styleId="Header">
    <w:name w:val="header"/>
    <w:basedOn w:val="Normal"/>
    <w:link w:val="HeaderChar"/>
    <w:uiPriority w:val="99"/>
    <w:unhideWhenUsed/>
    <w:rsid w:val="00AA44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4400"/>
  </w:style>
  <w:style w:type="paragraph" w:styleId="Footer">
    <w:name w:val="footer"/>
    <w:basedOn w:val="Normal"/>
    <w:link w:val="FooterChar"/>
    <w:uiPriority w:val="99"/>
    <w:unhideWhenUsed/>
    <w:rsid w:val="00AA44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4400"/>
  </w:style>
  <w:style w:type="character" w:customStyle="1" w:styleId="None">
    <w:name w:val="None"/>
    <w:rsid w:val="00EB52BF"/>
  </w:style>
  <w:style w:type="paragraph" w:customStyle="1" w:styleId="TableParagraph">
    <w:name w:val="Table Paragraph"/>
    <w:rsid w:val="00EB52BF"/>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eastAsia="en-AU"/>
    </w:rPr>
  </w:style>
  <w:style w:type="character" w:customStyle="1" w:styleId="Heading1Char">
    <w:name w:val="Heading 1 Char"/>
    <w:basedOn w:val="DefaultParagraphFont"/>
    <w:link w:val="Heading1"/>
    <w:uiPriority w:val="9"/>
    <w:rsid w:val="00EB52BF"/>
    <w:rPr>
      <w:rFonts w:asciiTheme="majorHAnsi" w:eastAsiaTheme="majorEastAsia" w:hAnsiTheme="majorHAnsi" w:cstheme="majorBidi"/>
      <w:color w:val="2E74B5" w:themeColor="accent1" w:themeShade="BF"/>
      <w:sz w:val="32"/>
      <w:szCs w:val="32"/>
    </w:rPr>
  </w:style>
  <w:style w:type="paragraph" w:customStyle="1" w:styleId="Body">
    <w:name w:val="Body"/>
    <w:rsid w:val="00B45891"/>
    <w:pPr>
      <w:pBdr>
        <w:top w:val="nil"/>
        <w:left w:val="nil"/>
        <w:bottom w:val="nil"/>
        <w:right w:val="nil"/>
        <w:between w:val="nil"/>
        <w:bar w:val="nil"/>
      </w:pBdr>
    </w:pPr>
    <w:rPr>
      <w:rFonts w:ascii="Calibri" w:eastAsia="Calibri" w:hAnsi="Calibri" w:cs="Calibri"/>
      <w:color w:val="000000"/>
      <w:u w:color="000000"/>
      <w:bdr w:val="nil"/>
      <w:lang w:val="fr-FR" w:eastAsia="en-AU"/>
    </w:rPr>
  </w:style>
  <w:style w:type="paragraph" w:styleId="Title">
    <w:name w:val="Title"/>
    <w:basedOn w:val="Normal"/>
    <w:next w:val="Normal"/>
    <w:link w:val="TitleChar"/>
    <w:uiPriority w:val="10"/>
    <w:qFormat/>
    <w:rsid w:val="004934E6"/>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4934E6"/>
    <w:rPr>
      <w:rFonts w:asciiTheme="majorHAnsi" w:eastAsiaTheme="majorEastAsia" w:hAnsiTheme="majorHAnsi" w:cstheme="majorBidi"/>
      <w:color w:val="323E4F" w:themeColor="text2" w:themeShade="BF"/>
      <w:spacing w:val="5"/>
      <w:kern w:val="28"/>
      <w:sz w:val="52"/>
      <w:szCs w:val="52"/>
    </w:rPr>
  </w:style>
  <w:style w:type="character" w:styleId="PageNumber">
    <w:name w:val="page number"/>
    <w:basedOn w:val="DefaultParagraphFont"/>
    <w:uiPriority w:val="99"/>
    <w:semiHidden/>
    <w:unhideWhenUsed/>
    <w:rsid w:val="0041089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B52"/>
  </w:style>
  <w:style w:type="paragraph" w:styleId="Heading1">
    <w:name w:val="heading 1"/>
    <w:basedOn w:val="Normal"/>
    <w:next w:val="Normal"/>
    <w:link w:val="Heading1Char"/>
    <w:uiPriority w:val="9"/>
    <w:qFormat/>
    <w:rsid w:val="00EB52B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F373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B1B5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BB1B5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B1B5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BB1B52"/>
    <w:rPr>
      <w:rFonts w:asciiTheme="majorHAnsi" w:eastAsiaTheme="majorEastAsia" w:hAnsiTheme="majorHAnsi" w:cstheme="majorBidi"/>
      <w:i/>
      <w:iCs/>
      <w:color w:val="2E74B5" w:themeColor="accent1" w:themeShade="BF"/>
    </w:rPr>
  </w:style>
  <w:style w:type="paragraph" w:styleId="ListParagraph">
    <w:name w:val="List Paragraph"/>
    <w:basedOn w:val="Normal"/>
    <w:uiPriority w:val="34"/>
    <w:qFormat/>
    <w:rsid w:val="00BB1B52"/>
    <w:pPr>
      <w:ind w:left="720"/>
      <w:contextualSpacing/>
    </w:pPr>
  </w:style>
  <w:style w:type="character" w:styleId="CommentReference">
    <w:name w:val="annotation reference"/>
    <w:basedOn w:val="DefaultParagraphFont"/>
    <w:uiPriority w:val="99"/>
    <w:semiHidden/>
    <w:unhideWhenUsed/>
    <w:rsid w:val="00BB1B52"/>
    <w:rPr>
      <w:sz w:val="16"/>
      <w:szCs w:val="16"/>
    </w:rPr>
  </w:style>
  <w:style w:type="paragraph" w:styleId="CommentText">
    <w:name w:val="annotation text"/>
    <w:basedOn w:val="Normal"/>
    <w:link w:val="CommentTextChar"/>
    <w:uiPriority w:val="99"/>
    <w:semiHidden/>
    <w:unhideWhenUsed/>
    <w:rsid w:val="00BB1B52"/>
    <w:pPr>
      <w:spacing w:line="240" w:lineRule="auto"/>
    </w:pPr>
    <w:rPr>
      <w:sz w:val="20"/>
      <w:szCs w:val="20"/>
    </w:rPr>
  </w:style>
  <w:style w:type="character" w:customStyle="1" w:styleId="CommentTextChar">
    <w:name w:val="Comment Text Char"/>
    <w:basedOn w:val="DefaultParagraphFont"/>
    <w:link w:val="CommentText"/>
    <w:uiPriority w:val="99"/>
    <w:semiHidden/>
    <w:rsid w:val="00BB1B52"/>
    <w:rPr>
      <w:sz w:val="20"/>
      <w:szCs w:val="20"/>
    </w:rPr>
  </w:style>
  <w:style w:type="paragraph" w:styleId="BalloonText">
    <w:name w:val="Balloon Text"/>
    <w:basedOn w:val="Normal"/>
    <w:link w:val="BalloonTextChar"/>
    <w:uiPriority w:val="99"/>
    <w:semiHidden/>
    <w:unhideWhenUsed/>
    <w:rsid w:val="00BB1B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1B52"/>
    <w:rPr>
      <w:rFonts w:ascii="Segoe UI" w:hAnsi="Segoe UI" w:cs="Segoe UI"/>
      <w:sz w:val="18"/>
      <w:szCs w:val="18"/>
    </w:rPr>
  </w:style>
  <w:style w:type="character" w:customStyle="1" w:styleId="Heading2Char">
    <w:name w:val="Heading 2 Char"/>
    <w:basedOn w:val="DefaultParagraphFont"/>
    <w:link w:val="Heading2"/>
    <w:uiPriority w:val="9"/>
    <w:rsid w:val="008F373F"/>
    <w:rPr>
      <w:rFonts w:asciiTheme="majorHAnsi" w:eastAsiaTheme="majorEastAsia" w:hAnsiTheme="majorHAnsi" w:cstheme="majorBidi"/>
      <w:color w:val="2E74B5" w:themeColor="accent1" w:themeShade="BF"/>
      <w:sz w:val="26"/>
      <w:szCs w:val="26"/>
    </w:rPr>
  </w:style>
  <w:style w:type="paragraph" w:styleId="Caption">
    <w:name w:val="caption"/>
    <w:basedOn w:val="Normal"/>
    <w:next w:val="Normal"/>
    <w:link w:val="CaptionChar"/>
    <w:unhideWhenUsed/>
    <w:qFormat/>
    <w:rsid w:val="00B17285"/>
    <w:pPr>
      <w:spacing w:after="200" w:line="240" w:lineRule="auto"/>
    </w:pPr>
    <w:rPr>
      <w:i/>
      <w:iCs/>
      <w:color w:val="44546A" w:themeColor="text2"/>
      <w:sz w:val="18"/>
      <w:szCs w:val="18"/>
    </w:rPr>
  </w:style>
  <w:style w:type="character" w:customStyle="1" w:styleId="CaptionChar">
    <w:name w:val="Caption Char"/>
    <w:basedOn w:val="DefaultParagraphFont"/>
    <w:link w:val="Caption"/>
    <w:rsid w:val="00B17285"/>
    <w:rPr>
      <w:i/>
      <w:iCs/>
      <w:color w:val="44546A" w:themeColor="text2"/>
      <w:sz w:val="18"/>
      <w:szCs w:val="18"/>
    </w:rPr>
  </w:style>
  <w:style w:type="paragraph" w:styleId="CommentSubject">
    <w:name w:val="annotation subject"/>
    <w:basedOn w:val="CommentText"/>
    <w:next w:val="CommentText"/>
    <w:link w:val="CommentSubjectChar"/>
    <w:uiPriority w:val="99"/>
    <w:semiHidden/>
    <w:unhideWhenUsed/>
    <w:rsid w:val="00BA0EC7"/>
    <w:rPr>
      <w:b/>
      <w:bCs/>
    </w:rPr>
  </w:style>
  <w:style w:type="character" w:customStyle="1" w:styleId="CommentSubjectChar">
    <w:name w:val="Comment Subject Char"/>
    <w:basedOn w:val="CommentTextChar"/>
    <w:link w:val="CommentSubject"/>
    <w:uiPriority w:val="99"/>
    <w:semiHidden/>
    <w:rsid w:val="00BA0EC7"/>
    <w:rPr>
      <w:b/>
      <w:bCs/>
      <w:sz w:val="20"/>
      <w:szCs w:val="20"/>
    </w:rPr>
  </w:style>
  <w:style w:type="paragraph" w:styleId="Header">
    <w:name w:val="header"/>
    <w:basedOn w:val="Normal"/>
    <w:link w:val="HeaderChar"/>
    <w:uiPriority w:val="99"/>
    <w:unhideWhenUsed/>
    <w:rsid w:val="00AA44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4400"/>
  </w:style>
  <w:style w:type="paragraph" w:styleId="Footer">
    <w:name w:val="footer"/>
    <w:basedOn w:val="Normal"/>
    <w:link w:val="FooterChar"/>
    <w:uiPriority w:val="99"/>
    <w:unhideWhenUsed/>
    <w:rsid w:val="00AA44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4400"/>
  </w:style>
  <w:style w:type="character" w:customStyle="1" w:styleId="None">
    <w:name w:val="None"/>
    <w:rsid w:val="00EB52BF"/>
  </w:style>
  <w:style w:type="paragraph" w:customStyle="1" w:styleId="TableParagraph">
    <w:name w:val="Table Paragraph"/>
    <w:rsid w:val="00EB52BF"/>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eastAsia="en-AU"/>
    </w:rPr>
  </w:style>
  <w:style w:type="character" w:customStyle="1" w:styleId="Heading1Char">
    <w:name w:val="Heading 1 Char"/>
    <w:basedOn w:val="DefaultParagraphFont"/>
    <w:link w:val="Heading1"/>
    <w:uiPriority w:val="9"/>
    <w:rsid w:val="00EB52BF"/>
    <w:rPr>
      <w:rFonts w:asciiTheme="majorHAnsi" w:eastAsiaTheme="majorEastAsia" w:hAnsiTheme="majorHAnsi" w:cstheme="majorBidi"/>
      <w:color w:val="2E74B5" w:themeColor="accent1" w:themeShade="BF"/>
      <w:sz w:val="32"/>
      <w:szCs w:val="32"/>
    </w:rPr>
  </w:style>
  <w:style w:type="paragraph" w:customStyle="1" w:styleId="Body">
    <w:name w:val="Body"/>
    <w:rsid w:val="00B45891"/>
    <w:pPr>
      <w:pBdr>
        <w:top w:val="nil"/>
        <w:left w:val="nil"/>
        <w:bottom w:val="nil"/>
        <w:right w:val="nil"/>
        <w:between w:val="nil"/>
        <w:bar w:val="nil"/>
      </w:pBdr>
    </w:pPr>
    <w:rPr>
      <w:rFonts w:ascii="Calibri" w:eastAsia="Calibri" w:hAnsi="Calibri" w:cs="Calibri"/>
      <w:color w:val="000000"/>
      <w:u w:color="000000"/>
      <w:bdr w:val="nil"/>
      <w:lang w:val="fr-FR" w:eastAsia="en-AU"/>
    </w:rPr>
  </w:style>
  <w:style w:type="paragraph" w:styleId="Title">
    <w:name w:val="Title"/>
    <w:basedOn w:val="Normal"/>
    <w:next w:val="Normal"/>
    <w:link w:val="TitleChar"/>
    <w:uiPriority w:val="10"/>
    <w:qFormat/>
    <w:rsid w:val="004934E6"/>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4934E6"/>
    <w:rPr>
      <w:rFonts w:asciiTheme="majorHAnsi" w:eastAsiaTheme="majorEastAsia" w:hAnsiTheme="majorHAnsi" w:cstheme="majorBidi"/>
      <w:color w:val="323E4F" w:themeColor="text2" w:themeShade="BF"/>
      <w:spacing w:val="5"/>
      <w:kern w:val="28"/>
      <w:sz w:val="52"/>
      <w:szCs w:val="52"/>
    </w:rPr>
  </w:style>
  <w:style w:type="character" w:styleId="PageNumber">
    <w:name w:val="page number"/>
    <w:basedOn w:val="DefaultParagraphFont"/>
    <w:uiPriority w:val="99"/>
    <w:semiHidden/>
    <w:unhideWhenUsed/>
    <w:rsid w:val="004108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393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t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44E0C20C-2009-6246-B7BF-9F805351A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13</Pages>
  <Words>22396</Words>
  <Characters>127658</Characters>
  <Application>Microsoft Macintosh Word</Application>
  <DocSecurity>0</DocSecurity>
  <Lines>1063</Lines>
  <Paragraphs>299</Paragraphs>
  <ScaleCrop>false</ScaleCrop>
  <HeadingPairs>
    <vt:vector size="2" baseType="variant">
      <vt:variant>
        <vt:lpstr>Title</vt:lpstr>
      </vt:variant>
      <vt:variant>
        <vt:i4>1</vt:i4>
      </vt:variant>
    </vt:vector>
  </HeadingPairs>
  <TitlesOfParts>
    <vt:vector size="1" baseType="lpstr">
      <vt:lpstr/>
    </vt:vector>
  </TitlesOfParts>
  <Company>The Australian National University</Company>
  <LinksUpToDate>false</LinksUpToDate>
  <CharactersWithSpaces>149755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Angus McLure</dc:creator>
  <cp:keywords/>
  <dc:description/>
  <cp:lastModifiedBy>Bryan McCleery</cp:lastModifiedBy>
  <cp:revision>12</cp:revision>
  <dcterms:created xsi:type="dcterms:W3CDTF">2018-09-03T00:25:00Z</dcterms:created>
  <dcterms:modified xsi:type="dcterms:W3CDTF">2019-02-08T14:32:00Z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http://www.zotero.org/styles/american-sociological-association</vt:lpwstr>
  </property>
  <property fmtid="{D5CDD505-2E9C-101B-9397-08002B2CF9AE}" pid="3" name="Mendeley Recent Style Name 0_1">
    <vt:lpwstr>American Sociological Association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http://www.zotero.org/styles/epidemiology-and-infection</vt:lpwstr>
  </property>
  <property fmtid="{D5CDD505-2E9C-101B-9397-08002B2CF9AE}" pid="7" name="Mendeley Recent Style Name 2_1">
    <vt:lpwstr>Epidemiology &amp; Infection</vt:lpwstr>
  </property>
  <property fmtid="{D5CDD505-2E9C-101B-9397-08002B2CF9AE}" pid="8" name="Mendeley Recent Style Id 3_1">
    <vt:lpwstr>http://www.zotero.org/styles/harvard1</vt:lpwstr>
  </property>
  <property fmtid="{D5CDD505-2E9C-101B-9397-08002B2CF9AE}" pid="9" name="Mendeley Recent Style Name 3_1">
    <vt:lpwstr>Harvard Reference format 1 (author-date)</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http://www.zotero.org/styles/journal-of-hospital-infection</vt:lpwstr>
  </property>
  <property fmtid="{D5CDD505-2E9C-101B-9397-08002B2CF9AE}" pid="13" name="Mendeley Recent Style Name 5_1">
    <vt:lpwstr>Journal of Hospital Infection</vt:lpwstr>
  </property>
  <property fmtid="{D5CDD505-2E9C-101B-9397-08002B2CF9AE}" pid="14" name="Mendeley Recent Style Id 6_1">
    <vt:lpwstr>http://www.zotero.org/styles/journal-of-the-royal-society-interface</vt:lpwstr>
  </property>
  <property fmtid="{D5CDD505-2E9C-101B-9397-08002B2CF9AE}" pid="15" name="Mendeley Recent Style Name 6_1">
    <vt:lpwstr>Journal of the Royal Society Interface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http://www.zotero.org/styles/plos-medicine</vt:lpwstr>
  </property>
  <property fmtid="{D5CDD505-2E9C-101B-9397-08002B2CF9AE}" pid="21" name="Mendeley Recent Style Name 9_1">
    <vt:lpwstr>PLOS Medicine</vt:lpwstr>
  </property>
  <property fmtid="{D5CDD505-2E9C-101B-9397-08002B2CF9AE}" pid="22" name="Mendeley Document_1">
    <vt:lpwstr>True</vt:lpwstr>
  </property>
  <property fmtid="{D5CDD505-2E9C-101B-9397-08002B2CF9AE}" pid="23" name="Mendeley Unique User Id_1">
    <vt:lpwstr>539698a0-6e3d-3b77-b5d0-48876033c73b</vt:lpwstr>
  </property>
  <property fmtid="{D5CDD505-2E9C-101B-9397-08002B2CF9AE}" pid="24" name="Mendeley Citation Style_1">
    <vt:lpwstr>http://www.zotero.org/styles/epidemiology-and-infection</vt:lpwstr>
  </property>
</Properties>
</file>