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95A" w:rsidRDefault="0013495A" w:rsidP="0013495A">
      <w:pPr>
        <w:spacing w:line="480" w:lineRule="auto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Appendix A</w:t>
      </w:r>
    </w:p>
    <w:p w:rsidR="0013495A" w:rsidRDefault="0013495A" w:rsidP="0013495A">
      <w:pPr>
        <w:spacing w:line="480" w:lineRule="auto"/>
        <w:jc w:val="both"/>
        <w:rPr>
          <w:rFonts w:ascii="Segoe UI" w:hAnsi="Segoe UI" w:cs="Segoe UI"/>
          <w:b/>
          <w:color w:val="000000"/>
          <w:sz w:val="20"/>
          <w:szCs w:val="20"/>
          <w:highlight w:val="lightGray"/>
        </w:rPr>
      </w:pPr>
    </w:p>
    <w:p w:rsidR="0013495A" w:rsidRDefault="0013495A" w:rsidP="0013495A">
      <w:pPr>
        <w:spacing w:line="480" w:lineRule="auto"/>
        <w:jc w:val="both"/>
        <w:rPr>
          <w:rFonts w:ascii="Segoe UI" w:hAnsi="Segoe UI" w:cs="Segoe UI"/>
          <w:color w:val="000000"/>
          <w:sz w:val="20"/>
          <w:szCs w:val="20"/>
          <w:highlight w:val="lightGray"/>
        </w:rPr>
      </w:pPr>
      <w:r>
        <w:rPr>
          <w:rFonts w:ascii="Segoe UI" w:hAnsi="Segoe UI" w:cs="Segoe UI"/>
          <w:b/>
          <w:color w:val="000000"/>
          <w:sz w:val="20"/>
          <w:szCs w:val="20"/>
          <w:highlight w:val="lightGray"/>
        </w:rPr>
        <w:t>Table S</w:t>
      </w:r>
      <w:r w:rsidR="00D63610">
        <w:rPr>
          <w:rFonts w:ascii="Segoe UI" w:hAnsi="Segoe UI" w:cs="Segoe UI"/>
          <w:b/>
          <w:color w:val="000000"/>
          <w:sz w:val="20"/>
          <w:szCs w:val="20"/>
          <w:highlight w:val="lightGray"/>
        </w:rPr>
        <w:t>1</w:t>
      </w:r>
      <w:r w:rsidRPr="009B36B7">
        <w:rPr>
          <w:rFonts w:ascii="Segoe UI" w:hAnsi="Segoe UI" w:cs="Segoe UI"/>
          <w:b/>
          <w:color w:val="000000"/>
          <w:sz w:val="20"/>
          <w:szCs w:val="20"/>
          <w:highlight w:val="lightGray"/>
        </w:rPr>
        <w:t>.</w:t>
      </w:r>
      <w:r w:rsidRPr="009B36B7">
        <w:rPr>
          <w:rFonts w:ascii="Segoe UI" w:hAnsi="Segoe UI" w:cs="Segoe UI"/>
          <w:color w:val="000000"/>
          <w:sz w:val="20"/>
          <w:szCs w:val="20"/>
          <w:highlight w:val="lightGray"/>
        </w:rPr>
        <w:t xml:space="preserve"> Posterior estimates of the test </w:t>
      </w:r>
      <w:r>
        <w:rPr>
          <w:rFonts w:ascii="Segoe UI" w:hAnsi="Segoe UI" w:cs="Segoe UI"/>
          <w:color w:val="000000"/>
          <w:sz w:val="20"/>
          <w:szCs w:val="20"/>
          <w:highlight w:val="lightGray"/>
        </w:rPr>
        <w:t>sensitivity (</w:t>
      </w:r>
      <w:r w:rsidRPr="009B36B7">
        <w:rPr>
          <w:rFonts w:ascii="Segoe UI" w:hAnsi="Segoe UI" w:cs="Segoe UI"/>
          <w:color w:val="000000"/>
          <w:sz w:val="20"/>
          <w:szCs w:val="20"/>
          <w:highlight w:val="lightGray"/>
        </w:rPr>
        <w:t>Se</w:t>
      </w:r>
      <w:r>
        <w:rPr>
          <w:rFonts w:ascii="Segoe UI" w:hAnsi="Segoe UI" w:cs="Segoe UI"/>
          <w:color w:val="000000"/>
          <w:sz w:val="20"/>
          <w:szCs w:val="20"/>
          <w:highlight w:val="lightGray"/>
        </w:rPr>
        <w:t>)</w:t>
      </w:r>
      <w:r w:rsidRPr="009B36B7">
        <w:rPr>
          <w:rFonts w:ascii="Segoe UI" w:hAnsi="Segoe UI" w:cs="Segoe UI"/>
          <w:color w:val="000000"/>
          <w:sz w:val="20"/>
          <w:szCs w:val="20"/>
          <w:highlight w:val="lightGray"/>
        </w:rPr>
        <w:t xml:space="preserve"> and </w:t>
      </w:r>
      <w:r>
        <w:rPr>
          <w:rFonts w:ascii="Segoe UI" w:hAnsi="Segoe UI" w:cs="Segoe UI"/>
          <w:color w:val="000000"/>
          <w:sz w:val="20"/>
          <w:szCs w:val="20"/>
          <w:highlight w:val="lightGray"/>
        </w:rPr>
        <w:t>specificity (</w:t>
      </w:r>
      <w:r w:rsidRPr="009B36B7">
        <w:rPr>
          <w:rFonts w:ascii="Segoe UI" w:hAnsi="Segoe UI" w:cs="Segoe UI"/>
          <w:color w:val="000000"/>
          <w:sz w:val="20"/>
          <w:szCs w:val="20"/>
          <w:highlight w:val="lightGray"/>
        </w:rPr>
        <w:t>Sp</w:t>
      </w:r>
      <w:r>
        <w:rPr>
          <w:rFonts w:ascii="Segoe UI" w:hAnsi="Segoe UI" w:cs="Segoe UI"/>
          <w:color w:val="000000"/>
          <w:sz w:val="20"/>
          <w:szCs w:val="20"/>
          <w:highlight w:val="lightGray"/>
        </w:rPr>
        <w:t>)</w:t>
      </w:r>
      <w:r w:rsidRPr="009B36B7">
        <w:rPr>
          <w:rFonts w:ascii="Segoe UI" w:hAnsi="Segoe UI" w:cs="Segoe UI"/>
          <w:color w:val="000000"/>
          <w:sz w:val="20"/>
          <w:szCs w:val="20"/>
          <w:highlight w:val="lightGray"/>
        </w:rPr>
        <w:t xml:space="preserve"> for SICCT and post-mortem with non-informative priors or informative priors.</w:t>
      </w:r>
    </w:p>
    <w:p w:rsidR="0013495A" w:rsidRPr="009B36B7" w:rsidRDefault="0013495A" w:rsidP="0013495A">
      <w:pPr>
        <w:jc w:val="both"/>
        <w:rPr>
          <w:rFonts w:ascii="Segoe UI" w:hAnsi="Segoe UI" w:cs="Segoe UI"/>
          <w:color w:val="000000"/>
          <w:sz w:val="20"/>
          <w:szCs w:val="20"/>
          <w:highlight w:val="lightGray"/>
        </w:rPr>
      </w:pPr>
    </w:p>
    <w:tbl>
      <w:tblPr>
        <w:tblStyle w:val="TableGrid1"/>
        <w:tblW w:w="8931" w:type="dxa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842"/>
        <w:gridCol w:w="284"/>
        <w:gridCol w:w="1843"/>
        <w:gridCol w:w="1701"/>
      </w:tblGrid>
      <w:tr w:rsidR="0013495A" w:rsidRPr="009B36B7" w:rsidTr="000D3FFD">
        <w:tc>
          <w:tcPr>
            <w:tcW w:w="1560" w:type="dxa"/>
          </w:tcPr>
          <w:p w:rsidR="0013495A" w:rsidRPr="009B36B7" w:rsidRDefault="0013495A" w:rsidP="000D3FFD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hideMark/>
          </w:tcPr>
          <w:p w:rsidR="0013495A" w:rsidRPr="009B36B7" w:rsidRDefault="0013495A" w:rsidP="000D3FFD">
            <w:pPr>
              <w:jc w:val="center"/>
              <w:rPr>
                <w:sz w:val="20"/>
                <w:szCs w:val="20"/>
                <w:highlight w:val="lightGray"/>
              </w:rPr>
            </w:pPr>
            <w:r w:rsidRPr="009B36B7">
              <w:rPr>
                <w:sz w:val="20"/>
                <w:szCs w:val="20"/>
                <w:highlight w:val="lightGray"/>
              </w:rPr>
              <w:t>SICCT test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13495A" w:rsidRPr="009B36B7" w:rsidRDefault="0013495A" w:rsidP="000D3FFD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hideMark/>
          </w:tcPr>
          <w:p w:rsidR="0013495A" w:rsidRPr="009B36B7" w:rsidRDefault="0013495A" w:rsidP="000D3FFD">
            <w:pPr>
              <w:jc w:val="center"/>
              <w:rPr>
                <w:sz w:val="20"/>
                <w:szCs w:val="20"/>
                <w:highlight w:val="lightGray"/>
              </w:rPr>
            </w:pPr>
            <w:r w:rsidRPr="009B36B7">
              <w:rPr>
                <w:sz w:val="20"/>
                <w:szCs w:val="20"/>
                <w:highlight w:val="lightGray"/>
              </w:rPr>
              <w:t>Post-mortem</w:t>
            </w:r>
          </w:p>
        </w:tc>
      </w:tr>
      <w:tr w:rsidR="0013495A" w:rsidRPr="009B36B7" w:rsidTr="000D3FFD">
        <w:tc>
          <w:tcPr>
            <w:tcW w:w="1560" w:type="dxa"/>
          </w:tcPr>
          <w:p w:rsidR="0013495A" w:rsidRPr="009B36B7" w:rsidRDefault="0013495A" w:rsidP="000D3FFD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3495A" w:rsidRPr="009B36B7" w:rsidRDefault="0013495A" w:rsidP="000D3FFD">
            <w:pPr>
              <w:jc w:val="center"/>
              <w:rPr>
                <w:sz w:val="20"/>
                <w:szCs w:val="20"/>
                <w:highlight w:val="lightGray"/>
              </w:rPr>
            </w:pPr>
            <w:r w:rsidRPr="009B36B7">
              <w:rPr>
                <w:sz w:val="20"/>
                <w:szCs w:val="20"/>
                <w:highlight w:val="lightGray"/>
              </w:rPr>
              <w:t>Sensitivity (%)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3495A" w:rsidRPr="009B36B7" w:rsidRDefault="0013495A" w:rsidP="000D3FFD">
            <w:pPr>
              <w:jc w:val="center"/>
              <w:rPr>
                <w:sz w:val="20"/>
                <w:szCs w:val="20"/>
                <w:highlight w:val="lightGray"/>
              </w:rPr>
            </w:pPr>
            <w:r w:rsidRPr="009B36B7">
              <w:rPr>
                <w:sz w:val="20"/>
                <w:szCs w:val="20"/>
                <w:highlight w:val="lightGray"/>
              </w:rPr>
              <w:t>Specificity (%)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13495A" w:rsidRPr="009B36B7" w:rsidRDefault="0013495A" w:rsidP="000D3FFD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3495A" w:rsidRPr="009B36B7" w:rsidRDefault="0013495A" w:rsidP="000D3FFD">
            <w:pPr>
              <w:jc w:val="center"/>
              <w:rPr>
                <w:sz w:val="20"/>
                <w:szCs w:val="20"/>
                <w:highlight w:val="lightGray"/>
              </w:rPr>
            </w:pPr>
            <w:r w:rsidRPr="009B36B7">
              <w:rPr>
                <w:sz w:val="20"/>
                <w:szCs w:val="20"/>
                <w:highlight w:val="lightGray"/>
              </w:rPr>
              <w:t>Sensitivity (%)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3495A" w:rsidRPr="009B36B7" w:rsidRDefault="0013495A" w:rsidP="000D3FFD">
            <w:pPr>
              <w:jc w:val="center"/>
              <w:rPr>
                <w:sz w:val="20"/>
                <w:szCs w:val="20"/>
                <w:highlight w:val="lightGray"/>
              </w:rPr>
            </w:pPr>
            <w:r w:rsidRPr="009B36B7">
              <w:rPr>
                <w:sz w:val="20"/>
                <w:szCs w:val="20"/>
                <w:highlight w:val="lightGray"/>
              </w:rPr>
              <w:t>Specificity (%)</w:t>
            </w:r>
          </w:p>
        </w:tc>
      </w:tr>
      <w:tr w:rsidR="0013495A" w:rsidRPr="009B36B7" w:rsidTr="000D3FFD">
        <w:trPr>
          <w:trHeight w:val="111"/>
        </w:trPr>
        <w:tc>
          <w:tcPr>
            <w:tcW w:w="1560" w:type="dxa"/>
            <w:hideMark/>
          </w:tcPr>
          <w:p w:rsidR="0013495A" w:rsidRPr="009B36B7" w:rsidRDefault="0013495A" w:rsidP="000D3FFD">
            <w:pPr>
              <w:rPr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</w:tcPr>
          <w:p w:rsidR="0013495A" w:rsidRPr="009B36B7" w:rsidRDefault="0013495A" w:rsidP="000D3FFD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13495A" w:rsidRPr="009B36B7" w:rsidTr="000D3FFD">
        <w:trPr>
          <w:trHeight w:val="403"/>
        </w:trPr>
        <w:tc>
          <w:tcPr>
            <w:tcW w:w="1560" w:type="dxa"/>
            <w:hideMark/>
          </w:tcPr>
          <w:p w:rsidR="0013495A" w:rsidRPr="009B36B7" w:rsidRDefault="0013495A" w:rsidP="000D3FFD">
            <w:pPr>
              <w:jc w:val="center"/>
              <w:rPr>
                <w:b/>
                <w:sz w:val="20"/>
                <w:szCs w:val="20"/>
                <w:highlight w:val="lightGray"/>
                <w:lang w:val="en-GB"/>
              </w:rPr>
            </w:pPr>
            <w:r w:rsidRPr="009B36B7">
              <w:rPr>
                <w:b/>
                <w:sz w:val="20"/>
                <w:szCs w:val="20"/>
                <w:highlight w:val="lightGray"/>
                <w:lang w:val="en-GB"/>
              </w:rPr>
              <w:t>Non-informative prior for Se</w:t>
            </w:r>
            <w:r>
              <w:rPr>
                <w:b/>
                <w:sz w:val="20"/>
                <w:szCs w:val="20"/>
                <w:highlight w:val="lightGray"/>
                <w:lang w:val="en-GB"/>
              </w:rPr>
              <w:t xml:space="preserve"> for</w:t>
            </w:r>
            <w:r w:rsidRPr="009B36B7">
              <w:rPr>
                <w:b/>
                <w:sz w:val="20"/>
                <w:szCs w:val="20"/>
                <w:highlight w:val="lightGray"/>
                <w:lang w:val="en-GB"/>
              </w:rPr>
              <w:t xml:space="preserve"> SICCT</w:t>
            </w:r>
          </w:p>
        </w:tc>
        <w:tc>
          <w:tcPr>
            <w:tcW w:w="1701" w:type="dxa"/>
          </w:tcPr>
          <w:p w:rsidR="0013495A" w:rsidRPr="009B36B7" w:rsidRDefault="0013495A" w:rsidP="000D3FFD">
            <w:pPr>
              <w:jc w:val="right"/>
              <w:rPr>
                <w:highlight w:val="lightGray"/>
              </w:rPr>
            </w:pPr>
            <w:r w:rsidRPr="009B36B7">
              <w:rPr>
                <w:highlight w:val="lightGray"/>
              </w:rPr>
              <w:t xml:space="preserve">88.61 </w:t>
            </w:r>
          </w:p>
          <w:p w:rsidR="0013495A" w:rsidRPr="009B36B7" w:rsidRDefault="0013495A" w:rsidP="000D3FFD">
            <w:pPr>
              <w:jc w:val="right"/>
              <w:rPr>
                <w:sz w:val="20"/>
                <w:szCs w:val="20"/>
                <w:highlight w:val="lightGray"/>
              </w:rPr>
            </w:pPr>
            <w:r w:rsidRPr="009B36B7">
              <w:rPr>
                <w:highlight w:val="lightGray"/>
              </w:rPr>
              <w:t>[85.39 – 92.23]</w:t>
            </w:r>
          </w:p>
        </w:tc>
        <w:tc>
          <w:tcPr>
            <w:tcW w:w="1842" w:type="dxa"/>
          </w:tcPr>
          <w:p w:rsidR="0013495A" w:rsidRPr="009B36B7" w:rsidRDefault="0013495A" w:rsidP="000D3FFD">
            <w:pPr>
              <w:jc w:val="right"/>
              <w:rPr>
                <w:highlight w:val="lightGray"/>
              </w:rPr>
            </w:pPr>
            <w:r w:rsidRPr="009B36B7">
              <w:rPr>
                <w:highlight w:val="lightGray"/>
              </w:rPr>
              <w:t xml:space="preserve">99.99 </w:t>
            </w:r>
          </w:p>
          <w:p w:rsidR="0013495A" w:rsidRPr="009B36B7" w:rsidRDefault="0013495A" w:rsidP="000D3FFD">
            <w:pPr>
              <w:jc w:val="right"/>
              <w:rPr>
                <w:sz w:val="20"/>
                <w:szCs w:val="20"/>
                <w:highlight w:val="lightGray"/>
              </w:rPr>
            </w:pPr>
            <w:r w:rsidRPr="009B36B7">
              <w:rPr>
                <w:highlight w:val="lightGray"/>
              </w:rPr>
              <w:t>[99.97 – 100.00]</w:t>
            </w:r>
          </w:p>
        </w:tc>
        <w:tc>
          <w:tcPr>
            <w:tcW w:w="284" w:type="dxa"/>
          </w:tcPr>
          <w:p w:rsidR="0013495A" w:rsidRPr="009B36B7" w:rsidRDefault="0013495A" w:rsidP="000D3FFD">
            <w:pPr>
              <w:jc w:val="righ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843" w:type="dxa"/>
          </w:tcPr>
          <w:p w:rsidR="0013495A" w:rsidRPr="009B36B7" w:rsidRDefault="0013495A" w:rsidP="000D3FFD">
            <w:pPr>
              <w:jc w:val="right"/>
              <w:rPr>
                <w:highlight w:val="lightGray"/>
              </w:rPr>
            </w:pPr>
            <w:r w:rsidRPr="009B36B7">
              <w:rPr>
                <w:highlight w:val="lightGray"/>
              </w:rPr>
              <w:t xml:space="preserve">53.65 </w:t>
            </w:r>
          </w:p>
          <w:p w:rsidR="0013495A" w:rsidRPr="009B36B7" w:rsidRDefault="0013495A" w:rsidP="000D3FFD">
            <w:pPr>
              <w:jc w:val="right"/>
              <w:rPr>
                <w:sz w:val="20"/>
                <w:szCs w:val="20"/>
                <w:highlight w:val="lightGray"/>
              </w:rPr>
            </w:pPr>
            <w:r w:rsidRPr="009B36B7">
              <w:rPr>
                <w:highlight w:val="lightGray"/>
              </w:rPr>
              <w:t>[52.59 – 54.75]</w:t>
            </w:r>
          </w:p>
        </w:tc>
        <w:tc>
          <w:tcPr>
            <w:tcW w:w="1701" w:type="dxa"/>
          </w:tcPr>
          <w:p w:rsidR="0013495A" w:rsidRPr="009B36B7" w:rsidRDefault="0013495A" w:rsidP="000D3FFD">
            <w:pPr>
              <w:jc w:val="right"/>
              <w:rPr>
                <w:highlight w:val="lightGray"/>
              </w:rPr>
            </w:pPr>
            <w:r w:rsidRPr="009B36B7">
              <w:rPr>
                <w:highlight w:val="lightGray"/>
              </w:rPr>
              <w:t xml:space="preserve">99.66 </w:t>
            </w:r>
          </w:p>
          <w:p w:rsidR="0013495A" w:rsidRPr="009B36B7" w:rsidRDefault="0013495A" w:rsidP="000D3FFD">
            <w:pPr>
              <w:jc w:val="right"/>
              <w:rPr>
                <w:sz w:val="20"/>
                <w:szCs w:val="20"/>
                <w:highlight w:val="lightGray"/>
              </w:rPr>
            </w:pPr>
            <w:r w:rsidRPr="009B36B7">
              <w:rPr>
                <w:highlight w:val="lightGray"/>
              </w:rPr>
              <w:t>[99.60 – 99.71]</w:t>
            </w:r>
          </w:p>
        </w:tc>
      </w:tr>
      <w:tr w:rsidR="0013495A" w:rsidRPr="009B36B7" w:rsidTr="000D3FFD">
        <w:trPr>
          <w:trHeight w:val="403"/>
        </w:trPr>
        <w:tc>
          <w:tcPr>
            <w:tcW w:w="1560" w:type="dxa"/>
          </w:tcPr>
          <w:p w:rsidR="0013495A" w:rsidRPr="009B36B7" w:rsidRDefault="0013495A" w:rsidP="000D3FFD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</w:tcPr>
          <w:p w:rsidR="0013495A" w:rsidRPr="009B36B7" w:rsidRDefault="0013495A" w:rsidP="000D3FFD">
            <w:pPr>
              <w:jc w:val="righ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842" w:type="dxa"/>
          </w:tcPr>
          <w:p w:rsidR="0013495A" w:rsidRPr="009B36B7" w:rsidRDefault="0013495A" w:rsidP="000D3FFD">
            <w:pPr>
              <w:jc w:val="righ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4" w:type="dxa"/>
          </w:tcPr>
          <w:p w:rsidR="0013495A" w:rsidRPr="009B36B7" w:rsidRDefault="0013495A" w:rsidP="000D3FFD">
            <w:pPr>
              <w:jc w:val="righ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843" w:type="dxa"/>
          </w:tcPr>
          <w:p w:rsidR="0013495A" w:rsidRPr="009B36B7" w:rsidRDefault="0013495A" w:rsidP="000D3FFD">
            <w:pPr>
              <w:jc w:val="righ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</w:tcPr>
          <w:p w:rsidR="0013495A" w:rsidRPr="009B36B7" w:rsidRDefault="0013495A" w:rsidP="000D3FFD">
            <w:pPr>
              <w:jc w:val="right"/>
              <w:rPr>
                <w:sz w:val="20"/>
                <w:szCs w:val="20"/>
                <w:highlight w:val="lightGray"/>
              </w:rPr>
            </w:pPr>
          </w:p>
        </w:tc>
      </w:tr>
      <w:tr w:rsidR="0013495A" w:rsidRPr="00961F44" w:rsidTr="000D3FFD">
        <w:tc>
          <w:tcPr>
            <w:tcW w:w="1560" w:type="dxa"/>
            <w:hideMark/>
          </w:tcPr>
          <w:p w:rsidR="0013495A" w:rsidRPr="009B36B7" w:rsidRDefault="0013495A" w:rsidP="000D3FFD">
            <w:pPr>
              <w:jc w:val="center"/>
              <w:rPr>
                <w:b/>
                <w:sz w:val="20"/>
                <w:szCs w:val="20"/>
                <w:highlight w:val="lightGray"/>
                <w:lang w:val="en-GB"/>
              </w:rPr>
            </w:pPr>
            <w:r w:rsidRPr="009B36B7">
              <w:rPr>
                <w:b/>
                <w:sz w:val="20"/>
                <w:szCs w:val="20"/>
                <w:highlight w:val="lightGray"/>
                <w:lang w:val="en-GB"/>
              </w:rPr>
              <w:t xml:space="preserve">Informative </w:t>
            </w:r>
          </w:p>
          <w:p w:rsidR="0013495A" w:rsidRPr="009B36B7" w:rsidRDefault="0013495A" w:rsidP="000D3FFD">
            <w:pPr>
              <w:jc w:val="center"/>
              <w:rPr>
                <w:sz w:val="20"/>
                <w:szCs w:val="20"/>
                <w:highlight w:val="lightGray"/>
                <w:lang w:val="en-GB"/>
              </w:rPr>
            </w:pPr>
            <w:r w:rsidRPr="009B36B7">
              <w:rPr>
                <w:b/>
                <w:sz w:val="20"/>
                <w:szCs w:val="20"/>
                <w:highlight w:val="lightGray"/>
                <w:lang w:val="en-GB"/>
              </w:rPr>
              <w:t>Prior for Se</w:t>
            </w:r>
            <w:r>
              <w:rPr>
                <w:b/>
                <w:sz w:val="20"/>
                <w:szCs w:val="20"/>
                <w:highlight w:val="lightGray"/>
                <w:lang w:val="en-GB"/>
              </w:rPr>
              <w:t xml:space="preserve"> for</w:t>
            </w:r>
            <w:r w:rsidRPr="009B36B7">
              <w:rPr>
                <w:b/>
                <w:sz w:val="20"/>
                <w:szCs w:val="20"/>
                <w:highlight w:val="lightGray"/>
                <w:lang w:val="en-GB"/>
              </w:rPr>
              <w:t xml:space="preserve"> SICCT</w:t>
            </w:r>
          </w:p>
        </w:tc>
        <w:tc>
          <w:tcPr>
            <w:tcW w:w="1701" w:type="dxa"/>
          </w:tcPr>
          <w:p w:rsidR="0013495A" w:rsidRPr="009B36B7" w:rsidRDefault="0013495A" w:rsidP="000D3FFD">
            <w:pPr>
              <w:jc w:val="right"/>
              <w:rPr>
                <w:highlight w:val="lightGray"/>
              </w:rPr>
            </w:pPr>
            <w:r w:rsidRPr="009B36B7">
              <w:rPr>
                <w:highlight w:val="lightGray"/>
              </w:rPr>
              <w:t xml:space="preserve">87.81 </w:t>
            </w:r>
          </w:p>
          <w:p w:rsidR="0013495A" w:rsidRPr="009B36B7" w:rsidRDefault="0013495A" w:rsidP="000D3FFD">
            <w:pPr>
              <w:jc w:val="right"/>
              <w:rPr>
                <w:sz w:val="20"/>
                <w:szCs w:val="20"/>
                <w:highlight w:val="lightGray"/>
              </w:rPr>
            </w:pPr>
            <w:r w:rsidRPr="009B36B7">
              <w:rPr>
                <w:highlight w:val="lightGray"/>
              </w:rPr>
              <w:t>[84.76 – 90.86]</w:t>
            </w:r>
          </w:p>
        </w:tc>
        <w:tc>
          <w:tcPr>
            <w:tcW w:w="1842" w:type="dxa"/>
          </w:tcPr>
          <w:p w:rsidR="0013495A" w:rsidRPr="009B36B7" w:rsidRDefault="0013495A" w:rsidP="000D3FFD">
            <w:pPr>
              <w:jc w:val="right"/>
              <w:rPr>
                <w:highlight w:val="lightGray"/>
              </w:rPr>
            </w:pPr>
            <w:r w:rsidRPr="009B36B7">
              <w:rPr>
                <w:highlight w:val="lightGray"/>
              </w:rPr>
              <w:t>100.00</w:t>
            </w:r>
          </w:p>
          <w:p w:rsidR="0013495A" w:rsidRPr="009B36B7" w:rsidRDefault="0013495A" w:rsidP="000D3FFD">
            <w:pPr>
              <w:jc w:val="right"/>
              <w:rPr>
                <w:sz w:val="20"/>
                <w:szCs w:val="20"/>
                <w:highlight w:val="lightGray"/>
              </w:rPr>
            </w:pPr>
            <w:r w:rsidRPr="009B36B7">
              <w:rPr>
                <w:highlight w:val="lightGray"/>
              </w:rPr>
              <w:t>[99.97 – 100.00]</w:t>
            </w:r>
          </w:p>
        </w:tc>
        <w:tc>
          <w:tcPr>
            <w:tcW w:w="284" w:type="dxa"/>
          </w:tcPr>
          <w:p w:rsidR="0013495A" w:rsidRPr="009B36B7" w:rsidRDefault="0013495A" w:rsidP="000D3FFD">
            <w:pPr>
              <w:jc w:val="righ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843" w:type="dxa"/>
          </w:tcPr>
          <w:p w:rsidR="0013495A" w:rsidRPr="009B36B7" w:rsidRDefault="0013495A" w:rsidP="000D3FFD">
            <w:pPr>
              <w:jc w:val="right"/>
              <w:rPr>
                <w:highlight w:val="lightGray"/>
              </w:rPr>
            </w:pPr>
            <w:r w:rsidRPr="009B36B7">
              <w:rPr>
                <w:highlight w:val="lightGray"/>
              </w:rPr>
              <w:t xml:space="preserve">53.27 </w:t>
            </w:r>
          </w:p>
          <w:p w:rsidR="0013495A" w:rsidRPr="009B36B7" w:rsidRDefault="0013495A" w:rsidP="000D3FFD">
            <w:pPr>
              <w:jc w:val="right"/>
              <w:rPr>
                <w:sz w:val="20"/>
                <w:szCs w:val="20"/>
                <w:highlight w:val="lightGray"/>
              </w:rPr>
            </w:pPr>
            <w:r w:rsidRPr="009B36B7">
              <w:rPr>
                <w:highlight w:val="lightGray"/>
              </w:rPr>
              <w:t>[52.56 – 54.74]</w:t>
            </w:r>
          </w:p>
        </w:tc>
        <w:tc>
          <w:tcPr>
            <w:tcW w:w="1701" w:type="dxa"/>
          </w:tcPr>
          <w:p w:rsidR="0013495A" w:rsidRPr="009B36B7" w:rsidRDefault="0013495A" w:rsidP="000D3FFD">
            <w:pPr>
              <w:jc w:val="right"/>
              <w:rPr>
                <w:highlight w:val="lightGray"/>
              </w:rPr>
            </w:pPr>
            <w:r w:rsidRPr="009B36B7">
              <w:rPr>
                <w:highlight w:val="lightGray"/>
              </w:rPr>
              <w:t xml:space="preserve">99.65 </w:t>
            </w:r>
          </w:p>
          <w:p w:rsidR="0013495A" w:rsidRPr="00961F44" w:rsidRDefault="0013495A" w:rsidP="000D3FFD">
            <w:pPr>
              <w:jc w:val="right"/>
              <w:rPr>
                <w:sz w:val="20"/>
                <w:szCs w:val="20"/>
              </w:rPr>
            </w:pPr>
            <w:r w:rsidRPr="009B36B7">
              <w:rPr>
                <w:highlight w:val="lightGray"/>
              </w:rPr>
              <w:t>[99.62 – 99.72]</w:t>
            </w:r>
          </w:p>
        </w:tc>
      </w:tr>
    </w:tbl>
    <w:p w:rsidR="00D63610" w:rsidRPr="004A26A7" w:rsidRDefault="00D63610" w:rsidP="0013495A">
      <w:pPr>
        <w:spacing w:line="480" w:lineRule="auto"/>
        <w:jc w:val="both"/>
        <w:rPr>
          <w:sz w:val="20"/>
          <w:szCs w:val="20"/>
        </w:rPr>
        <w:sectPr w:rsidR="00D63610" w:rsidRPr="004A26A7" w:rsidSect="00E1063E">
          <w:pgSz w:w="11906" w:h="16838"/>
          <w:pgMar w:top="1440" w:right="1440" w:bottom="1440" w:left="1440" w:header="0" w:footer="708" w:gutter="0"/>
          <w:lnNumType w:countBy="1" w:restart="continuous"/>
          <w:cols w:space="720"/>
          <w:formProt w:val="0"/>
          <w:docGrid w:linePitch="360" w:charSpace="-6145"/>
        </w:sectPr>
      </w:pPr>
    </w:p>
    <w:p w:rsidR="005C0523" w:rsidRDefault="001371DF" w:rsidP="005C0523">
      <w:pPr>
        <w:spacing w:line="480" w:lineRule="auto"/>
        <w:jc w:val="both"/>
      </w:pPr>
      <w:r>
        <w:rPr>
          <w:b/>
          <w:bCs/>
        </w:rPr>
        <w:lastRenderedPageBreak/>
        <w:t>Table S2</w:t>
      </w:r>
      <w:r w:rsidR="005C0523">
        <w:rPr>
          <w:b/>
          <w:bCs/>
        </w:rPr>
        <w:t>.</w:t>
      </w:r>
      <w:r w:rsidR="005C0523">
        <w:t xml:space="preserve"> Description of number (%) of animals with lesions in lymph nodes (LN) or close proximity of a </w:t>
      </w:r>
      <w:r w:rsidR="005C0523" w:rsidRPr="00943CA9">
        <w:t>particular location, median number of sites per animal having lesion</w:t>
      </w:r>
      <w:r w:rsidR="005C0523">
        <w:t>s</w:t>
      </w:r>
      <w:r w:rsidR="005C0523" w:rsidRPr="00943CA9">
        <w:t xml:space="preserve"> (1-9 with 9 referring to ≥ 9), nature (mode; 1=calcified; 2=purulent; 3=caseous) and size (median; </w:t>
      </w:r>
      <w:r w:rsidR="005C0523">
        <w:t>1-10</w:t>
      </w:r>
      <w:r w:rsidR="005C0523" w:rsidRPr="00943CA9">
        <w:t xml:space="preserve"> mm</w:t>
      </w:r>
      <w:r w:rsidR="005C0523">
        <w:t xml:space="preserve"> with 10 referring to ≥ 10</w:t>
      </w:r>
      <w:r w:rsidR="005C0523" w:rsidRPr="00943CA9">
        <w:t xml:space="preserve">mm) </w:t>
      </w:r>
      <w:r w:rsidR="005C0523">
        <w:t xml:space="preserve">of the lesions for SICCT test reactors and non-reactors with positive post mortem results. </w:t>
      </w:r>
    </w:p>
    <w:tbl>
      <w:tblPr>
        <w:tblStyle w:val="TableGrid"/>
        <w:tblW w:w="1034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992"/>
        <w:gridCol w:w="851"/>
        <w:gridCol w:w="992"/>
        <w:gridCol w:w="1276"/>
        <w:gridCol w:w="992"/>
        <w:gridCol w:w="850"/>
        <w:gridCol w:w="993"/>
      </w:tblGrid>
      <w:tr w:rsidR="005C0523" w:rsidTr="005B07A8">
        <w:trPr>
          <w:trHeight w:val="261"/>
        </w:trPr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center"/>
              <w:rPr>
                <w:b/>
                <w:sz w:val="18"/>
                <w:szCs w:val="18"/>
              </w:rPr>
            </w:pPr>
            <w:r w:rsidRPr="00E55572">
              <w:rPr>
                <w:b/>
                <w:sz w:val="18"/>
                <w:szCs w:val="18"/>
              </w:rPr>
              <w:t>Location</w:t>
            </w:r>
          </w:p>
        </w:tc>
        <w:tc>
          <w:tcPr>
            <w:tcW w:w="4253" w:type="dxa"/>
            <w:gridSpan w:val="4"/>
            <w:shd w:val="clear" w:color="auto" w:fill="auto"/>
            <w:tcMar>
              <w:left w:w="103" w:type="dxa"/>
            </w:tcMar>
          </w:tcPr>
          <w:p w:rsidR="005C0523" w:rsidRPr="00E55572" w:rsidRDefault="005C0523" w:rsidP="005B07A8">
            <w:pPr>
              <w:spacing w:line="480" w:lineRule="auto"/>
              <w:jc w:val="center"/>
              <w:rPr>
                <w:b/>
                <w:sz w:val="18"/>
                <w:szCs w:val="18"/>
              </w:rPr>
            </w:pPr>
            <w:r w:rsidRPr="00E55572">
              <w:rPr>
                <w:b/>
                <w:sz w:val="18"/>
                <w:szCs w:val="18"/>
              </w:rPr>
              <w:t xml:space="preserve">SICCT positive </w:t>
            </w:r>
          </w:p>
        </w:tc>
        <w:tc>
          <w:tcPr>
            <w:tcW w:w="4111" w:type="dxa"/>
            <w:gridSpan w:val="4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5C0523" w:rsidRPr="00E55572" w:rsidRDefault="005C0523" w:rsidP="005B07A8">
            <w:pPr>
              <w:spacing w:line="480" w:lineRule="auto"/>
              <w:jc w:val="center"/>
              <w:rPr>
                <w:b/>
                <w:sz w:val="18"/>
                <w:szCs w:val="18"/>
              </w:rPr>
            </w:pPr>
            <w:r w:rsidRPr="00E55572">
              <w:rPr>
                <w:b/>
                <w:sz w:val="18"/>
                <w:szCs w:val="18"/>
              </w:rPr>
              <w:t>SICCT negative</w:t>
            </w:r>
          </w:p>
        </w:tc>
      </w:tr>
      <w:tr w:rsidR="005C0523" w:rsidTr="005B07A8">
        <w:trPr>
          <w:trHeight w:val="782"/>
        </w:trPr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5C0523" w:rsidRPr="00E55572" w:rsidRDefault="005C0523" w:rsidP="005B07A8">
            <w:pPr>
              <w:spacing w:line="480" w:lineRule="auto"/>
              <w:jc w:val="right"/>
              <w:rPr>
                <w:b/>
                <w:sz w:val="18"/>
                <w:szCs w:val="18"/>
              </w:rPr>
            </w:pPr>
            <w:r w:rsidRPr="00E55572">
              <w:rPr>
                <w:b/>
                <w:sz w:val="18"/>
                <w:szCs w:val="18"/>
              </w:rPr>
              <w:t>Number (%) of animals with lesions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b/>
                <w:sz w:val="18"/>
                <w:szCs w:val="18"/>
              </w:rPr>
            </w:pPr>
            <w:r w:rsidRPr="00E55572">
              <w:rPr>
                <w:b/>
                <w:sz w:val="18"/>
                <w:szCs w:val="18"/>
              </w:rPr>
              <w:t xml:space="preserve">Number of sites (median) 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b/>
                <w:sz w:val="18"/>
                <w:szCs w:val="18"/>
              </w:rPr>
            </w:pPr>
            <w:r w:rsidRPr="00E55572">
              <w:rPr>
                <w:b/>
                <w:sz w:val="18"/>
                <w:szCs w:val="18"/>
              </w:rPr>
              <w:t>Nature (mode)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b/>
                <w:sz w:val="18"/>
                <w:szCs w:val="18"/>
              </w:rPr>
            </w:pPr>
            <w:r w:rsidRPr="00E55572">
              <w:rPr>
                <w:b/>
                <w:sz w:val="18"/>
                <w:szCs w:val="18"/>
              </w:rPr>
              <w:t>Size (median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5C0523" w:rsidRPr="00E55572" w:rsidRDefault="005C0523" w:rsidP="005B07A8">
            <w:pPr>
              <w:spacing w:line="480" w:lineRule="auto"/>
              <w:jc w:val="right"/>
              <w:rPr>
                <w:b/>
                <w:sz w:val="18"/>
                <w:szCs w:val="18"/>
              </w:rPr>
            </w:pPr>
            <w:r w:rsidRPr="00E55572">
              <w:rPr>
                <w:b/>
                <w:sz w:val="18"/>
                <w:szCs w:val="18"/>
              </w:rPr>
              <w:t>Number (%) of animals with lesions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b/>
                <w:sz w:val="18"/>
                <w:szCs w:val="18"/>
              </w:rPr>
            </w:pPr>
            <w:r w:rsidRPr="00E55572">
              <w:rPr>
                <w:b/>
                <w:sz w:val="18"/>
                <w:szCs w:val="18"/>
              </w:rPr>
              <w:t>Number of sites (median)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b/>
                <w:sz w:val="18"/>
                <w:szCs w:val="18"/>
              </w:rPr>
            </w:pPr>
            <w:r w:rsidRPr="00E55572">
              <w:rPr>
                <w:b/>
                <w:sz w:val="18"/>
                <w:szCs w:val="18"/>
              </w:rPr>
              <w:t>Nature</w:t>
            </w:r>
          </w:p>
          <w:p w:rsidR="005C0523" w:rsidRPr="00E55572" w:rsidRDefault="005C0523" w:rsidP="005B07A8">
            <w:pPr>
              <w:spacing w:line="480" w:lineRule="auto"/>
              <w:jc w:val="right"/>
              <w:rPr>
                <w:b/>
                <w:sz w:val="18"/>
                <w:szCs w:val="18"/>
              </w:rPr>
            </w:pPr>
            <w:r w:rsidRPr="00E55572">
              <w:rPr>
                <w:b/>
                <w:sz w:val="18"/>
                <w:szCs w:val="18"/>
              </w:rPr>
              <w:t>(mode)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b/>
                <w:sz w:val="18"/>
                <w:szCs w:val="18"/>
              </w:rPr>
            </w:pPr>
            <w:r w:rsidRPr="00E55572">
              <w:rPr>
                <w:b/>
                <w:sz w:val="18"/>
                <w:szCs w:val="18"/>
              </w:rPr>
              <w:t>Size (median)</w:t>
            </w:r>
          </w:p>
        </w:tc>
      </w:tr>
      <w:tr w:rsidR="005C0523" w:rsidTr="005B07A8">
        <w:trPr>
          <w:trHeight w:val="261"/>
        </w:trPr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rPr>
                <w:b/>
                <w:sz w:val="18"/>
                <w:szCs w:val="18"/>
              </w:rPr>
            </w:pPr>
            <w:r w:rsidRPr="00E55572">
              <w:rPr>
                <w:b/>
                <w:sz w:val="18"/>
                <w:szCs w:val="18"/>
              </w:rPr>
              <w:t>All sites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5214 (100%)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288 (100%)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</w:p>
        </w:tc>
      </w:tr>
      <w:tr w:rsidR="005C0523" w:rsidTr="005B07A8">
        <w:trPr>
          <w:trHeight w:val="261"/>
        </w:trPr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rPr>
                <w:b/>
                <w:sz w:val="18"/>
                <w:szCs w:val="18"/>
              </w:rPr>
            </w:pPr>
            <w:r w:rsidRPr="00E55572">
              <w:rPr>
                <w:b/>
                <w:sz w:val="18"/>
                <w:szCs w:val="18"/>
              </w:rPr>
              <w:t>Bronchio mediastinal</w:t>
            </w:r>
            <w:r>
              <w:rPr>
                <w:b/>
                <w:sz w:val="18"/>
                <w:szCs w:val="18"/>
              </w:rPr>
              <w:t xml:space="preserve"> LN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3653 (70.06%)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205 (71.18%)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9</w:t>
            </w:r>
          </w:p>
        </w:tc>
      </w:tr>
      <w:tr w:rsidR="005C0523" w:rsidTr="005B07A8">
        <w:trPr>
          <w:trHeight w:val="261"/>
        </w:trPr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rPr>
                <w:b/>
                <w:sz w:val="18"/>
                <w:szCs w:val="18"/>
              </w:rPr>
            </w:pPr>
            <w:r w:rsidRPr="00E55572">
              <w:rPr>
                <w:b/>
                <w:sz w:val="18"/>
                <w:szCs w:val="18"/>
              </w:rPr>
              <w:t>Head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1697 (32.55%)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86 (29.86</w:t>
            </w:r>
            <w:r w:rsidR="00C1639E">
              <w:rPr>
                <w:sz w:val="18"/>
                <w:szCs w:val="18"/>
              </w:rPr>
              <w:t>%</w:t>
            </w:r>
            <w:r w:rsidRPr="00E55572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10</w:t>
            </w:r>
          </w:p>
        </w:tc>
      </w:tr>
      <w:tr w:rsidR="005C0523" w:rsidTr="005B07A8">
        <w:trPr>
          <w:trHeight w:val="261"/>
        </w:trPr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rPr>
                <w:b/>
                <w:sz w:val="18"/>
                <w:szCs w:val="18"/>
              </w:rPr>
            </w:pPr>
            <w:r w:rsidRPr="00E55572">
              <w:rPr>
                <w:b/>
                <w:sz w:val="18"/>
                <w:szCs w:val="18"/>
              </w:rPr>
              <w:t>Mesenteri</w:t>
            </w:r>
            <w:r>
              <w:rPr>
                <w:b/>
                <w:sz w:val="18"/>
                <w:szCs w:val="18"/>
              </w:rPr>
              <w:t>c LN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370 (7.10%)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5 (1.74%)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3</w:t>
            </w:r>
          </w:p>
        </w:tc>
      </w:tr>
      <w:tr w:rsidR="005C0523" w:rsidTr="005B07A8">
        <w:trPr>
          <w:trHeight w:val="261"/>
        </w:trPr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rPr>
                <w:b/>
                <w:sz w:val="18"/>
                <w:szCs w:val="18"/>
              </w:rPr>
            </w:pPr>
            <w:r w:rsidRPr="00E55572">
              <w:rPr>
                <w:b/>
                <w:sz w:val="18"/>
                <w:szCs w:val="18"/>
              </w:rPr>
              <w:t>Lungs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214 (4.10%)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34 (11.81%)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2</w:t>
            </w:r>
          </w:p>
        </w:tc>
      </w:tr>
      <w:tr w:rsidR="005C0523" w:rsidTr="005B07A8">
        <w:trPr>
          <w:trHeight w:val="261"/>
        </w:trPr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rPr>
                <w:b/>
                <w:sz w:val="18"/>
                <w:szCs w:val="18"/>
              </w:rPr>
            </w:pPr>
            <w:r w:rsidRPr="00E55572">
              <w:rPr>
                <w:b/>
                <w:sz w:val="18"/>
                <w:szCs w:val="18"/>
              </w:rPr>
              <w:t>Prescapular</w:t>
            </w:r>
            <w:r>
              <w:rPr>
                <w:b/>
                <w:sz w:val="18"/>
                <w:szCs w:val="18"/>
              </w:rPr>
              <w:t xml:space="preserve"> LN</w:t>
            </w:r>
            <w:r w:rsidRPr="00E5557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(1.55</w:t>
            </w:r>
            <w:r w:rsidRPr="00E55572">
              <w:rPr>
                <w:sz w:val="18"/>
                <w:szCs w:val="18"/>
              </w:rPr>
              <w:t>%)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2 (0.69%)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5.50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10</w:t>
            </w:r>
          </w:p>
        </w:tc>
      </w:tr>
      <w:tr w:rsidR="005C0523" w:rsidTr="005B07A8">
        <w:trPr>
          <w:trHeight w:val="261"/>
        </w:trPr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rPr>
                <w:b/>
                <w:sz w:val="18"/>
                <w:szCs w:val="18"/>
              </w:rPr>
            </w:pPr>
            <w:r w:rsidRPr="00E55572">
              <w:rPr>
                <w:b/>
                <w:sz w:val="18"/>
                <w:szCs w:val="18"/>
              </w:rPr>
              <w:t>Liver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45 (0.86%)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14 (4.86%)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10</w:t>
            </w:r>
          </w:p>
        </w:tc>
      </w:tr>
      <w:tr w:rsidR="005C0523" w:rsidTr="005B07A8">
        <w:trPr>
          <w:trHeight w:val="261"/>
        </w:trPr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rPr>
                <w:b/>
                <w:sz w:val="18"/>
                <w:szCs w:val="18"/>
              </w:rPr>
            </w:pPr>
            <w:r w:rsidRPr="00E55572">
              <w:rPr>
                <w:b/>
                <w:sz w:val="18"/>
                <w:szCs w:val="18"/>
              </w:rPr>
              <w:t>Pleura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43 (0.82%)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5 (1.74%)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10</w:t>
            </w:r>
          </w:p>
        </w:tc>
      </w:tr>
      <w:tr w:rsidR="005C0523" w:rsidTr="005B07A8">
        <w:trPr>
          <w:trHeight w:val="261"/>
        </w:trPr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Precrural LN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E55572">
              <w:rPr>
                <w:sz w:val="18"/>
                <w:szCs w:val="18"/>
              </w:rPr>
              <w:t xml:space="preserve"> (0</w:t>
            </w:r>
            <w:r>
              <w:rPr>
                <w:sz w:val="18"/>
                <w:szCs w:val="18"/>
              </w:rPr>
              <w:t>.40</w:t>
            </w:r>
            <w:r w:rsidRPr="00E55572">
              <w:rPr>
                <w:sz w:val="18"/>
                <w:szCs w:val="18"/>
              </w:rPr>
              <w:t>%)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0 (0.00%)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-</w:t>
            </w:r>
          </w:p>
        </w:tc>
      </w:tr>
      <w:tr w:rsidR="005C0523" w:rsidTr="005B07A8">
        <w:trPr>
          <w:trHeight w:val="261"/>
        </w:trPr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rPr>
                <w:b/>
                <w:sz w:val="18"/>
                <w:szCs w:val="18"/>
              </w:rPr>
            </w:pPr>
            <w:r w:rsidRPr="00E55572">
              <w:rPr>
                <w:b/>
                <w:sz w:val="18"/>
                <w:szCs w:val="18"/>
              </w:rPr>
              <w:t>Peritoneum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9 (0.17%)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3 (1.04%)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10</w:t>
            </w:r>
          </w:p>
        </w:tc>
      </w:tr>
      <w:tr w:rsidR="005C0523" w:rsidTr="005B07A8">
        <w:trPr>
          <w:trHeight w:val="261"/>
        </w:trPr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Kidney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(0.15</w:t>
            </w:r>
            <w:r w:rsidRPr="00E55572">
              <w:rPr>
                <w:sz w:val="18"/>
                <w:szCs w:val="18"/>
              </w:rPr>
              <w:t>%)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5.50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6.50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5C0523" w:rsidRPr="00E55572" w:rsidRDefault="005C0523" w:rsidP="005B07A8">
            <w:pPr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0 (0.00%)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-</w:t>
            </w:r>
          </w:p>
        </w:tc>
      </w:tr>
      <w:tr w:rsidR="005C0523" w:rsidTr="005B07A8">
        <w:trPr>
          <w:trHeight w:val="261"/>
        </w:trPr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Ham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(0.13</w:t>
            </w:r>
            <w:r w:rsidRPr="00E55572">
              <w:rPr>
                <w:sz w:val="18"/>
                <w:szCs w:val="18"/>
              </w:rPr>
              <w:t>%)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5C0523" w:rsidRPr="00E55572" w:rsidRDefault="005C0523" w:rsidP="005B07A8">
            <w:pPr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0 (0.00%)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-</w:t>
            </w:r>
          </w:p>
        </w:tc>
      </w:tr>
      <w:tr w:rsidR="005C0523" w:rsidTr="005B07A8">
        <w:trPr>
          <w:trHeight w:val="261"/>
        </w:trPr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Supra</w:t>
            </w:r>
            <w:r w:rsidRPr="00E55572">
              <w:rPr>
                <w:b/>
                <w:sz w:val="18"/>
                <w:szCs w:val="18"/>
              </w:rPr>
              <w:t>mammar</w:t>
            </w:r>
            <w:r>
              <w:rPr>
                <w:b/>
                <w:sz w:val="18"/>
                <w:szCs w:val="18"/>
              </w:rPr>
              <w:t>y LN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4 (0.08%)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5.50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7.5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5C0523" w:rsidRPr="00E55572" w:rsidRDefault="005C0523" w:rsidP="005B07A8">
            <w:pPr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0 (0.00%)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-</w:t>
            </w:r>
          </w:p>
        </w:tc>
      </w:tr>
      <w:tr w:rsidR="005C0523" w:rsidTr="005B07A8">
        <w:trPr>
          <w:trHeight w:val="261"/>
        </w:trPr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Popliteal LN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3 (0</w:t>
            </w:r>
            <w:r>
              <w:rPr>
                <w:sz w:val="18"/>
                <w:szCs w:val="18"/>
              </w:rPr>
              <w:t>.08</w:t>
            </w:r>
            <w:r w:rsidRPr="00E55572">
              <w:rPr>
                <w:sz w:val="18"/>
                <w:szCs w:val="18"/>
              </w:rPr>
              <w:t>%)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 (0.35%)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3</w:t>
            </w:r>
          </w:p>
        </w:tc>
      </w:tr>
      <w:tr w:rsidR="005C0523" w:rsidTr="005B07A8">
        <w:trPr>
          <w:trHeight w:val="261"/>
        </w:trPr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rPr>
                <w:b/>
                <w:sz w:val="18"/>
                <w:szCs w:val="18"/>
              </w:rPr>
            </w:pPr>
            <w:r w:rsidRPr="00E55572">
              <w:rPr>
                <w:b/>
                <w:sz w:val="18"/>
                <w:szCs w:val="18"/>
              </w:rPr>
              <w:t>Forequarter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3 (0.06%)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5C0523" w:rsidRPr="00E55572" w:rsidRDefault="005C0523" w:rsidP="005B07A8">
            <w:pPr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0 (0.00%)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-</w:t>
            </w:r>
          </w:p>
        </w:tc>
      </w:tr>
      <w:tr w:rsidR="005C0523" w:rsidTr="005B07A8">
        <w:trPr>
          <w:trHeight w:val="261"/>
        </w:trPr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rPr>
                <w:b/>
                <w:sz w:val="18"/>
                <w:szCs w:val="18"/>
              </w:rPr>
            </w:pPr>
            <w:r w:rsidRPr="00E55572">
              <w:rPr>
                <w:b/>
                <w:sz w:val="18"/>
                <w:szCs w:val="18"/>
              </w:rPr>
              <w:t>All gut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 (0.02%)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 (0.35%)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10</w:t>
            </w:r>
          </w:p>
        </w:tc>
      </w:tr>
      <w:tr w:rsidR="005C0523" w:rsidTr="005B07A8">
        <w:trPr>
          <w:trHeight w:val="261"/>
        </w:trPr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rPr>
                <w:b/>
                <w:sz w:val="18"/>
                <w:szCs w:val="18"/>
              </w:rPr>
            </w:pPr>
            <w:r w:rsidRPr="00E55572">
              <w:rPr>
                <w:b/>
                <w:sz w:val="18"/>
                <w:szCs w:val="18"/>
              </w:rPr>
              <w:t>Spleen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 (0.02%)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5C0523" w:rsidRPr="00E55572" w:rsidRDefault="005C0523" w:rsidP="005B07A8">
            <w:pPr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0 (0.00%)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-</w:t>
            </w:r>
          </w:p>
        </w:tc>
      </w:tr>
      <w:tr w:rsidR="005C0523" w:rsidTr="005B07A8">
        <w:trPr>
          <w:trHeight w:val="261"/>
        </w:trPr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rPr>
                <w:b/>
                <w:sz w:val="18"/>
                <w:szCs w:val="18"/>
              </w:rPr>
            </w:pPr>
            <w:r w:rsidRPr="00E55572">
              <w:rPr>
                <w:b/>
                <w:sz w:val="18"/>
                <w:szCs w:val="18"/>
              </w:rPr>
              <w:t>Foreleg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 (0.02%)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5C0523" w:rsidRPr="00E55572" w:rsidRDefault="005C0523" w:rsidP="005B07A8">
            <w:pPr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0 (0.00%)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-</w:t>
            </w:r>
          </w:p>
        </w:tc>
      </w:tr>
      <w:tr w:rsidR="005C0523" w:rsidTr="005B07A8">
        <w:trPr>
          <w:trHeight w:val="261"/>
        </w:trPr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rPr>
                <w:b/>
                <w:sz w:val="18"/>
                <w:szCs w:val="18"/>
              </w:rPr>
            </w:pPr>
            <w:r w:rsidRPr="00E55572">
              <w:rPr>
                <w:b/>
                <w:sz w:val="18"/>
                <w:szCs w:val="18"/>
              </w:rPr>
              <w:t>Pelvis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 (0.02%)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5C0523" w:rsidRPr="00E55572" w:rsidRDefault="005C0523" w:rsidP="005B07A8">
            <w:pPr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0 (0.00%)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-</w:t>
            </w:r>
          </w:p>
        </w:tc>
      </w:tr>
      <w:tr w:rsidR="005C0523" w:rsidTr="005B07A8">
        <w:trPr>
          <w:trHeight w:val="261"/>
        </w:trPr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rPr>
                <w:b/>
                <w:sz w:val="18"/>
                <w:szCs w:val="18"/>
              </w:rPr>
            </w:pPr>
            <w:r w:rsidRPr="00E55572">
              <w:rPr>
                <w:b/>
                <w:sz w:val="18"/>
                <w:szCs w:val="18"/>
              </w:rPr>
              <w:t>Retropharyngeal</w:t>
            </w:r>
            <w:r>
              <w:rPr>
                <w:b/>
                <w:sz w:val="18"/>
                <w:szCs w:val="18"/>
              </w:rPr>
              <w:t xml:space="preserve"> LN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0 (0.00%)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5 (1.74%)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5C0523" w:rsidRPr="00E55572" w:rsidRDefault="005C0523" w:rsidP="005B07A8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E55572">
              <w:rPr>
                <w:sz w:val="18"/>
                <w:szCs w:val="18"/>
              </w:rPr>
              <w:t>10</w:t>
            </w:r>
          </w:p>
        </w:tc>
      </w:tr>
    </w:tbl>
    <w:p w:rsidR="005C0523" w:rsidRDefault="005C0523" w:rsidP="005C0523">
      <w:pPr>
        <w:spacing w:line="480" w:lineRule="auto"/>
        <w:jc w:val="both"/>
        <w:rPr>
          <w:sz w:val="20"/>
          <w:szCs w:val="20"/>
        </w:rPr>
      </w:pPr>
    </w:p>
    <w:p w:rsidR="005C0523" w:rsidRDefault="005C0523" w:rsidP="005C0523">
      <w:pPr>
        <w:spacing w:line="480" w:lineRule="auto"/>
        <w:jc w:val="both"/>
        <w:rPr>
          <w:sz w:val="20"/>
          <w:szCs w:val="20"/>
        </w:rPr>
      </w:pPr>
      <w:r w:rsidRPr="004A26A7">
        <w:rPr>
          <w:sz w:val="20"/>
          <w:szCs w:val="20"/>
        </w:rPr>
        <w:lastRenderedPageBreak/>
        <w:t>No lesions were found in the following locations: submaxillary</w:t>
      </w:r>
      <w:r>
        <w:rPr>
          <w:sz w:val="20"/>
          <w:szCs w:val="20"/>
        </w:rPr>
        <w:t xml:space="preserve"> LN</w:t>
      </w:r>
      <w:r w:rsidRPr="004A26A7">
        <w:rPr>
          <w:sz w:val="20"/>
          <w:szCs w:val="20"/>
        </w:rPr>
        <w:t>, all pluck, diaphragm</w:t>
      </w:r>
      <w:r>
        <w:rPr>
          <w:sz w:val="20"/>
          <w:szCs w:val="20"/>
        </w:rPr>
        <w:t xml:space="preserve">, neck, sternum, </w:t>
      </w:r>
      <w:r w:rsidRPr="004A26A7">
        <w:rPr>
          <w:sz w:val="20"/>
          <w:szCs w:val="20"/>
        </w:rPr>
        <w:t>all offal, stomach, inguinal</w:t>
      </w:r>
      <w:r>
        <w:rPr>
          <w:sz w:val="20"/>
          <w:szCs w:val="20"/>
        </w:rPr>
        <w:t xml:space="preserve"> LN</w:t>
      </w:r>
      <w:r w:rsidRPr="004A26A7">
        <w:rPr>
          <w:sz w:val="20"/>
          <w:szCs w:val="20"/>
        </w:rPr>
        <w:t>, skin, hind</w:t>
      </w:r>
      <w:r w:rsidR="00C1639E">
        <w:rPr>
          <w:sz w:val="20"/>
          <w:szCs w:val="20"/>
        </w:rPr>
        <w:t xml:space="preserve"> </w:t>
      </w:r>
      <w:r w:rsidRPr="004A26A7">
        <w:rPr>
          <w:sz w:val="20"/>
          <w:szCs w:val="20"/>
        </w:rPr>
        <w:t>leg, tail</w:t>
      </w:r>
    </w:p>
    <w:p w:rsidR="005C0523" w:rsidRDefault="005C0523" w:rsidP="005C0523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371DF" w:rsidRDefault="001371DF" w:rsidP="001371DF">
      <w:pPr>
        <w:spacing w:line="480" w:lineRule="auto"/>
        <w:jc w:val="both"/>
        <w:rPr>
          <w:sz w:val="21"/>
          <w:szCs w:val="22"/>
        </w:rPr>
      </w:pPr>
      <w:r>
        <w:rPr>
          <w:rFonts w:ascii="Segoe UI" w:hAnsi="Segoe UI" w:cs="Segoe UI"/>
          <w:b/>
          <w:sz w:val="20"/>
          <w:szCs w:val="20"/>
        </w:rPr>
        <w:lastRenderedPageBreak/>
        <w:t xml:space="preserve">Table S3. </w:t>
      </w:r>
      <w:r>
        <w:t>Posterior estimates (median and 95% CrI) from the animal level model with risk factors using cattle that had ≤ 23 days from last SICCT test to Abattoir E</w:t>
      </w:r>
    </w:p>
    <w:tbl>
      <w:tblPr>
        <w:tblStyle w:val="TableGrid"/>
        <w:tblW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720"/>
        <w:gridCol w:w="2294"/>
        <w:gridCol w:w="55"/>
      </w:tblGrid>
      <w:tr w:rsidR="001371DF" w:rsidTr="00E26878">
        <w:trPr>
          <w:gridAfter w:val="1"/>
          <w:wAfter w:w="55" w:type="dxa"/>
          <w:trHeight w:val="271"/>
        </w:trPr>
        <w:tc>
          <w:tcPr>
            <w:tcW w:w="39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1DF" w:rsidRDefault="001371DF" w:rsidP="00E26878">
            <w:pPr>
              <w:rPr>
                <w:lang w:val="en-GB"/>
              </w:rPr>
            </w:pP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371DF" w:rsidRDefault="001371DF" w:rsidP="00E26878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Animal level model with risk factors</w:t>
            </w:r>
          </w:p>
        </w:tc>
      </w:tr>
      <w:tr w:rsidR="001371DF" w:rsidTr="00E26878">
        <w:trPr>
          <w:trHeight w:val="286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1371DF" w:rsidRDefault="001371DF" w:rsidP="00E26878">
            <w:pPr>
              <w:rPr>
                <w:rFonts w:eastAsiaTheme="minorHAnsi"/>
                <w:lang w:val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71DF" w:rsidRDefault="001371DF" w:rsidP="00E26878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SICCT test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371DF" w:rsidRDefault="001371DF" w:rsidP="00E26878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Post-mortem</w:t>
            </w:r>
          </w:p>
        </w:tc>
      </w:tr>
      <w:tr w:rsidR="001371DF" w:rsidTr="00E26878">
        <w:trPr>
          <w:trHeight w:val="271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71DF" w:rsidRDefault="001371DF" w:rsidP="00E26878">
            <w:pPr>
              <w:rPr>
                <w:lang w:val="en-GB"/>
              </w:rPr>
            </w:pPr>
            <w:r>
              <w:rPr>
                <w:lang w:val="en-GB"/>
              </w:rPr>
              <w:t xml:space="preserve">Sensitivity (%) 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71DF" w:rsidRDefault="001371DF" w:rsidP="00E26878">
            <w:pPr>
              <w:jc w:val="right"/>
              <w:rPr>
                <w:rFonts w:ascii="AdvTTb5929f4c+20" w:eastAsia="AdvTTb5929f4c+20" w:hAnsi="AdvTTb5929f4c+20" w:cs="AdvTTb5929f4c+20"/>
                <w:lang w:val="en-GB"/>
              </w:rPr>
            </w:pPr>
            <w:r>
              <w:rPr>
                <w:lang w:val="en-GB"/>
              </w:rPr>
              <w:t>93.26 [91.83 – 94.71]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371DF" w:rsidRDefault="001371DF" w:rsidP="00E26878">
            <w:pPr>
              <w:jc w:val="right"/>
              <w:rPr>
                <w:rFonts w:ascii="Calibri" w:eastAsiaTheme="minorHAnsi" w:hAnsi="Calibri"/>
                <w:lang w:val="en-GB"/>
              </w:rPr>
            </w:pPr>
            <w:r>
              <w:rPr>
                <w:lang w:val="en-GB"/>
              </w:rPr>
              <w:t>54.23 [53.33 – 55.32]</w:t>
            </w:r>
          </w:p>
        </w:tc>
      </w:tr>
      <w:tr w:rsidR="001371DF" w:rsidTr="00E26878">
        <w:trPr>
          <w:trHeight w:val="662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71DF" w:rsidRDefault="001371DF" w:rsidP="00E26878">
            <w:pPr>
              <w:rPr>
                <w:lang w:val="en-GB"/>
              </w:rPr>
            </w:pPr>
            <w:r>
              <w:rPr>
                <w:lang w:val="en-GB"/>
              </w:rPr>
              <w:t>Specificity (%)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71DF" w:rsidRDefault="001371DF" w:rsidP="00E26878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99.47 [97.97 – 100.00]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371DF" w:rsidRDefault="001371DF" w:rsidP="00E26878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98.47 [97.42 – 99.37]</w:t>
            </w:r>
          </w:p>
        </w:tc>
      </w:tr>
      <w:tr w:rsidR="001371DF" w:rsidTr="00E26878">
        <w:trPr>
          <w:trHeight w:val="323"/>
        </w:trPr>
        <w:tc>
          <w:tcPr>
            <w:tcW w:w="39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1DF" w:rsidRDefault="001371DF" w:rsidP="00E26878">
            <w:pPr>
              <w:rPr>
                <w:lang w:val="en-GB"/>
              </w:rPr>
            </w:pPr>
          </w:p>
        </w:tc>
        <w:tc>
          <w:tcPr>
            <w:tcW w:w="5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371DF" w:rsidRDefault="001371DF" w:rsidP="00E26878">
            <w:pPr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Effect of risk factors (odds ratio)</w:t>
            </w:r>
          </w:p>
        </w:tc>
      </w:tr>
      <w:tr w:rsidR="001371DF" w:rsidTr="00E26878">
        <w:trPr>
          <w:trHeight w:val="83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71DF" w:rsidRDefault="001371DF" w:rsidP="00E26878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Age at death </w:t>
            </w:r>
          </w:p>
          <w:p w:rsidR="001371DF" w:rsidRDefault="001371DF" w:rsidP="00E26878">
            <w:pPr>
              <w:rPr>
                <w:lang w:val="en-GB"/>
              </w:rPr>
            </w:pPr>
            <w:r>
              <w:rPr>
                <w:lang w:val="en-GB"/>
              </w:rPr>
              <w:t>(per day increase)</w:t>
            </w:r>
          </w:p>
        </w:tc>
        <w:tc>
          <w:tcPr>
            <w:tcW w:w="50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1DF" w:rsidRDefault="001371DF" w:rsidP="00E26878">
            <w:pPr>
              <w:jc w:val="right"/>
              <w:rPr>
                <w:lang w:val="en-GB"/>
              </w:rPr>
            </w:pPr>
          </w:p>
          <w:p w:rsidR="001371DF" w:rsidRDefault="001371DF" w:rsidP="00E26878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0.99991 [0.99989 – 0.99993]</w:t>
            </w:r>
          </w:p>
        </w:tc>
      </w:tr>
      <w:tr w:rsidR="001371DF" w:rsidTr="00E26878">
        <w:trPr>
          <w:trHeight w:val="333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71DF" w:rsidRDefault="001371DF" w:rsidP="00E26878">
            <w:pPr>
              <w:rPr>
                <w:lang w:val="en-GB"/>
              </w:rPr>
            </w:pPr>
            <w:r>
              <w:rPr>
                <w:i/>
                <w:lang w:val="en-GB"/>
              </w:rPr>
              <w:t>Sex</w:t>
            </w:r>
          </w:p>
        </w:tc>
        <w:tc>
          <w:tcPr>
            <w:tcW w:w="5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1DF" w:rsidRDefault="001371DF" w:rsidP="00E26878">
            <w:pPr>
              <w:jc w:val="right"/>
              <w:rPr>
                <w:lang w:val="en-GB"/>
              </w:rPr>
            </w:pPr>
          </w:p>
        </w:tc>
      </w:tr>
      <w:tr w:rsidR="001371DF" w:rsidTr="00E26878">
        <w:trPr>
          <w:trHeight w:val="286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71DF" w:rsidRDefault="001371DF" w:rsidP="00E26878">
            <w:pPr>
              <w:rPr>
                <w:i/>
                <w:lang w:val="en-GB"/>
              </w:rPr>
            </w:pPr>
            <w:r>
              <w:rPr>
                <w:lang w:val="en-GB"/>
              </w:rPr>
              <w:t xml:space="preserve">    Bull</w:t>
            </w:r>
          </w:p>
        </w:tc>
        <w:tc>
          <w:tcPr>
            <w:tcW w:w="506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371DF" w:rsidRDefault="001371DF" w:rsidP="00E26878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Reference category</w:t>
            </w:r>
          </w:p>
        </w:tc>
      </w:tr>
      <w:tr w:rsidR="001371DF" w:rsidTr="00E26878">
        <w:trPr>
          <w:trHeight w:val="271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71DF" w:rsidRDefault="001371DF" w:rsidP="00E26878">
            <w:pPr>
              <w:rPr>
                <w:lang w:val="en-GB"/>
              </w:rPr>
            </w:pPr>
            <w:r>
              <w:rPr>
                <w:lang w:val="en-GB"/>
              </w:rPr>
              <w:t xml:space="preserve">    Bullock</w:t>
            </w:r>
          </w:p>
        </w:tc>
        <w:tc>
          <w:tcPr>
            <w:tcW w:w="506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371DF" w:rsidRDefault="001371DF" w:rsidP="00E26878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0.210 [0.185 – 0.248] </w:t>
            </w:r>
          </w:p>
        </w:tc>
      </w:tr>
      <w:tr w:rsidR="001371DF" w:rsidTr="00E26878">
        <w:trPr>
          <w:trHeight w:val="228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1371DF" w:rsidRDefault="001371DF" w:rsidP="00E26878">
            <w:pPr>
              <w:rPr>
                <w:lang w:val="en-GB"/>
              </w:rPr>
            </w:pPr>
            <w:r>
              <w:rPr>
                <w:lang w:val="en-GB"/>
              </w:rPr>
              <w:t xml:space="preserve">    Female</w:t>
            </w:r>
          </w:p>
          <w:p w:rsidR="001371DF" w:rsidRDefault="001371DF" w:rsidP="00E26878">
            <w:pPr>
              <w:rPr>
                <w:lang w:val="en-GB"/>
              </w:rPr>
            </w:pPr>
          </w:p>
        </w:tc>
        <w:tc>
          <w:tcPr>
            <w:tcW w:w="506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371DF" w:rsidRDefault="001371DF" w:rsidP="00E26878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0.588 [0.522 – 0.690]</w:t>
            </w:r>
          </w:p>
        </w:tc>
      </w:tr>
      <w:tr w:rsidR="001371DF" w:rsidTr="00E26878">
        <w:trPr>
          <w:trHeight w:val="197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71DF" w:rsidRDefault="001371DF" w:rsidP="00E26878">
            <w:pPr>
              <w:rPr>
                <w:lang w:val="en-GB"/>
              </w:rPr>
            </w:pPr>
            <w:r>
              <w:rPr>
                <w:i/>
                <w:lang w:val="en-GB"/>
              </w:rPr>
              <w:t>Last SICCT test reason</w:t>
            </w:r>
          </w:p>
        </w:tc>
        <w:tc>
          <w:tcPr>
            <w:tcW w:w="5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1DF" w:rsidRDefault="001371DF" w:rsidP="00E26878">
            <w:pPr>
              <w:jc w:val="right"/>
              <w:rPr>
                <w:lang w:val="en-GB"/>
              </w:rPr>
            </w:pPr>
          </w:p>
        </w:tc>
      </w:tr>
      <w:tr w:rsidR="001371DF" w:rsidTr="00E26878">
        <w:trPr>
          <w:trHeight w:val="271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71DF" w:rsidRDefault="001371DF" w:rsidP="00E26878">
            <w:pPr>
              <w:rPr>
                <w:i/>
                <w:lang w:val="en-GB"/>
              </w:rPr>
            </w:pPr>
            <w:r>
              <w:rPr>
                <w:lang w:val="en-GB"/>
              </w:rPr>
              <w:t xml:space="preserve">    Restricted</w:t>
            </w:r>
          </w:p>
        </w:tc>
        <w:tc>
          <w:tcPr>
            <w:tcW w:w="506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371DF" w:rsidRDefault="001371DF" w:rsidP="00E26878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Reference category</w:t>
            </w:r>
          </w:p>
        </w:tc>
      </w:tr>
      <w:tr w:rsidR="001371DF" w:rsidTr="00E26878">
        <w:trPr>
          <w:trHeight w:val="271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71DF" w:rsidRDefault="001371DF" w:rsidP="00E26878">
            <w:pPr>
              <w:rPr>
                <w:lang w:val="en-GB"/>
              </w:rPr>
            </w:pPr>
            <w:r>
              <w:rPr>
                <w:lang w:val="en-GB"/>
              </w:rPr>
              <w:t xml:space="preserve">    Routine</w:t>
            </w:r>
          </w:p>
        </w:tc>
        <w:tc>
          <w:tcPr>
            <w:tcW w:w="506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371DF" w:rsidRDefault="001371DF" w:rsidP="00E26878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1.794 [1.671 – 1.934]</w:t>
            </w:r>
          </w:p>
        </w:tc>
      </w:tr>
      <w:tr w:rsidR="001371DF" w:rsidTr="00E26878">
        <w:trPr>
          <w:trHeight w:val="271"/>
        </w:trPr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71DF" w:rsidRDefault="001371DF" w:rsidP="00E26878">
            <w:pPr>
              <w:rPr>
                <w:lang w:val="en-GB"/>
              </w:rPr>
            </w:pPr>
            <w:r>
              <w:rPr>
                <w:lang w:val="en-GB"/>
              </w:rPr>
              <w:t xml:space="preserve">    Risk</w:t>
            </w:r>
          </w:p>
        </w:tc>
        <w:tc>
          <w:tcPr>
            <w:tcW w:w="50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71DF" w:rsidRDefault="001371DF" w:rsidP="00E26878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1.979 [1.877 – 2.093] </w:t>
            </w:r>
          </w:p>
        </w:tc>
      </w:tr>
    </w:tbl>
    <w:p w:rsidR="001371DF" w:rsidRDefault="001371DF" w:rsidP="004D7781">
      <w:pPr>
        <w:spacing w:line="480" w:lineRule="auto"/>
        <w:ind w:left="706" w:hanging="70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3474E" w:rsidRPr="00DC1B1A" w:rsidRDefault="00DB7870" w:rsidP="004D7781">
      <w:pPr>
        <w:spacing w:line="480" w:lineRule="auto"/>
        <w:ind w:left="706" w:hanging="706"/>
        <w:jc w:val="both"/>
      </w:pPr>
      <w:r>
        <w:rPr>
          <w:b/>
          <w:bCs/>
          <w:sz w:val="28"/>
          <w:szCs w:val="28"/>
        </w:rPr>
        <w:lastRenderedPageBreak/>
        <w:t>A</w:t>
      </w:r>
      <w:r w:rsidR="006736D1" w:rsidRPr="00A9131C">
        <w:rPr>
          <w:b/>
          <w:bCs/>
          <w:sz w:val="28"/>
          <w:szCs w:val="28"/>
        </w:rPr>
        <w:t xml:space="preserve">ppendix </w:t>
      </w:r>
      <w:r w:rsidR="0013495A">
        <w:rPr>
          <w:b/>
          <w:bCs/>
          <w:sz w:val="28"/>
          <w:szCs w:val="28"/>
        </w:rPr>
        <w:t>B</w:t>
      </w:r>
    </w:p>
    <w:p w:rsidR="0063474E" w:rsidRPr="00A9131C" w:rsidRDefault="0063474E" w:rsidP="004D7781">
      <w:pPr>
        <w:spacing w:line="480" w:lineRule="auto"/>
        <w:rPr>
          <w:b/>
          <w:sz w:val="28"/>
          <w:szCs w:val="28"/>
        </w:rPr>
      </w:pPr>
    </w:p>
    <w:p w:rsidR="0063474E" w:rsidRPr="00A9131C" w:rsidRDefault="00677658" w:rsidP="004D7781">
      <w:pPr>
        <w:spacing w:line="480" w:lineRule="auto"/>
        <w:rPr>
          <w:b/>
          <w:bCs/>
          <w:sz w:val="28"/>
          <w:szCs w:val="28"/>
        </w:rPr>
      </w:pPr>
      <w:r w:rsidRPr="00A9131C">
        <w:rPr>
          <w:b/>
          <w:bCs/>
          <w:sz w:val="28"/>
          <w:szCs w:val="28"/>
        </w:rPr>
        <w:t>### Population level model ###</w:t>
      </w:r>
    </w:p>
    <w:p w:rsidR="004D7781" w:rsidRDefault="00677658" w:rsidP="004D7781">
      <w:pPr>
        <w:spacing w:after="240" w:line="480" w:lineRule="auto"/>
        <w:rPr>
          <w:rFonts w:ascii="Tahoma" w:eastAsia="Tahoma" w:hAnsi="Tahoma" w:cs="Tahoma"/>
          <w:color w:val="000000" w:themeColor="text1"/>
          <w:sz w:val="20"/>
          <w:szCs w:val="20"/>
        </w:rPr>
        <w:sectPr w:rsidR="004D7781" w:rsidSect="00E1063E">
          <w:footerReference w:type="default" r:id="rId8"/>
          <w:pgSz w:w="11906" w:h="16838"/>
          <w:pgMar w:top="1440" w:right="1440" w:bottom="1440" w:left="1440" w:header="0" w:footer="708" w:gutter="0"/>
          <w:lnNumType w:countBy="1" w:restart="continuous"/>
          <w:cols w:space="720"/>
          <w:formProt w:val="0"/>
          <w:docGrid w:linePitch="360" w:charSpace="-6145"/>
        </w:sectPr>
      </w:pPr>
      <w:r w:rsidRPr="00A9131C">
        <w:br/>
      </w:r>
      <w:r w:rsidRPr="00A9131C">
        <w:rPr>
          <w:rFonts w:ascii="Tahoma" w:eastAsia="Tahoma" w:hAnsi="Tahoma" w:cs="Tahoma"/>
          <w:color w:val="000000" w:themeColor="text1"/>
          <w:sz w:val="20"/>
          <w:szCs w:val="20"/>
        </w:rPr>
        <w:t xml:space="preserve">model{ </w:t>
      </w:r>
      <w:r w:rsidRPr="00A9131C">
        <w:br/>
      </w:r>
      <w:r w:rsidRPr="00A9131C">
        <w:rPr>
          <w:rFonts w:ascii="Tahoma" w:eastAsia="Tahoma" w:hAnsi="Tahoma" w:cs="Tahoma"/>
          <w:color w:val="000000" w:themeColor="text1"/>
          <w:sz w:val="20"/>
          <w:szCs w:val="20"/>
        </w:rPr>
        <w:t>  </w:t>
      </w:r>
      <w:r w:rsidRPr="00A9131C">
        <w:br/>
      </w:r>
      <w:r w:rsidRPr="00A9131C">
        <w:rPr>
          <w:rFonts w:ascii="Tahoma" w:eastAsia="Tahoma" w:hAnsi="Tahoma" w:cs="Tahoma"/>
          <w:color w:val="000000" w:themeColor="text1"/>
          <w:sz w:val="20"/>
          <w:szCs w:val="20"/>
        </w:rPr>
        <w:t xml:space="preserve">for (j in 1:nr.pops) { </w:t>
      </w:r>
      <w:r w:rsidRPr="00A9131C">
        <w:br/>
      </w:r>
      <w:r w:rsidRPr="00A9131C">
        <w:rPr>
          <w:rFonts w:ascii="Tahoma" w:eastAsia="Tahoma" w:hAnsi="Tahoma" w:cs="Tahoma"/>
          <w:color w:val="000000" w:themeColor="text1"/>
          <w:sz w:val="20"/>
          <w:szCs w:val="20"/>
        </w:rPr>
        <w:t>  </w:t>
      </w:r>
      <w:r w:rsidRPr="00A9131C">
        <w:br/>
      </w:r>
      <w:r w:rsidRPr="00A9131C">
        <w:rPr>
          <w:rFonts w:ascii="Tahoma" w:eastAsia="Tahoma" w:hAnsi="Tahoma" w:cs="Tahoma"/>
          <w:color w:val="000000" w:themeColor="text1"/>
          <w:sz w:val="20"/>
          <w:szCs w:val="20"/>
        </w:rPr>
        <w:t xml:space="preserve">p[j] ~ dbeta(1,1) </w:t>
      </w:r>
      <w:r w:rsidRPr="00A9131C">
        <w:br/>
      </w:r>
      <w:r w:rsidRPr="00A9131C">
        <w:rPr>
          <w:rFonts w:ascii="Tahoma" w:eastAsia="Tahoma" w:hAnsi="Tahoma" w:cs="Tahoma"/>
          <w:color w:val="000000" w:themeColor="text1"/>
          <w:sz w:val="20"/>
          <w:szCs w:val="20"/>
        </w:rPr>
        <w:t> </w:t>
      </w:r>
      <w:r w:rsidRPr="00A9131C">
        <w:br/>
      </w:r>
      <w:r w:rsidRPr="00A9131C">
        <w:rPr>
          <w:rFonts w:ascii="Tahoma" w:eastAsia="Tahoma" w:hAnsi="Tahoma" w:cs="Tahoma"/>
          <w:color w:val="000000" w:themeColor="text1"/>
          <w:sz w:val="20"/>
          <w:szCs w:val="20"/>
        </w:rPr>
        <w:t xml:space="preserve">pop[j, 1:4] ~ dmulti(par[j,1:4], n[j]) </w:t>
      </w:r>
      <w:r w:rsidRPr="00A9131C">
        <w:br/>
      </w:r>
      <w:r w:rsidRPr="00A9131C">
        <w:rPr>
          <w:rFonts w:ascii="Tahoma" w:eastAsia="Tahoma" w:hAnsi="Tahoma" w:cs="Tahoma"/>
          <w:color w:val="000000" w:themeColor="text1"/>
          <w:sz w:val="20"/>
          <w:szCs w:val="20"/>
        </w:rPr>
        <w:t xml:space="preserve">par[j, 1] &lt;- p[j]*Se1*Se2 + (1-p[j])*(1-Sp1)*(1-Sp2) </w:t>
      </w:r>
      <w:r w:rsidRPr="00A9131C">
        <w:br/>
      </w:r>
      <w:r w:rsidRPr="00A9131C">
        <w:rPr>
          <w:rFonts w:ascii="Tahoma" w:eastAsia="Tahoma" w:hAnsi="Tahoma" w:cs="Tahoma"/>
          <w:color w:val="000000" w:themeColor="text1"/>
          <w:sz w:val="20"/>
          <w:szCs w:val="20"/>
        </w:rPr>
        <w:t xml:space="preserve">par[j, 2] &lt;- p[j]*Se1*(1-Se2) + (1-p[j])*(1-Sp1)*Sp2 </w:t>
      </w:r>
      <w:r w:rsidRPr="00A9131C">
        <w:br/>
      </w:r>
      <w:r w:rsidRPr="00A9131C">
        <w:rPr>
          <w:rFonts w:ascii="Tahoma" w:eastAsia="Tahoma" w:hAnsi="Tahoma" w:cs="Tahoma"/>
          <w:color w:val="000000" w:themeColor="text1"/>
          <w:sz w:val="20"/>
          <w:szCs w:val="20"/>
        </w:rPr>
        <w:t xml:space="preserve">par[j, 3] &lt;- p[j]*(1-Se1)*Se2 + (1-p[j])*Sp1*(1-Sp2) </w:t>
      </w:r>
      <w:r w:rsidRPr="00A9131C">
        <w:br/>
      </w:r>
      <w:r w:rsidRPr="00A9131C">
        <w:rPr>
          <w:rFonts w:ascii="Tahoma" w:eastAsia="Tahoma" w:hAnsi="Tahoma" w:cs="Tahoma"/>
          <w:color w:val="000000" w:themeColor="text1"/>
          <w:sz w:val="20"/>
          <w:szCs w:val="20"/>
        </w:rPr>
        <w:t xml:space="preserve">par[j, 4] &lt;- p[j]*(1-Se1)*(1-Se2) + (1-p[j])*Sp1*Sp2 </w:t>
      </w:r>
      <w:r w:rsidRPr="00A9131C">
        <w:br/>
      </w:r>
      <w:r w:rsidRPr="00A9131C">
        <w:rPr>
          <w:rFonts w:ascii="Tahoma" w:eastAsia="Tahoma" w:hAnsi="Tahoma" w:cs="Tahoma"/>
          <w:color w:val="000000" w:themeColor="text1"/>
          <w:sz w:val="20"/>
          <w:szCs w:val="20"/>
        </w:rPr>
        <w:t>  </w:t>
      </w:r>
      <w:r w:rsidRPr="00A9131C">
        <w:br/>
      </w:r>
      <w:r w:rsidRPr="00A9131C">
        <w:rPr>
          <w:rFonts w:ascii="Tahoma" w:eastAsia="Tahoma" w:hAnsi="Tahoma" w:cs="Tahoma"/>
          <w:color w:val="000000" w:themeColor="text1"/>
          <w:sz w:val="20"/>
          <w:szCs w:val="20"/>
        </w:rPr>
        <w:t xml:space="preserve">} </w:t>
      </w:r>
      <w:r w:rsidRPr="00A9131C">
        <w:br/>
      </w:r>
      <w:r w:rsidRPr="00A9131C">
        <w:rPr>
          <w:rFonts w:ascii="Tahoma" w:eastAsia="Tahoma" w:hAnsi="Tahoma" w:cs="Tahoma"/>
          <w:color w:val="000000" w:themeColor="text1"/>
          <w:sz w:val="20"/>
          <w:szCs w:val="20"/>
        </w:rPr>
        <w:t> </w:t>
      </w:r>
      <w:r w:rsidRPr="00A9131C">
        <w:br/>
      </w:r>
      <w:r w:rsidRPr="00A9131C">
        <w:rPr>
          <w:rFonts w:ascii="Tahoma" w:eastAsia="Tahoma" w:hAnsi="Tahoma" w:cs="Tahoma"/>
          <w:color w:val="000000" w:themeColor="text1"/>
          <w:sz w:val="20"/>
          <w:szCs w:val="20"/>
        </w:rPr>
        <w:t xml:space="preserve">## priors </w:t>
      </w:r>
      <w:r w:rsidRPr="00A9131C">
        <w:br/>
      </w:r>
      <w:r w:rsidRPr="00A9131C">
        <w:rPr>
          <w:rFonts w:ascii="Tahoma" w:eastAsia="Tahoma" w:hAnsi="Tahoma" w:cs="Tahoma"/>
          <w:color w:val="000000" w:themeColor="text1"/>
          <w:sz w:val="20"/>
          <w:szCs w:val="20"/>
        </w:rPr>
        <w:t xml:space="preserve">Se1 ~ dbeta(1, 1)   </w:t>
      </w:r>
      <w:r w:rsidRPr="00A9131C">
        <w:br/>
      </w:r>
      <w:r w:rsidRPr="00A9131C">
        <w:rPr>
          <w:rFonts w:ascii="Tahoma" w:eastAsia="Tahoma" w:hAnsi="Tahoma" w:cs="Tahoma"/>
          <w:color w:val="000000" w:themeColor="text1"/>
          <w:sz w:val="20"/>
          <w:szCs w:val="20"/>
        </w:rPr>
        <w:t xml:space="preserve">Sp1 ~ dbeta(1, 1)  </w:t>
      </w:r>
      <w:r w:rsidRPr="00A9131C">
        <w:br/>
      </w:r>
      <w:r w:rsidRPr="00A9131C">
        <w:rPr>
          <w:rFonts w:ascii="Tahoma" w:eastAsia="Tahoma" w:hAnsi="Tahoma" w:cs="Tahoma"/>
          <w:color w:val="000000" w:themeColor="text1"/>
          <w:sz w:val="20"/>
          <w:szCs w:val="20"/>
        </w:rPr>
        <w:t xml:space="preserve">Se2 ~ dbeta(1, 1)   </w:t>
      </w:r>
      <w:r w:rsidRPr="00A9131C">
        <w:br/>
      </w:r>
      <w:r w:rsidRPr="00A9131C">
        <w:rPr>
          <w:rFonts w:ascii="Tahoma" w:eastAsia="Tahoma" w:hAnsi="Tahoma" w:cs="Tahoma"/>
          <w:color w:val="000000" w:themeColor="text1"/>
          <w:sz w:val="20"/>
          <w:szCs w:val="20"/>
        </w:rPr>
        <w:t xml:space="preserve">Sp2 ~ dbeta(1, 1) </w:t>
      </w:r>
      <w:r w:rsidRPr="00A9131C">
        <w:br/>
      </w:r>
      <w:r w:rsidRPr="00A9131C">
        <w:rPr>
          <w:rFonts w:ascii="Tahoma" w:eastAsia="Tahoma" w:hAnsi="Tahoma" w:cs="Tahoma"/>
          <w:color w:val="000000" w:themeColor="text1"/>
          <w:sz w:val="20"/>
          <w:szCs w:val="20"/>
        </w:rPr>
        <w:t> </w:t>
      </w:r>
      <w:r w:rsidRPr="00A9131C">
        <w:br/>
      </w:r>
      <w:r w:rsidRPr="00A9131C">
        <w:rPr>
          <w:rFonts w:ascii="Tahoma" w:eastAsia="Tahoma" w:hAnsi="Tahoma" w:cs="Tahoma"/>
          <w:color w:val="000000" w:themeColor="text1"/>
          <w:sz w:val="20"/>
          <w:szCs w:val="20"/>
        </w:rPr>
        <w:t xml:space="preserve">} </w:t>
      </w:r>
      <w:r w:rsidRPr="00A9131C">
        <w:br/>
      </w:r>
      <w:r w:rsidRPr="00A9131C">
        <w:rPr>
          <w:rFonts w:ascii="Tahoma" w:eastAsia="Tahoma" w:hAnsi="Tahoma" w:cs="Tahoma"/>
          <w:color w:val="000000" w:themeColor="text1"/>
          <w:sz w:val="20"/>
          <w:szCs w:val="20"/>
        </w:rPr>
        <w:t> </w:t>
      </w:r>
    </w:p>
    <w:p w:rsidR="0063474E" w:rsidRDefault="00677658" w:rsidP="004D7781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### Best fitting model with animal level covariates ###</w:t>
      </w:r>
    </w:p>
    <w:p w:rsidR="0063474E" w:rsidRDefault="0063474E" w:rsidP="004D7781">
      <w:pPr>
        <w:spacing w:line="480" w:lineRule="auto"/>
        <w:rPr>
          <w:b/>
        </w:rPr>
      </w:pPr>
    </w:p>
    <w:p w:rsidR="0063474E" w:rsidRDefault="00677658" w:rsidP="004C1725">
      <w:pPr>
        <w:spacing w:after="240" w:line="480" w:lineRule="auto"/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>data {</w:t>
      </w:r>
      <w:r>
        <w:br/>
      </w:r>
      <w:r>
        <w:br/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for (i in 1:cum.dvo10) {</w:t>
      </w:r>
      <w:r>
        <w:br/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ones[i] &lt;- 1</w:t>
      </w:r>
      <w:r>
        <w:br/>
      </w:r>
      <w:r>
        <w:br/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}</w:t>
      </w:r>
      <w:r>
        <w:br/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}</w:t>
      </w:r>
      <w:r>
        <w:br/>
      </w:r>
      <w:r>
        <w:br/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model{</w:t>
      </w:r>
      <w:r>
        <w:br/>
      </w:r>
    </w:p>
    <w:p w:rsidR="0063474E" w:rsidRDefault="00677658" w:rsidP="004D7781">
      <w:pPr>
        <w:spacing w:line="48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>## modelling the data on animal level</w:t>
      </w:r>
      <w:r>
        <w:br/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for (i in 1:cum.dvo10) {</w:t>
      </w:r>
      <w:r>
        <w:br/>
      </w:r>
      <w:r>
        <w:br/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#pop[i, 1:4] ~ dmulti(par[i, 1:4], 1)</w:t>
      </w:r>
      <w:r>
        <w:br/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par[i, 1] &lt;- pi[i]*Se1*Se2 + (1-pi[i])*(1-Sp1)*(1-Sp2)</w:t>
      </w:r>
      <w:r>
        <w:br/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par[i, 2] &lt;- pi[i]*Se1*(1-Se2) + (1-pi[i])*(1-Sp1)*Sp2</w:t>
      </w:r>
      <w:r>
        <w:br/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par[i, 3] &lt;- pi[i]*(1-Se1)*Se2 + (1-pi[i])*Sp1*(1-Sp2)</w:t>
      </w:r>
      <w:r>
        <w:br/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par[i, 4] &lt;- pi[i]*(1-Se1)*(1-Se2) + (1-pi[i])*Sp1*Sp2</w:t>
      </w:r>
      <w:r>
        <w:br/>
      </w:r>
    </w:p>
    <w:p w:rsidR="0063474E" w:rsidRPr="00EF0671" w:rsidRDefault="00677658" w:rsidP="004D7781">
      <w:pPr>
        <w:spacing w:line="480" w:lineRule="auto"/>
      </w:pPr>
      <w:r w:rsidRPr="00EF0671">
        <w:rPr>
          <w:rFonts w:ascii="Tahoma" w:eastAsia="Tahoma" w:hAnsi="Tahoma" w:cs="Tahoma"/>
          <w:sz w:val="20"/>
          <w:szCs w:val="20"/>
        </w:rPr>
        <w:t>## Define/compute the contribution to the likelihood from the ith observation</w:t>
      </w:r>
    </w:p>
    <w:p w:rsidR="0063474E" w:rsidRPr="00EF0671" w:rsidRDefault="00677658" w:rsidP="004D7781">
      <w:pPr>
        <w:spacing w:line="480" w:lineRule="auto"/>
        <w:rPr>
          <w:rFonts w:ascii="Tahoma" w:eastAsia="Tahoma" w:hAnsi="Tahoma" w:cs="Tahoma"/>
          <w:sz w:val="20"/>
          <w:szCs w:val="20"/>
        </w:rPr>
      </w:pPr>
      <w:r w:rsidRPr="00EF0671">
        <w:rPr>
          <w:rFonts w:ascii="Tahoma" w:eastAsia="Tahoma" w:hAnsi="Tahoma" w:cs="Tahoma"/>
          <w:sz w:val="20"/>
          <w:szCs w:val="20"/>
        </w:rPr>
        <w:t>L[i]&lt;- equals(tests[i, 1], 1)*equals(tests[i, 2], 1)*par[i, 1]</w:t>
      </w:r>
    </w:p>
    <w:p w:rsidR="0063474E" w:rsidRPr="00EF0671" w:rsidRDefault="00677658" w:rsidP="004D7781">
      <w:pPr>
        <w:spacing w:line="480" w:lineRule="auto"/>
        <w:rPr>
          <w:rFonts w:ascii="Tahoma" w:eastAsia="Tahoma" w:hAnsi="Tahoma" w:cs="Tahoma"/>
          <w:sz w:val="20"/>
          <w:szCs w:val="20"/>
        </w:rPr>
      </w:pPr>
      <w:r w:rsidRPr="00EF0671">
        <w:rPr>
          <w:rFonts w:ascii="Tahoma" w:eastAsia="Tahoma" w:hAnsi="Tahoma" w:cs="Tahoma"/>
          <w:sz w:val="20"/>
          <w:szCs w:val="20"/>
        </w:rPr>
        <w:t>+ equals(tests[i, 1], 1)*equals(tests[i, 2], 0)*par[i, 2]</w:t>
      </w:r>
    </w:p>
    <w:p w:rsidR="0063474E" w:rsidRPr="00EF0671" w:rsidRDefault="00677658" w:rsidP="004D7781">
      <w:pPr>
        <w:spacing w:line="480" w:lineRule="auto"/>
        <w:rPr>
          <w:rFonts w:ascii="Tahoma" w:eastAsia="Tahoma" w:hAnsi="Tahoma" w:cs="Tahoma"/>
          <w:sz w:val="20"/>
          <w:szCs w:val="20"/>
        </w:rPr>
      </w:pPr>
      <w:r w:rsidRPr="00EF0671">
        <w:rPr>
          <w:rFonts w:ascii="Tahoma" w:eastAsia="Tahoma" w:hAnsi="Tahoma" w:cs="Tahoma"/>
          <w:sz w:val="20"/>
          <w:szCs w:val="20"/>
        </w:rPr>
        <w:t>+ equals(tests[i, 1], 0)*equals(tests[i, 2], 1)*par[i, 3]</w:t>
      </w:r>
    </w:p>
    <w:p w:rsidR="0063474E" w:rsidRDefault="00677658" w:rsidP="004D7781">
      <w:pPr>
        <w:spacing w:line="480" w:lineRule="auto"/>
        <w:rPr>
          <w:rFonts w:ascii="Tahoma" w:eastAsia="Tahoma" w:hAnsi="Tahoma" w:cs="Tahoma"/>
          <w:sz w:val="20"/>
          <w:szCs w:val="20"/>
        </w:rPr>
      </w:pPr>
      <w:r w:rsidRPr="00EF0671">
        <w:rPr>
          <w:rFonts w:ascii="Tahoma" w:eastAsia="Tahoma" w:hAnsi="Tahoma" w:cs="Tahoma"/>
          <w:sz w:val="20"/>
          <w:szCs w:val="20"/>
        </w:rPr>
        <w:t>+ equals(tests[i, 1], 0)*eq</w:t>
      </w:r>
      <w:r w:rsidR="00233BAE" w:rsidRPr="00EF0671">
        <w:rPr>
          <w:rFonts w:ascii="Tahoma" w:eastAsia="Tahoma" w:hAnsi="Tahoma" w:cs="Tahoma"/>
          <w:sz w:val="20"/>
          <w:szCs w:val="20"/>
        </w:rPr>
        <w:t>uals(tests[i, 2], 0)*par[i, 4]</w:t>
      </w:r>
    </w:p>
    <w:p w:rsidR="0063474E" w:rsidRDefault="00677658" w:rsidP="004D7781">
      <w:pPr>
        <w:spacing w:line="480" w:lineRule="auto"/>
        <w:rPr>
          <w:rFonts w:ascii="Tahoma" w:eastAsia="Tahoma" w:hAnsi="Tahoma" w:cs="Tahoma"/>
          <w:color w:val="000000" w:themeColor="text1"/>
          <w:sz w:val="20"/>
          <w:szCs w:val="20"/>
        </w:rPr>
      </w:pPr>
      <w:r>
        <w:lastRenderedPageBreak/>
        <w:br/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## incorporate animal level variables</w:t>
      </w:r>
      <w:r>
        <w:br/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logit(pi[i]) &lt;- beta_0 + beta_1 * death.age[i] + beta_</w:t>
      </w:r>
      <w:r w:rsidR="00CF0D7F">
        <w:rPr>
          <w:rFonts w:ascii="Tahoma" w:eastAsia="Tahoma" w:hAnsi="Tahoma" w:cs="Tahoma"/>
          <w:color w:val="000000" w:themeColor="text1"/>
          <w:sz w:val="20"/>
          <w:szCs w:val="20"/>
        </w:rPr>
        <w:t>2</w:t>
      </w:r>
      <w:r>
        <w:rPr>
          <w:rFonts w:ascii="Tahoma" w:eastAsia="Tahoma" w:hAnsi="Tahoma" w:cs="Tahoma"/>
          <w:color w:val="000000" w:themeColor="text1"/>
          <w:sz w:val="20"/>
          <w:szCs w:val="20"/>
        </w:rPr>
        <w:t xml:space="preserve"> * Female[i] + beta_</w:t>
      </w:r>
      <w:r w:rsidR="00CF0D7F">
        <w:rPr>
          <w:rFonts w:ascii="Tahoma" w:eastAsia="Tahoma" w:hAnsi="Tahoma" w:cs="Tahoma"/>
          <w:color w:val="000000" w:themeColor="text1"/>
          <w:sz w:val="20"/>
          <w:szCs w:val="20"/>
        </w:rPr>
        <w:t xml:space="preserve">3 </w:t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* Male[i] + beta_</w:t>
      </w:r>
      <w:r w:rsidR="00CF0D7F">
        <w:rPr>
          <w:rFonts w:ascii="Tahoma" w:eastAsia="Tahoma" w:hAnsi="Tahoma" w:cs="Tahoma"/>
          <w:color w:val="000000" w:themeColor="text1"/>
          <w:sz w:val="20"/>
          <w:szCs w:val="20"/>
        </w:rPr>
        <w:t xml:space="preserve">4 </w:t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* Risk[i] + beta_</w:t>
      </w:r>
      <w:r w:rsidR="00CF0D7F">
        <w:rPr>
          <w:rFonts w:ascii="Tahoma" w:eastAsia="Tahoma" w:hAnsi="Tahoma" w:cs="Tahoma"/>
          <w:color w:val="000000" w:themeColor="text1"/>
          <w:sz w:val="20"/>
          <w:szCs w:val="20"/>
        </w:rPr>
        <w:t xml:space="preserve">5 </w:t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* Routine[i]</w:t>
      </w:r>
    </w:p>
    <w:p w:rsidR="0063474E" w:rsidRDefault="00677658" w:rsidP="004D7781">
      <w:pPr>
        <w:spacing w:line="480" w:lineRule="auto"/>
        <w:rPr>
          <w:rFonts w:ascii="Tahoma" w:eastAsia="Tahoma" w:hAnsi="Tahoma" w:cs="Tahoma"/>
          <w:sz w:val="20"/>
          <w:szCs w:val="20"/>
        </w:rPr>
      </w:pPr>
      <w:r>
        <w:br/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p[i] &lt;- L[i] / 1</w:t>
      </w:r>
      <w:r>
        <w:br/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ones[i] ~ dbern(p[i])</w:t>
      </w:r>
      <w:r>
        <w:br/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}</w:t>
      </w:r>
      <w:r>
        <w:br/>
      </w:r>
      <w:r>
        <w:br/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## prior</w:t>
      </w:r>
      <w:r>
        <w:br/>
      </w:r>
      <w:r>
        <w:rPr>
          <w:rFonts w:ascii="Tahoma" w:eastAsia="Tahoma" w:hAnsi="Tahoma" w:cs="Tahoma"/>
          <w:color w:val="000000" w:themeColor="text1"/>
          <w:sz w:val="20"/>
          <w:szCs w:val="20"/>
        </w:rPr>
        <w:t xml:space="preserve">Se1 ~  dbeta(1, 1) </w:t>
      </w:r>
      <w:r>
        <w:br/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Sp1 ~  dbeta(1, 1)</w:t>
      </w:r>
      <w:r>
        <w:br/>
      </w:r>
      <w:r>
        <w:rPr>
          <w:rFonts w:ascii="Tahoma" w:eastAsia="Tahoma" w:hAnsi="Tahoma" w:cs="Tahoma"/>
          <w:color w:val="000000" w:themeColor="text1"/>
          <w:sz w:val="20"/>
          <w:szCs w:val="20"/>
        </w:rPr>
        <w:t xml:space="preserve">Se2 ~  dbeta(1, 1)  </w:t>
      </w:r>
      <w:r>
        <w:br/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Sp2 ~  dbeta(1, 1)</w:t>
      </w:r>
      <w:r>
        <w:br/>
      </w:r>
      <w:r>
        <w:rPr>
          <w:rFonts w:ascii="Tahoma" w:eastAsia="Tahoma" w:hAnsi="Tahoma" w:cs="Tahoma"/>
          <w:color w:val="000000" w:themeColor="text1"/>
          <w:sz w:val="20"/>
          <w:szCs w:val="20"/>
        </w:rPr>
        <w:t xml:space="preserve">  </w:t>
      </w:r>
      <w:r>
        <w:br/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beta_0 ~ dnorm(0, 0.001)</w:t>
      </w:r>
      <w:r>
        <w:br/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beta_1 ~ dnorm(0, 0.001)</w:t>
      </w:r>
      <w:r>
        <w:br/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beta_2 ~ dnorm(0, 0.001)</w:t>
      </w:r>
      <w:r>
        <w:br/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beta_3 ~ dnorm(0, 0.001)</w:t>
      </w:r>
      <w:r>
        <w:br/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beta_4 ~ dnorm(0, 0.001)</w:t>
      </w:r>
    </w:p>
    <w:p w:rsidR="00E923FA" w:rsidRPr="0013495A" w:rsidRDefault="00677658" w:rsidP="0013495A">
      <w:pPr>
        <w:spacing w:line="48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>beta_5 ~ dnorm(0, 0.001)</w:t>
      </w:r>
      <w:r>
        <w:br/>
      </w:r>
      <w:r>
        <w:br/>
      </w:r>
      <w:r>
        <w:br/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## mean of the animal level predicted probabilities for bTB per subpopulation</w:t>
      </w:r>
      <w:r>
        <w:br/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mean.pi1&lt;-mean(pi[1:cum.dvo1])</w:t>
      </w:r>
      <w:r>
        <w:br/>
      </w:r>
      <w:r>
        <w:rPr>
          <w:rFonts w:ascii="Tahoma" w:eastAsia="Tahoma" w:hAnsi="Tahoma" w:cs="Tahoma"/>
          <w:color w:val="000000" w:themeColor="text1"/>
          <w:sz w:val="20"/>
          <w:szCs w:val="20"/>
        </w:rPr>
        <w:t xml:space="preserve">mean.pi2&lt;-mean(pi[(cum.dvo1+1):cum.dvo2]) </w:t>
      </w:r>
      <w:r>
        <w:br/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mean.pi3&lt;-mean(pi[(cum.dvo2+1):cum.dvo3])</w:t>
      </w:r>
      <w:r>
        <w:br/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mean.pi4&lt;-mean(pi[(cum.dvo3+1):cum.dvo4])</w:t>
      </w:r>
      <w:r>
        <w:br/>
      </w:r>
      <w:r>
        <w:rPr>
          <w:rFonts w:ascii="Tahoma" w:eastAsia="Tahoma" w:hAnsi="Tahoma" w:cs="Tahoma"/>
          <w:color w:val="000000" w:themeColor="text1"/>
          <w:sz w:val="20"/>
          <w:szCs w:val="20"/>
        </w:rPr>
        <w:lastRenderedPageBreak/>
        <w:t>mean.pi5&lt;-mean(pi[(cum.dvo4+1):cum.dvo5])</w:t>
      </w:r>
      <w:r>
        <w:br/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mean.pi6&lt;-mean(pi[(cum.dvo5+1):cum.dvo6])</w:t>
      </w:r>
      <w:r>
        <w:br/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mean.pi7&lt;-mean(pi[(cum.dvo6+1):cum.dvo7])</w:t>
      </w:r>
      <w:r>
        <w:br/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mean.pi8&lt;-mean(pi[(cum.dvo7+1):cum.dvo8])</w:t>
      </w:r>
      <w:r>
        <w:br/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mean.pi9&lt;-mean(pi[(cum.dvo8+1):cum.dvo9])</w:t>
      </w:r>
      <w:r>
        <w:br/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mean.pi10&lt;-mean(pi[(cum.dvo9+1):cum.dvo10])</w:t>
      </w:r>
      <w:r>
        <w:br/>
      </w:r>
      <w:r>
        <w:br/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}</w:t>
      </w:r>
      <w:r>
        <w:br/>
      </w:r>
    </w:p>
    <w:sectPr w:rsidR="00E923FA" w:rsidRPr="0013495A" w:rsidSect="00E923FA">
      <w:pgSz w:w="11906" w:h="16838"/>
      <w:pgMar w:top="1440" w:right="1440" w:bottom="1440" w:left="1440" w:header="0" w:footer="708" w:gutter="0"/>
      <w:lnNumType w:countBy="1" w:restart="continuous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9C7" w:rsidRDefault="007779C7">
      <w:r>
        <w:separator/>
      </w:r>
    </w:p>
  </w:endnote>
  <w:endnote w:type="continuationSeparator" w:id="0">
    <w:p w:rsidR="007779C7" w:rsidRDefault="0077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TTb5929f4c+20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125268"/>
      <w:docPartObj>
        <w:docPartGallery w:val="Page Numbers (Bottom of Page)"/>
        <w:docPartUnique/>
      </w:docPartObj>
    </w:sdtPr>
    <w:sdtEndPr/>
    <w:sdtContent>
      <w:p w:rsidR="00503DF7" w:rsidRDefault="00503DF7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50755">
          <w:rPr>
            <w:noProof/>
          </w:rPr>
          <w:t>7</w:t>
        </w:r>
        <w:r>
          <w:fldChar w:fldCharType="end"/>
        </w:r>
      </w:p>
    </w:sdtContent>
  </w:sdt>
  <w:p w:rsidR="00503DF7" w:rsidRDefault="00503D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9C7" w:rsidRDefault="007779C7">
      <w:r>
        <w:separator/>
      </w:r>
    </w:p>
  </w:footnote>
  <w:footnote w:type="continuationSeparator" w:id="0">
    <w:p w:rsidR="007779C7" w:rsidRDefault="00777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118F1"/>
    <w:multiLevelType w:val="hybridMultilevel"/>
    <w:tmpl w:val="298E92A2"/>
    <w:lvl w:ilvl="0" w:tplc="3C1A3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00174"/>
    <w:multiLevelType w:val="hybridMultilevel"/>
    <w:tmpl w:val="693A2EC0"/>
    <w:lvl w:ilvl="0" w:tplc="B4F6A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83CD1"/>
    <w:multiLevelType w:val="multilevel"/>
    <w:tmpl w:val="A1A83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A424F2"/>
    <w:multiLevelType w:val="hybridMultilevel"/>
    <w:tmpl w:val="889C702C"/>
    <w:lvl w:ilvl="0" w:tplc="ECF86A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A65AA"/>
    <w:multiLevelType w:val="hybridMultilevel"/>
    <w:tmpl w:val="ABA801CC"/>
    <w:lvl w:ilvl="0" w:tplc="14344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7536D"/>
    <w:multiLevelType w:val="hybridMultilevel"/>
    <w:tmpl w:val="3D36D3BA"/>
    <w:lvl w:ilvl="0" w:tplc="D7C4F3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4E"/>
    <w:rsid w:val="00034C14"/>
    <w:rsid w:val="00040BD9"/>
    <w:rsid w:val="00051A6C"/>
    <w:rsid w:val="00053382"/>
    <w:rsid w:val="00070F91"/>
    <w:rsid w:val="00077030"/>
    <w:rsid w:val="0008319F"/>
    <w:rsid w:val="000844B6"/>
    <w:rsid w:val="000953A8"/>
    <w:rsid w:val="00095E0C"/>
    <w:rsid w:val="000B0D93"/>
    <w:rsid w:val="000B4296"/>
    <w:rsid w:val="000B5417"/>
    <w:rsid w:val="000C7CD3"/>
    <w:rsid w:val="000F1B51"/>
    <w:rsid w:val="000F3477"/>
    <w:rsid w:val="00100976"/>
    <w:rsid w:val="0010111D"/>
    <w:rsid w:val="00103F0F"/>
    <w:rsid w:val="00113670"/>
    <w:rsid w:val="00114BA2"/>
    <w:rsid w:val="001220DE"/>
    <w:rsid w:val="001236F2"/>
    <w:rsid w:val="00123C66"/>
    <w:rsid w:val="0012618E"/>
    <w:rsid w:val="00127DB4"/>
    <w:rsid w:val="001306D1"/>
    <w:rsid w:val="0013495A"/>
    <w:rsid w:val="00136192"/>
    <w:rsid w:val="001371DF"/>
    <w:rsid w:val="00146103"/>
    <w:rsid w:val="00151193"/>
    <w:rsid w:val="00170C5F"/>
    <w:rsid w:val="001A2883"/>
    <w:rsid w:val="001A67C7"/>
    <w:rsid w:val="001A7A1F"/>
    <w:rsid w:val="001B7470"/>
    <w:rsid w:val="001D6C70"/>
    <w:rsid w:val="001E2C65"/>
    <w:rsid w:val="001E3E6E"/>
    <w:rsid w:val="002038C8"/>
    <w:rsid w:val="00205B64"/>
    <w:rsid w:val="0022150B"/>
    <w:rsid w:val="00223637"/>
    <w:rsid w:val="002252D2"/>
    <w:rsid w:val="00232E8E"/>
    <w:rsid w:val="00233BAE"/>
    <w:rsid w:val="00244F88"/>
    <w:rsid w:val="0027089C"/>
    <w:rsid w:val="002727BC"/>
    <w:rsid w:val="00286F1E"/>
    <w:rsid w:val="002923A4"/>
    <w:rsid w:val="002944D7"/>
    <w:rsid w:val="002B256F"/>
    <w:rsid w:val="002C2085"/>
    <w:rsid w:val="002D1882"/>
    <w:rsid w:val="002E2033"/>
    <w:rsid w:val="002F1B24"/>
    <w:rsid w:val="002F2EF1"/>
    <w:rsid w:val="00306B6D"/>
    <w:rsid w:val="00317982"/>
    <w:rsid w:val="00326A92"/>
    <w:rsid w:val="00326D2D"/>
    <w:rsid w:val="003327A0"/>
    <w:rsid w:val="00335D70"/>
    <w:rsid w:val="00352644"/>
    <w:rsid w:val="003546AB"/>
    <w:rsid w:val="00360A39"/>
    <w:rsid w:val="0039421D"/>
    <w:rsid w:val="0039591E"/>
    <w:rsid w:val="003A6E56"/>
    <w:rsid w:val="003B3247"/>
    <w:rsid w:val="003C4622"/>
    <w:rsid w:val="003D34A6"/>
    <w:rsid w:val="003D3F0F"/>
    <w:rsid w:val="003E0CA0"/>
    <w:rsid w:val="003E6BC5"/>
    <w:rsid w:val="003E6E4A"/>
    <w:rsid w:val="003F2D5A"/>
    <w:rsid w:val="003F484D"/>
    <w:rsid w:val="004171D0"/>
    <w:rsid w:val="00417C25"/>
    <w:rsid w:val="00422C7A"/>
    <w:rsid w:val="00427CA3"/>
    <w:rsid w:val="004338D1"/>
    <w:rsid w:val="00441FD4"/>
    <w:rsid w:val="00450D95"/>
    <w:rsid w:val="00454130"/>
    <w:rsid w:val="00461BC1"/>
    <w:rsid w:val="00463094"/>
    <w:rsid w:val="004757B0"/>
    <w:rsid w:val="004A0F68"/>
    <w:rsid w:val="004A1B74"/>
    <w:rsid w:val="004A26A7"/>
    <w:rsid w:val="004C1725"/>
    <w:rsid w:val="004D3160"/>
    <w:rsid w:val="004D7781"/>
    <w:rsid w:val="004F0163"/>
    <w:rsid w:val="00503DF7"/>
    <w:rsid w:val="00504848"/>
    <w:rsid w:val="00510121"/>
    <w:rsid w:val="00522E98"/>
    <w:rsid w:val="00523EA6"/>
    <w:rsid w:val="00523F35"/>
    <w:rsid w:val="0053738A"/>
    <w:rsid w:val="00540321"/>
    <w:rsid w:val="00550755"/>
    <w:rsid w:val="005516B6"/>
    <w:rsid w:val="005535E1"/>
    <w:rsid w:val="00561356"/>
    <w:rsid w:val="00561D77"/>
    <w:rsid w:val="005633F4"/>
    <w:rsid w:val="0056606A"/>
    <w:rsid w:val="00574EEA"/>
    <w:rsid w:val="005771A5"/>
    <w:rsid w:val="005A3FD6"/>
    <w:rsid w:val="005A5594"/>
    <w:rsid w:val="005A70EA"/>
    <w:rsid w:val="005B23B2"/>
    <w:rsid w:val="005B4D1F"/>
    <w:rsid w:val="005B725C"/>
    <w:rsid w:val="005C0523"/>
    <w:rsid w:val="005C3CF0"/>
    <w:rsid w:val="005E17C1"/>
    <w:rsid w:val="005E1B6A"/>
    <w:rsid w:val="005E31C1"/>
    <w:rsid w:val="005E3D53"/>
    <w:rsid w:val="005E6BB2"/>
    <w:rsid w:val="005F28FE"/>
    <w:rsid w:val="005F4E3B"/>
    <w:rsid w:val="00601058"/>
    <w:rsid w:val="00610590"/>
    <w:rsid w:val="006243EB"/>
    <w:rsid w:val="00626DC1"/>
    <w:rsid w:val="0063474E"/>
    <w:rsid w:val="00641E5E"/>
    <w:rsid w:val="0064669E"/>
    <w:rsid w:val="006536C2"/>
    <w:rsid w:val="006613BE"/>
    <w:rsid w:val="00664C8B"/>
    <w:rsid w:val="006717C3"/>
    <w:rsid w:val="006736D1"/>
    <w:rsid w:val="00676AF5"/>
    <w:rsid w:val="00677658"/>
    <w:rsid w:val="0068412D"/>
    <w:rsid w:val="006D26CC"/>
    <w:rsid w:val="006D2A37"/>
    <w:rsid w:val="006D5696"/>
    <w:rsid w:val="006D5DCB"/>
    <w:rsid w:val="006E0B84"/>
    <w:rsid w:val="006E2460"/>
    <w:rsid w:val="006E4733"/>
    <w:rsid w:val="006F5C28"/>
    <w:rsid w:val="006F64D5"/>
    <w:rsid w:val="007067D2"/>
    <w:rsid w:val="007206CA"/>
    <w:rsid w:val="0072103B"/>
    <w:rsid w:val="00722292"/>
    <w:rsid w:val="00724E35"/>
    <w:rsid w:val="0072797F"/>
    <w:rsid w:val="00732AA7"/>
    <w:rsid w:val="00740FC4"/>
    <w:rsid w:val="007505AA"/>
    <w:rsid w:val="007521EB"/>
    <w:rsid w:val="00755A25"/>
    <w:rsid w:val="00756058"/>
    <w:rsid w:val="00762DF3"/>
    <w:rsid w:val="00765645"/>
    <w:rsid w:val="007779C7"/>
    <w:rsid w:val="00786D7D"/>
    <w:rsid w:val="00790EAD"/>
    <w:rsid w:val="0079484E"/>
    <w:rsid w:val="00795093"/>
    <w:rsid w:val="007C47C1"/>
    <w:rsid w:val="007C6A66"/>
    <w:rsid w:val="007E0DF0"/>
    <w:rsid w:val="007E29B3"/>
    <w:rsid w:val="007F0604"/>
    <w:rsid w:val="007F0CBD"/>
    <w:rsid w:val="007F4FA5"/>
    <w:rsid w:val="00800F3B"/>
    <w:rsid w:val="00804827"/>
    <w:rsid w:val="00844C0B"/>
    <w:rsid w:val="0085130E"/>
    <w:rsid w:val="00851A2B"/>
    <w:rsid w:val="008534F3"/>
    <w:rsid w:val="00866263"/>
    <w:rsid w:val="008904DD"/>
    <w:rsid w:val="008B4121"/>
    <w:rsid w:val="008B618C"/>
    <w:rsid w:val="008C0865"/>
    <w:rsid w:val="008D393D"/>
    <w:rsid w:val="008D5AE5"/>
    <w:rsid w:val="00901110"/>
    <w:rsid w:val="00902F5E"/>
    <w:rsid w:val="00915C6A"/>
    <w:rsid w:val="00915C8E"/>
    <w:rsid w:val="00915F4B"/>
    <w:rsid w:val="00923FDD"/>
    <w:rsid w:val="00943CA9"/>
    <w:rsid w:val="009506F6"/>
    <w:rsid w:val="00972CDE"/>
    <w:rsid w:val="00973CE0"/>
    <w:rsid w:val="00980B90"/>
    <w:rsid w:val="00987ED5"/>
    <w:rsid w:val="009B3EDB"/>
    <w:rsid w:val="009B6D11"/>
    <w:rsid w:val="009B6DD7"/>
    <w:rsid w:val="009C59A1"/>
    <w:rsid w:val="009E0129"/>
    <w:rsid w:val="009E1E81"/>
    <w:rsid w:val="009E30FF"/>
    <w:rsid w:val="009E4A7E"/>
    <w:rsid w:val="00A0382E"/>
    <w:rsid w:val="00A043E4"/>
    <w:rsid w:val="00A059A3"/>
    <w:rsid w:val="00A15591"/>
    <w:rsid w:val="00A21C5A"/>
    <w:rsid w:val="00A22D9F"/>
    <w:rsid w:val="00A25D7E"/>
    <w:rsid w:val="00A264C9"/>
    <w:rsid w:val="00A30BE7"/>
    <w:rsid w:val="00A64B18"/>
    <w:rsid w:val="00A66866"/>
    <w:rsid w:val="00A7229D"/>
    <w:rsid w:val="00A8260C"/>
    <w:rsid w:val="00A87209"/>
    <w:rsid w:val="00A9131C"/>
    <w:rsid w:val="00A92737"/>
    <w:rsid w:val="00A949E3"/>
    <w:rsid w:val="00AB03FA"/>
    <w:rsid w:val="00AB107D"/>
    <w:rsid w:val="00AB31BA"/>
    <w:rsid w:val="00AD2E8D"/>
    <w:rsid w:val="00AE4F4A"/>
    <w:rsid w:val="00B00946"/>
    <w:rsid w:val="00B00C8C"/>
    <w:rsid w:val="00B06745"/>
    <w:rsid w:val="00B223C9"/>
    <w:rsid w:val="00B265E3"/>
    <w:rsid w:val="00B41BC5"/>
    <w:rsid w:val="00B54447"/>
    <w:rsid w:val="00B57703"/>
    <w:rsid w:val="00B70510"/>
    <w:rsid w:val="00B71D3C"/>
    <w:rsid w:val="00B74A44"/>
    <w:rsid w:val="00B74F31"/>
    <w:rsid w:val="00B84FEB"/>
    <w:rsid w:val="00B85878"/>
    <w:rsid w:val="00B977F0"/>
    <w:rsid w:val="00B97F38"/>
    <w:rsid w:val="00BA6F64"/>
    <w:rsid w:val="00BB6ED0"/>
    <w:rsid w:val="00BC0780"/>
    <w:rsid w:val="00BC1A75"/>
    <w:rsid w:val="00BC2223"/>
    <w:rsid w:val="00BC2A2F"/>
    <w:rsid w:val="00BE42A5"/>
    <w:rsid w:val="00BE6369"/>
    <w:rsid w:val="00C00B46"/>
    <w:rsid w:val="00C01938"/>
    <w:rsid w:val="00C03553"/>
    <w:rsid w:val="00C0684F"/>
    <w:rsid w:val="00C1639E"/>
    <w:rsid w:val="00C23D9F"/>
    <w:rsid w:val="00C30BE7"/>
    <w:rsid w:val="00C323B7"/>
    <w:rsid w:val="00C40B02"/>
    <w:rsid w:val="00C42EFA"/>
    <w:rsid w:val="00C4455A"/>
    <w:rsid w:val="00C50010"/>
    <w:rsid w:val="00C546D2"/>
    <w:rsid w:val="00C55CD6"/>
    <w:rsid w:val="00C56B10"/>
    <w:rsid w:val="00C839AD"/>
    <w:rsid w:val="00C8765D"/>
    <w:rsid w:val="00C94EA4"/>
    <w:rsid w:val="00C9736F"/>
    <w:rsid w:val="00CA5163"/>
    <w:rsid w:val="00CB78E9"/>
    <w:rsid w:val="00CD382D"/>
    <w:rsid w:val="00CD53D4"/>
    <w:rsid w:val="00CE4A1C"/>
    <w:rsid w:val="00CE58B3"/>
    <w:rsid w:val="00CE5A3A"/>
    <w:rsid w:val="00CF0D7F"/>
    <w:rsid w:val="00CF54F7"/>
    <w:rsid w:val="00D01DDB"/>
    <w:rsid w:val="00D11BFB"/>
    <w:rsid w:val="00D1385A"/>
    <w:rsid w:val="00D14903"/>
    <w:rsid w:val="00D21DD0"/>
    <w:rsid w:val="00D25CB2"/>
    <w:rsid w:val="00D35878"/>
    <w:rsid w:val="00D37608"/>
    <w:rsid w:val="00D378C5"/>
    <w:rsid w:val="00D450FD"/>
    <w:rsid w:val="00D60DB1"/>
    <w:rsid w:val="00D62405"/>
    <w:rsid w:val="00D63610"/>
    <w:rsid w:val="00D64DD9"/>
    <w:rsid w:val="00D6557A"/>
    <w:rsid w:val="00D71B41"/>
    <w:rsid w:val="00D81F82"/>
    <w:rsid w:val="00D85220"/>
    <w:rsid w:val="00DA1444"/>
    <w:rsid w:val="00DA17FE"/>
    <w:rsid w:val="00DA235F"/>
    <w:rsid w:val="00DB0388"/>
    <w:rsid w:val="00DB6C01"/>
    <w:rsid w:val="00DB7870"/>
    <w:rsid w:val="00DC1B1A"/>
    <w:rsid w:val="00DC4956"/>
    <w:rsid w:val="00DD4F84"/>
    <w:rsid w:val="00DD68EF"/>
    <w:rsid w:val="00DD7614"/>
    <w:rsid w:val="00DE135D"/>
    <w:rsid w:val="00DE1A6A"/>
    <w:rsid w:val="00DE47FC"/>
    <w:rsid w:val="00DF2741"/>
    <w:rsid w:val="00DF5474"/>
    <w:rsid w:val="00E0029C"/>
    <w:rsid w:val="00E00D14"/>
    <w:rsid w:val="00E1063E"/>
    <w:rsid w:val="00E209C3"/>
    <w:rsid w:val="00E350F2"/>
    <w:rsid w:val="00E41DD5"/>
    <w:rsid w:val="00E55572"/>
    <w:rsid w:val="00E56232"/>
    <w:rsid w:val="00E60DEC"/>
    <w:rsid w:val="00E66BFC"/>
    <w:rsid w:val="00E90DC6"/>
    <w:rsid w:val="00E91FD9"/>
    <w:rsid w:val="00E923FA"/>
    <w:rsid w:val="00E958BF"/>
    <w:rsid w:val="00EA073D"/>
    <w:rsid w:val="00EA1320"/>
    <w:rsid w:val="00EA1F70"/>
    <w:rsid w:val="00EA2EA7"/>
    <w:rsid w:val="00EB0F37"/>
    <w:rsid w:val="00EC397D"/>
    <w:rsid w:val="00EC588F"/>
    <w:rsid w:val="00EC7B56"/>
    <w:rsid w:val="00ED039F"/>
    <w:rsid w:val="00EE77A8"/>
    <w:rsid w:val="00EF0671"/>
    <w:rsid w:val="00F03EF8"/>
    <w:rsid w:val="00F073FD"/>
    <w:rsid w:val="00F13467"/>
    <w:rsid w:val="00F16930"/>
    <w:rsid w:val="00F21F2B"/>
    <w:rsid w:val="00F22C8C"/>
    <w:rsid w:val="00F22D55"/>
    <w:rsid w:val="00F4752C"/>
    <w:rsid w:val="00F56D05"/>
    <w:rsid w:val="00F6338F"/>
    <w:rsid w:val="00F70390"/>
    <w:rsid w:val="00F7092D"/>
    <w:rsid w:val="00F72354"/>
    <w:rsid w:val="00F85C03"/>
    <w:rsid w:val="00F86BE5"/>
    <w:rsid w:val="00F963C3"/>
    <w:rsid w:val="00FA1378"/>
    <w:rsid w:val="00FA7885"/>
    <w:rsid w:val="00FB731A"/>
    <w:rsid w:val="00FC1852"/>
    <w:rsid w:val="00FC3A42"/>
    <w:rsid w:val="00FC756F"/>
    <w:rsid w:val="00FD4728"/>
    <w:rsid w:val="00FE1DCF"/>
    <w:rsid w:val="00F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508931-11E4-4D57-A0F4-A707D0A3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9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3510F3"/>
    <w:pPr>
      <w:spacing w:beforeAutospacing="1" w:afterAutospacing="1"/>
      <w:outlineLvl w:val="0"/>
    </w:pPr>
    <w:rPr>
      <w:b/>
      <w:bCs/>
      <w:sz w:val="48"/>
      <w:szCs w:val="48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564EBC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21B5C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941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941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qFormat/>
    <w:rsid w:val="009F2921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qFormat/>
    <w:rsid w:val="00F84326"/>
  </w:style>
  <w:style w:type="character" w:customStyle="1" w:styleId="Heading1Char">
    <w:name w:val="Heading 1 Char"/>
    <w:basedOn w:val="DefaultParagraphFont"/>
    <w:link w:val="Heading1"/>
    <w:uiPriority w:val="9"/>
    <w:qFormat/>
    <w:rsid w:val="003510F3"/>
    <w:rPr>
      <w:rFonts w:ascii="Times New Roman" w:eastAsia="Times New Roman" w:hAnsi="Times New Roman" w:cs="Times New Roman"/>
      <w:b/>
      <w:bCs/>
      <w:sz w:val="48"/>
      <w:szCs w:val="48"/>
      <w:lang w:val="nl-NL" w:eastAsia="nl-NL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21B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4175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E94175"/>
    <w:pPr>
      <w:suppressLineNumbers/>
      <w:tabs>
        <w:tab w:val="center" w:pos="4513"/>
        <w:tab w:val="right" w:pos="9026"/>
      </w:tabs>
    </w:pPr>
  </w:style>
  <w:style w:type="paragraph" w:styleId="ListParagraph">
    <w:name w:val="List Paragraph"/>
    <w:basedOn w:val="Normal"/>
    <w:uiPriority w:val="34"/>
    <w:qFormat/>
    <w:rsid w:val="00432B93"/>
    <w:pPr>
      <w:ind w:left="720"/>
      <w:contextualSpacing/>
    </w:pPr>
  </w:style>
  <w:style w:type="table" w:styleId="TableGrid">
    <w:name w:val="Table Grid"/>
    <w:basedOn w:val="TableNormal"/>
    <w:uiPriority w:val="59"/>
    <w:rsid w:val="00B27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1">
    <w:name w:val="Plain Table 51"/>
    <w:basedOn w:val="TableNormal"/>
    <w:uiPriority w:val="45"/>
    <w:rsid w:val="00BB38D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rsid w:val="00BB38D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01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110"/>
    <w:rPr>
      <w:rFonts w:ascii="Times New Roman" w:eastAsia="Times New Roman" w:hAnsi="Times New Roman" w:cs="Times New Roman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110"/>
    <w:rPr>
      <w:rFonts w:ascii="Times New Roman" w:eastAsia="Times New Roman" w:hAnsi="Times New Roman" w:cs="Times New Roman"/>
      <w:b/>
      <w:bCs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C94EA4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B265E3"/>
  </w:style>
  <w:style w:type="character" w:customStyle="1" w:styleId="findhit">
    <w:name w:val="findhit"/>
    <w:basedOn w:val="DefaultParagraphFont"/>
    <w:rsid w:val="00B265E3"/>
  </w:style>
  <w:style w:type="table" w:customStyle="1" w:styleId="TableGrid1">
    <w:name w:val="Table Grid1"/>
    <w:basedOn w:val="TableNormal"/>
    <w:next w:val="TableGrid"/>
    <w:uiPriority w:val="59"/>
    <w:rsid w:val="00E1063E"/>
    <w:rPr>
      <w:rFonts w:ascii="Calibri" w:eastAsia="Calibri" w:hAnsi="Calibri" w:cs="Times New Roman"/>
      <w:sz w:val="22"/>
      <w:lang w:val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C3CF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131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5F4E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53738A"/>
    <w:pPr>
      <w:spacing w:after="144" w:line="288" w:lineRule="auto"/>
    </w:pPr>
    <w:rPr>
      <w:rFonts w:ascii="Calibri" w:eastAsiaTheme="minorHAnsi" w:hAnsi="Calibri" w:cs="Calibri"/>
      <w:sz w:val="22"/>
      <w:szCs w:val="2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4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93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29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8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1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207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008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732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28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838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22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849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110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612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7008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3900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8636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9353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7014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4196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15810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75894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96900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6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1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56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9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0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12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38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328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883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892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947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5101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777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88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641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155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585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8792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1716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9138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871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90804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9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FF761-45C7-4C9F-88D9-C13EC54EA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762</Words>
  <Characters>4344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IT Assist</Company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O'Hagan</dc:creator>
  <dc:description/>
  <cp:lastModifiedBy>Anouska Colledge</cp:lastModifiedBy>
  <cp:revision>2</cp:revision>
  <cp:lastPrinted>2018-10-03T08:33:00Z</cp:lastPrinted>
  <dcterms:created xsi:type="dcterms:W3CDTF">2019-04-30T05:58:00Z</dcterms:created>
  <dcterms:modified xsi:type="dcterms:W3CDTF">2019-04-30T05:58:00Z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IT Assist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