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6AB00" w14:textId="77777777" w:rsidR="00B80E03" w:rsidRPr="00B02478" w:rsidRDefault="00B80E03" w:rsidP="00B80E03">
      <w:pPr>
        <w:pStyle w:val="CommentText"/>
        <w:rPr>
          <w:rFonts w:ascii="Arial" w:hAnsi="Arial" w:cs="Arial"/>
          <w:sz w:val="22"/>
          <w:szCs w:val="22"/>
        </w:rPr>
      </w:pPr>
      <w:r w:rsidRPr="00B02478">
        <w:rPr>
          <w:rFonts w:ascii="Arial" w:hAnsi="Arial" w:cs="Arial"/>
          <w:b/>
          <w:sz w:val="22"/>
          <w:szCs w:val="22"/>
        </w:rPr>
        <w:t xml:space="preserve">Table 1: </w:t>
      </w:r>
      <w:r w:rsidRPr="00B02478">
        <w:rPr>
          <w:rFonts w:ascii="Arial" w:hAnsi="Arial" w:cs="Arial"/>
          <w:bCs/>
          <w:sz w:val="22"/>
          <w:szCs w:val="22"/>
        </w:rPr>
        <w:t>Demographic characteristics in Northern Territory women by Indigenous status and remoteness,</w:t>
      </w:r>
      <w:r w:rsidRPr="00B02478">
        <w:rPr>
          <w:rFonts w:ascii="Arial" w:hAnsi="Arial" w:cs="Arial"/>
          <w:sz w:val="22"/>
          <w:szCs w:val="22"/>
        </w:rPr>
        <w:t>*</w:t>
      </w:r>
      <w:r w:rsidRPr="00B02478">
        <w:rPr>
          <w:rFonts w:ascii="Arial" w:hAnsi="Arial" w:cs="Arial"/>
          <w:bCs/>
          <w:sz w:val="22"/>
          <w:szCs w:val="22"/>
        </w:rPr>
        <w:t xml:space="preserve"> Australia </w:t>
      </w:r>
      <w:r w:rsidRPr="00B02478">
        <w:rPr>
          <w:rFonts w:ascii="Arial" w:hAnsi="Arial" w:cs="Arial"/>
          <w:sz w:val="22"/>
          <w:szCs w:val="22"/>
        </w:rPr>
        <w:t>(1994-201</w:t>
      </w:r>
      <w:r>
        <w:rPr>
          <w:rFonts w:ascii="Arial" w:hAnsi="Arial" w:cs="Arial"/>
          <w:sz w:val="22"/>
          <w:szCs w:val="22"/>
        </w:rPr>
        <w:t>4</w:t>
      </w:r>
      <w:r w:rsidRPr="00B02478">
        <w:rPr>
          <w:rFonts w:ascii="Arial" w:hAnsi="Arial" w:cs="Arial"/>
          <w:sz w:val="22"/>
          <w:szCs w:val="22"/>
        </w:rPr>
        <w:t xml:space="preserve">). </w:t>
      </w:r>
    </w:p>
    <w:tbl>
      <w:tblPr>
        <w:tblStyle w:val="TableGrid"/>
        <w:tblW w:w="34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1"/>
        <w:gridCol w:w="200"/>
        <w:gridCol w:w="1898"/>
        <w:gridCol w:w="377"/>
        <w:gridCol w:w="1418"/>
        <w:gridCol w:w="400"/>
        <w:gridCol w:w="1814"/>
      </w:tblGrid>
      <w:tr w:rsidR="00B80E03" w:rsidRPr="00BB74C2" w14:paraId="1878ED0E" w14:textId="77777777" w:rsidTr="002F59CB">
        <w:trPr>
          <w:trHeight w:val="145"/>
        </w:trPr>
        <w:tc>
          <w:tcPr>
            <w:tcW w:w="225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3AEEDF" w14:textId="77777777" w:rsidR="00B80E03" w:rsidRPr="00BB74C2" w:rsidRDefault="00B80E03" w:rsidP="002F59C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B74C2">
              <w:rPr>
                <w:rFonts w:ascii="Arial" w:hAnsi="Arial" w:cs="Arial"/>
                <w:b/>
                <w:sz w:val="20"/>
                <w:szCs w:val="20"/>
              </w:rPr>
              <w:t xml:space="preserve">Characteristics </w:t>
            </w:r>
          </w:p>
        </w:tc>
        <w:tc>
          <w:tcPr>
            <w:tcW w:w="105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EAD2FB" w14:textId="77777777" w:rsidR="00B80E03" w:rsidRPr="00BB74C2" w:rsidRDefault="00B80E03" w:rsidP="002F59C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B74C2">
              <w:rPr>
                <w:rFonts w:ascii="Arial" w:hAnsi="Arial" w:cs="Arial"/>
                <w:b/>
                <w:sz w:val="20"/>
                <w:szCs w:val="20"/>
              </w:rPr>
              <w:t>Outer regional</w:t>
            </w:r>
          </w:p>
          <w:p w14:paraId="49ACA539" w14:textId="77777777" w:rsidR="00B80E03" w:rsidRPr="00BB74C2" w:rsidRDefault="00B80E03" w:rsidP="002F59C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4B64D4" w14:textId="77777777" w:rsidR="00B80E03" w:rsidRPr="00BB74C2" w:rsidRDefault="00B80E03" w:rsidP="002F59CB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BB74C2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Remote</w:t>
            </w:r>
          </w:p>
          <w:p w14:paraId="0A681327" w14:textId="77777777" w:rsidR="00B80E03" w:rsidRPr="00BB74C2" w:rsidRDefault="00B80E03" w:rsidP="002F59CB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843" w:type="pct"/>
            <w:tcBorders>
              <w:top w:val="single" w:sz="4" w:space="0" w:color="auto"/>
              <w:bottom w:val="single" w:sz="4" w:space="0" w:color="auto"/>
            </w:tcBorders>
          </w:tcPr>
          <w:p w14:paraId="55B375A4" w14:textId="77777777" w:rsidR="00B80E03" w:rsidRPr="00BB74C2" w:rsidRDefault="00B80E03" w:rsidP="002F59C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B74C2">
              <w:rPr>
                <w:rFonts w:ascii="Arial" w:hAnsi="Arial" w:cs="Arial"/>
                <w:b/>
                <w:sz w:val="20"/>
                <w:szCs w:val="20"/>
              </w:rPr>
              <w:t>Very remote</w:t>
            </w:r>
          </w:p>
          <w:p w14:paraId="60B4F070" w14:textId="77777777" w:rsidR="00B80E03" w:rsidRPr="00BB74C2" w:rsidRDefault="00B80E03" w:rsidP="002F59C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0E03" w:rsidRPr="00BB74C2" w14:paraId="2A45CEA1" w14:textId="77777777" w:rsidTr="002F59CB">
        <w:trPr>
          <w:trHeight w:val="145"/>
        </w:trPr>
        <w:tc>
          <w:tcPr>
            <w:tcW w:w="225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2AE8EE" w14:textId="77777777" w:rsidR="00B80E03" w:rsidRPr="00BB74C2" w:rsidRDefault="00B80E03" w:rsidP="002F59C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7067CB">
              <w:rPr>
                <w:rFonts w:ascii="Arial" w:hAnsi="Arial" w:cs="Arial"/>
                <w:b/>
                <w:sz w:val="20"/>
                <w:szCs w:val="20"/>
              </w:rPr>
              <w:t>Aboriginal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(n=27 420)</w:t>
            </w:r>
          </w:p>
        </w:tc>
        <w:tc>
          <w:tcPr>
            <w:tcW w:w="105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36F129" w14:textId="77777777" w:rsidR="00B80E03" w:rsidRPr="00BB74C2" w:rsidRDefault="00B80E03" w:rsidP="002F59C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B74C2">
              <w:rPr>
                <w:rFonts w:ascii="Arial" w:hAnsi="Arial" w:cs="Arial"/>
                <w:b/>
                <w:sz w:val="20"/>
                <w:szCs w:val="20"/>
              </w:rPr>
              <w:t>n=7162 (26%)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CEB818" w14:textId="77777777" w:rsidR="00B80E03" w:rsidRPr="00BB74C2" w:rsidRDefault="00B80E03" w:rsidP="002F59CB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BB74C2">
              <w:rPr>
                <w:rFonts w:ascii="Arial" w:hAnsi="Arial" w:cs="Arial"/>
                <w:b/>
                <w:sz w:val="20"/>
                <w:szCs w:val="20"/>
              </w:rPr>
              <w:t>n=9888 (36%)</w:t>
            </w:r>
          </w:p>
        </w:tc>
        <w:tc>
          <w:tcPr>
            <w:tcW w:w="843" w:type="pct"/>
            <w:tcBorders>
              <w:top w:val="single" w:sz="4" w:space="0" w:color="auto"/>
              <w:bottom w:val="single" w:sz="4" w:space="0" w:color="auto"/>
            </w:tcBorders>
          </w:tcPr>
          <w:p w14:paraId="1E79307C" w14:textId="77777777" w:rsidR="00B80E03" w:rsidRPr="00BB74C2" w:rsidRDefault="00B80E03" w:rsidP="002F59C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B74C2">
              <w:rPr>
                <w:rFonts w:ascii="Arial" w:hAnsi="Arial" w:cs="Arial"/>
                <w:b/>
                <w:sz w:val="20"/>
                <w:szCs w:val="20"/>
              </w:rPr>
              <w:t>n=10 370 (38%)</w:t>
            </w:r>
          </w:p>
        </w:tc>
      </w:tr>
      <w:tr w:rsidR="00B80E03" w:rsidRPr="00BB74C2" w14:paraId="32467E39" w14:textId="77777777" w:rsidTr="002F59CB">
        <w:trPr>
          <w:trHeight w:val="145"/>
        </w:trPr>
        <w:tc>
          <w:tcPr>
            <w:tcW w:w="2255" w:type="pct"/>
            <w:gridSpan w:val="2"/>
            <w:tcBorders>
              <w:top w:val="single" w:sz="4" w:space="0" w:color="auto"/>
            </w:tcBorders>
          </w:tcPr>
          <w:p w14:paraId="5314B833" w14:textId="77777777" w:rsidR="00B80E03" w:rsidRPr="00ED57BB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D57BB">
              <w:rPr>
                <w:rFonts w:ascii="Arial" w:hAnsi="Arial" w:cs="Arial"/>
                <w:sz w:val="20"/>
                <w:szCs w:val="20"/>
              </w:rPr>
              <w:t xml:space="preserve">Median maternal age at infant birth (range) </w:t>
            </w:r>
          </w:p>
          <w:p w14:paraId="5CEB61D4" w14:textId="77777777" w:rsidR="00B80E03" w:rsidRPr="00ED57BB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D57BB">
              <w:rPr>
                <w:rFonts w:ascii="Arial" w:hAnsi="Arial" w:cs="Arial"/>
                <w:sz w:val="20"/>
                <w:szCs w:val="20"/>
              </w:rPr>
              <w:t>Mother &lt;20 years of age</w:t>
            </w:r>
          </w:p>
        </w:tc>
        <w:tc>
          <w:tcPr>
            <w:tcW w:w="1057" w:type="pct"/>
            <w:gridSpan w:val="2"/>
            <w:tcBorders>
              <w:top w:val="single" w:sz="4" w:space="0" w:color="auto"/>
            </w:tcBorders>
          </w:tcPr>
          <w:p w14:paraId="4D14F208" w14:textId="77777777" w:rsidR="00B80E03" w:rsidRPr="00ED57BB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D57BB">
              <w:rPr>
                <w:rFonts w:ascii="Arial" w:hAnsi="Arial" w:cs="Arial"/>
                <w:sz w:val="20"/>
                <w:szCs w:val="20"/>
              </w:rPr>
              <w:t>24 (12-51)</w:t>
            </w:r>
          </w:p>
          <w:p w14:paraId="37960BF3" w14:textId="77777777" w:rsidR="00B80E03" w:rsidRPr="00ED57BB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D57BB">
              <w:rPr>
                <w:rFonts w:ascii="Arial" w:hAnsi="Arial" w:cs="Arial"/>
                <w:sz w:val="20"/>
                <w:szCs w:val="20"/>
              </w:rPr>
              <w:t>1387 (19%)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</w:tcBorders>
          </w:tcPr>
          <w:p w14:paraId="12554A76" w14:textId="77777777" w:rsidR="00B80E03" w:rsidRPr="00ED57BB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D57BB">
              <w:rPr>
                <w:rFonts w:ascii="Arial" w:hAnsi="Arial" w:cs="Arial"/>
                <w:sz w:val="20"/>
                <w:szCs w:val="20"/>
              </w:rPr>
              <w:t>23 (12-46)</w:t>
            </w:r>
          </w:p>
          <w:p w14:paraId="6D165AE5" w14:textId="77777777" w:rsidR="00B80E03" w:rsidRPr="00ED57BB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D57BB">
              <w:rPr>
                <w:rFonts w:ascii="Arial" w:hAnsi="Arial" w:cs="Arial"/>
                <w:sz w:val="20"/>
                <w:szCs w:val="20"/>
              </w:rPr>
              <w:t>2666 (27%)</w:t>
            </w:r>
          </w:p>
        </w:tc>
        <w:tc>
          <w:tcPr>
            <w:tcW w:w="843" w:type="pct"/>
            <w:tcBorders>
              <w:top w:val="single" w:sz="4" w:space="0" w:color="auto"/>
            </w:tcBorders>
          </w:tcPr>
          <w:p w14:paraId="0DA9EEB8" w14:textId="77777777" w:rsidR="00B80E03" w:rsidRPr="00ED57BB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D57BB">
              <w:rPr>
                <w:rFonts w:ascii="Arial" w:hAnsi="Arial" w:cs="Arial"/>
                <w:sz w:val="20"/>
                <w:szCs w:val="20"/>
              </w:rPr>
              <w:t>22 (12-44)</w:t>
            </w:r>
          </w:p>
          <w:p w14:paraId="4B37AF22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D57BB">
              <w:rPr>
                <w:rFonts w:ascii="Arial" w:hAnsi="Arial" w:cs="Arial"/>
                <w:sz w:val="20"/>
                <w:szCs w:val="20"/>
              </w:rPr>
              <w:t>3121 (30%)</w:t>
            </w:r>
          </w:p>
        </w:tc>
      </w:tr>
      <w:tr w:rsidR="00B80E03" w:rsidRPr="00BB74C2" w14:paraId="5D9CF111" w14:textId="77777777" w:rsidTr="002F59CB">
        <w:trPr>
          <w:trHeight w:val="527"/>
        </w:trPr>
        <w:tc>
          <w:tcPr>
            <w:tcW w:w="2255" w:type="pct"/>
            <w:gridSpan w:val="2"/>
          </w:tcPr>
          <w:p w14:paraId="55652680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1</w:t>
            </w:r>
            <w:r w:rsidRPr="00BB74C2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BB74C2">
              <w:rPr>
                <w:rFonts w:ascii="Arial" w:hAnsi="Arial" w:cs="Arial"/>
                <w:sz w:val="20"/>
                <w:szCs w:val="20"/>
              </w:rPr>
              <w:t xml:space="preserve"> trimester attendance for antenatal care </w:t>
            </w:r>
          </w:p>
        </w:tc>
        <w:tc>
          <w:tcPr>
            <w:tcW w:w="1057" w:type="pct"/>
            <w:gridSpan w:val="2"/>
          </w:tcPr>
          <w:p w14:paraId="2482D584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2914 (45%)</w:t>
            </w:r>
          </w:p>
        </w:tc>
        <w:tc>
          <w:tcPr>
            <w:tcW w:w="845" w:type="pct"/>
            <w:gridSpan w:val="2"/>
          </w:tcPr>
          <w:p w14:paraId="4A45FAB3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3607 (39%)</w:t>
            </w:r>
          </w:p>
        </w:tc>
        <w:tc>
          <w:tcPr>
            <w:tcW w:w="843" w:type="pct"/>
          </w:tcPr>
          <w:p w14:paraId="79AF8562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2963 (31%)</w:t>
            </w:r>
          </w:p>
        </w:tc>
      </w:tr>
      <w:tr w:rsidR="00B80E03" w:rsidRPr="00BB74C2" w14:paraId="510EF0BB" w14:textId="77777777" w:rsidTr="002F59CB">
        <w:trPr>
          <w:trHeight w:val="527"/>
        </w:trPr>
        <w:tc>
          <w:tcPr>
            <w:tcW w:w="2255" w:type="pct"/>
            <w:gridSpan w:val="2"/>
          </w:tcPr>
          <w:p w14:paraId="68D90BBD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Smoking in pregnancy (36 weeks gestation)</w:t>
            </w:r>
          </w:p>
        </w:tc>
        <w:tc>
          <w:tcPr>
            <w:tcW w:w="1057" w:type="pct"/>
            <w:gridSpan w:val="2"/>
          </w:tcPr>
          <w:p w14:paraId="69A44772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1477 (43%)</w:t>
            </w:r>
          </w:p>
        </w:tc>
        <w:tc>
          <w:tcPr>
            <w:tcW w:w="845" w:type="pct"/>
            <w:gridSpan w:val="2"/>
          </w:tcPr>
          <w:p w14:paraId="5E55CEEF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2298 (46%)</w:t>
            </w:r>
          </w:p>
        </w:tc>
        <w:tc>
          <w:tcPr>
            <w:tcW w:w="843" w:type="pct"/>
          </w:tcPr>
          <w:p w14:paraId="1CF07D98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1954 (38%)</w:t>
            </w:r>
          </w:p>
        </w:tc>
      </w:tr>
      <w:tr w:rsidR="00B80E03" w:rsidRPr="00BB74C2" w14:paraId="01D8F285" w14:textId="77777777" w:rsidTr="002F59CB">
        <w:trPr>
          <w:trHeight w:val="527"/>
        </w:trPr>
        <w:tc>
          <w:tcPr>
            <w:tcW w:w="2255" w:type="pct"/>
            <w:gridSpan w:val="2"/>
          </w:tcPr>
          <w:p w14:paraId="45361ED5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Consuming alcohol (36 weeks gestation)</w:t>
            </w:r>
          </w:p>
        </w:tc>
        <w:tc>
          <w:tcPr>
            <w:tcW w:w="1057" w:type="pct"/>
            <w:gridSpan w:val="2"/>
          </w:tcPr>
          <w:p w14:paraId="4849B69B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484 (10%)</w:t>
            </w:r>
          </w:p>
        </w:tc>
        <w:tc>
          <w:tcPr>
            <w:tcW w:w="845" w:type="pct"/>
            <w:gridSpan w:val="2"/>
          </w:tcPr>
          <w:p w14:paraId="4EEF415C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527 (8%)</w:t>
            </w:r>
          </w:p>
        </w:tc>
        <w:tc>
          <w:tcPr>
            <w:tcW w:w="843" w:type="pct"/>
          </w:tcPr>
          <w:p w14:paraId="4BAB3339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539 (8%)</w:t>
            </w:r>
          </w:p>
        </w:tc>
      </w:tr>
      <w:tr w:rsidR="00B80E03" w:rsidRPr="00BB74C2" w14:paraId="7F316A1B" w14:textId="77777777" w:rsidTr="002F59CB">
        <w:trPr>
          <w:trHeight w:val="542"/>
        </w:trPr>
        <w:tc>
          <w:tcPr>
            <w:tcW w:w="2255" w:type="pct"/>
            <w:gridSpan w:val="2"/>
          </w:tcPr>
          <w:p w14:paraId="7ADC7F80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Maternal anaemia</w:t>
            </w:r>
          </w:p>
        </w:tc>
        <w:tc>
          <w:tcPr>
            <w:tcW w:w="1057" w:type="pct"/>
            <w:gridSpan w:val="2"/>
          </w:tcPr>
          <w:p w14:paraId="781451A0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410 (6%)</w:t>
            </w:r>
          </w:p>
        </w:tc>
        <w:tc>
          <w:tcPr>
            <w:tcW w:w="845" w:type="pct"/>
            <w:gridSpan w:val="2"/>
          </w:tcPr>
          <w:p w14:paraId="3E8C6F45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1010 (10%)</w:t>
            </w:r>
          </w:p>
        </w:tc>
        <w:tc>
          <w:tcPr>
            <w:tcW w:w="843" w:type="pct"/>
          </w:tcPr>
          <w:p w14:paraId="2C95858E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1047 (10%)</w:t>
            </w:r>
          </w:p>
        </w:tc>
      </w:tr>
      <w:tr w:rsidR="00B80E03" w:rsidRPr="00BB74C2" w14:paraId="00363D95" w14:textId="77777777" w:rsidTr="002F59CB">
        <w:trPr>
          <w:trHeight w:val="542"/>
        </w:trPr>
        <w:tc>
          <w:tcPr>
            <w:tcW w:w="2255" w:type="pct"/>
            <w:gridSpan w:val="2"/>
          </w:tcPr>
          <w:p w14:paraId="25C07FA0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Cardiac disease</w:t>
            </w:r>
          </w:p>
        </w:tc>
        <w:tc>
          <w:tcPr>
            <w:tcW w:w="1057" w:type="pct"/>
            <w:gridSpan w:val="2"/>
          </w:tcPr>
          <w:p w14:paraId="64ECF3AA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184 (3%)</w:t>
            </w:r>
          </w:p>
        </w:tc>
        <w:tc>
          <w:tcPr>
            <w:tcW w:w="845" w:type="pct"/>
            <w:gridSpan w:val="2"/>
          </w:tcPr>
          <w:p w14:paraId="714CB917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571 (6%)</w:t>
            </w:r>
          </w:p>
        </w:tc>
        <w:tc>
          <w:tcPr>
            <w:tcW w:w="843" w:type="pct"/>
          </w:tcPr>
          <w:p w14:paraId="27659C9F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530 (5%)</w:t>
            </w:r>
          </w:p>
        </w:tc>
      </w:tr>
      <w:tr w:rsidR="00B80E03" w:rsidRPr="00BB74C2" w14:paraId="698FAC92" w14:textId="77777777" w:rsidTr="002F59CB">
        <w:trPr>
          <w:trHeight w:val="542"/>
        </w:trPr>
        <w:tc>
          <w:tcPr>
            <w:tcW w:w="2255" w:type="pct"/>
            <w:gridSpan w:val="2"/>
          </w:tcPr>
          <w:p w14:paraId="3BE52AFC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Hypertension</w:t>
            </w:r>
          </w:p>
        </w:tc>
        <w:tc>
          <w:tcPr>
            <w:tcW w:w="1057" w:type="pct"/>
            <w:gridSpan w:val="2"/>
          </w:tcPr>
          <w:p w14:paraId="61AEE5AE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80 (1%)</w:t>
            </w:r>
          </w:p>
        </w:tc>
        <w:tc>
          <w:tcPr>
            <w:tcW w:w="845" w:type="pct"/>
            <w:gridSpan w:val="2"/>
          </w:tcPr>
          <w:p w14:paraId="0DAE2E2A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135 (1%)</w:t>
            </w:r>
          </w:p>
        </w:tc>
        <w:tc>
          <w:tcPr>
            <w:tcW w:w="843" w:type="pct"/>
          </w:tcPr>
          <w:p w14:paraId="6E2DAE96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180 (2%)</w:t>
            </w:r>
          </w:p>
        </w:tc>
      </w:tr>
      <w:tr w:rsidR="00B80E03" w:rsidRPr="00BB74C2" w14:paraId="5A2BC1E2" w14:textId="77777777" w:rsidTr="002F59CB">
        <w:trPr>
          <w:trHeight w:val="542"/>
        </w:trPr>
        <w:tc>
          <w:tcPr>
            <w:tcW w:w="2255" w:type="pct"/>
            <w:gridSpan w:val="2"/>
          </w:tcPr>
          <w:p w14:paraId="47DC5573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Pre-eclampsia</w:t>
            </w:r>
          </w:p>
        </w:tc>
        <w:tc>
          <w:tcPr>
            <w:tcW w:w="1057" w:type="pct"/>
            <w:gridSpan w:val="2"/>
          </w:tcPr>
          <w:p w14:paraId="6AC6F2A5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265 (4%)</w:t>
            </w:r>
          </w:p>
        </w:tc>
        <w:tc>
          <w:tcPr>
            <w:tcW w:w="845" w:type="pct"/>
            <w:gridSpan w:val="2"/>
          </w:tcPr>
          <w:p w14:paraId="6D5783EC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435 (4%)</w:t>
            </w:r>
          </w:p>
        </w:tc>
        <w:tc>
          <w:tcPr>
            <w:tcW w:w="843" w:type="pct"/>
          </w:tcPr>
          <w:p w14:paraId="516CE8CC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687 (7%)</w:t>
            </w:r>
          </w:p>
        </w:tc>
      </w:tr>
      <w:tr w:rsidR="00B80E03" w:rsidRPr="00BB74C2" w14:paraId="0C6E9D92" w14:textId="77777777" w:rsidTr="002F59CB">
        <w:trPr>
          <w:trHeight w:val="542"/>
        </w:trPr>
        <w:tc>
          <w:tcPr>
            <w:tcW w:w="2255" w:type="pct"/>
            <w:gridSpan w:val="2"/>
          </w:tcPr>
          <w:p w14:paraId="5BB9EAE5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Renal disease</w:t>
            </w:r>
          </w:p>
        </w:tc>
        <w:tc>
          <w:tcPr>
            <w:tcW w:w="1057" w:type="pct"/>
            <w:gridSpan w:val="2"/>
          </w:tcPr>
          <w:p w14:paraId="06752D55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75 (1%)</w:t>
            </w:r>
          </w:p>
        </w:tc>
        <w:tc>
          <w:tcPr>
            <w:tcW w:w="845" w:type="pct"/>
            <w:gridSpan w:val="2"/>
          </w:tcPr>
          <w:p w14:paraId="5858DD0F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242 (2%)</w:t>
            </w:r>
          </w:p>
        </w:tc>
        <w:tc>
          <w:tcPr>
            <w:tcW w:w="843" w:type="pct"/>
          </w:tcPr>
          <w:p w14:paraId="642577B7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244 (2%)</w:t>
            </w:r>
          </w:p>
        </w:tc>
      </w:tr>
      <w:tr w:rsidR="00B80E03" w:rsidRPr="00BB74C2" w14:paraId="5CF66DA5" w14:textId="77777777" w:rsidTr="002F59CB">
        <w:trPr>
          <w:trHeight w:val="542"/>
        </w:trPr>
        <w:tc>
          <w:tcPr>
            <w:tcW w:w="2255" w:type="pct"/>
            <w:gridSpan w:val="2"/>
          </w:tcPr>
          <w:p w14:paraId="0A9FA7B5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Gestational diabetes</w:t>
            </w:r>
          </w:p>
        </w:tc>
        <w:tc>
          <w:tcPr>
            <w:tcW w:w="1057" w:type="pct"/>
            <w:gridSpan w:val="2"/>
          </w:tcPr>
          <w:p w14:paraId="29F1910A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236 (3%)</w:t>
            </w:r>
          </w:p>
        </w:tc>
        <w:tc>
          <w:tcPr>
            <w:tcW w:w="845" w:type="pct"/>
            <w:gridSpan w:val="2"/>
          </w:tcPr>
          <w:p w14:paraId="3355EEA5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362 (4%)</w:t>
            </w:r>
          </w:p>
        </w:tc>
        <w:tc>
          <w:tcPr>
            <w:tcW w:w="843" w:type="pct"/>
          </w:tcPr>
          <w:p w14:paraId="02B10AC2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390 (4%)</w:t>
            </w:r>
          </w:p>
        </w:tc>
      </w:tr>
      <w:tr w:rsidR="00B80E03" w:rsidRPr="00BB74C2" w14:paraId="70896D08" w14:textId="77777777" w:rsidTr="002F59CB">
        <w:trPr>
          <w:trHeight w:val="542"/>
        </w:trPr>
        <w:tc>
          <w:tcPr>
            <w:tcW w:w="2255" w:type="pct"/>
            <w:gridSpan w:val="2"/>
          </w:tcPr>
          <w:p w14:paraId="74D9437C" w14:textId="77777777" w:rsidR="00B80E03" w:rsidRPr="00BB74C2" w:rsidRDefault="00B80E03" w:rsidP="002F59CB">
            <w:pPr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Urinary tract infection</w:t>
            </w:r>
          </w:p>
        </w:tc>
        <w:tc>
          <w:tcPr>
            <w:tcW w:w="1057" w:type="pct"/>
            <w:gridSpan w:val="2"/>
          </w:tcPr>
          <w:p w14:paraId="4DFED625" w14:textId="77777777" w:rsidR="00B80E03" w:rsidRPr="00BB74C2" w:rsidRDefault="00B80E03" w:rsidP="002F59CB">
            <w:pPr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250 (3%)</w:t>
            </w:r>
          </w:p>
        </w:tc>
        <w:tc>
          <w:tcPr>
            <w:tcW w:w="845" w:type="pct"/>
            <w:gridSpan w:val="2"/>
          </w:tcPr>
          <w:p w14:paraId="446A2B13" w14:textId="77777777" w:rsidR="00B80E03" w:rsidRPr="00BB74C2" w:rsidRDefault="00B80E03" w:rsidP="002F59CB">
            <w:pPr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574 (6%)</w:t>
            </w:r>
          </w:p>
        </w:tc>
        <w:tc>
          <w:tcPr>
            <w:tcW w:w="843" w:type="pct"/>
          </w:tcPr>
          <w:p w14:paraId="38034561" w14:textId="77777777" w:rsidR="00B80E03" w:rsidRPr="00BB74C2" w:rsidRDefault="00B80E03" w:rsidP="002F59CB">
            <w:pPr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669 (6%)</w:t>
            </w:r>
          </w:p>
        </w:tc>
      </w:tr>
      <w:tr w:rsidR="00B80E03" w:rsidRPr="00BB74C2" w14:paraId="61E68A50" w14:textId="77777777" w:rsidTr="002F59CB">
        <w:trPr>
          <w:trHeight w:val="542"/>
        </w:trPr>
        <w:tc>
          <w:tcPr>
            <w:tcW w:w="2255" w:type="pct"/>
            <w:gridSpan w:val="2"/>
            <w:tcBorders>
              <w:bottom w:val="single" w:sz="4" w:space="0" w:color="auto"/>
            </w:tcBorders>
          </w:tcPr>
          <w:p w14:paraId="6328C118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Sexually transmissible infection</w:t>
            </w:r>
          </w:p>
        </w:tc>
        <w:tc>
          <w:tcPr>
            <w:tcW w:w="1057" w:type="pct"/>
            <w:gridSpan w:val="2"/>
            <w:tcBorders>
              <w:bottom w:val="single" w:sz="4" w:space="0" w:color="auto"/>
            </w:tcBorders>
          </w:tcPr>
          <w:p w14:paraId="2D8492DB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71 (2%)</w:t>
            </w:r>
          </w:p>
        </w:tc>
        <w:tc>
          <w:tcPr>
            <w:tcW w:w="845" w:type="pct"/>
            <w:gridSpan w:val="2"/>
            <w:tcBorders>
              <w:bottom w:val="single" w:sz="4" w:space="0" w:color="auto"/>
            </w:tcBorders>
          </w:tcPr>
          <w:p w14:paraId="5202ACEE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143 (2%)</w:t>
            </w:r>
          </w:p>
        </w:tc>
        <w:tc>
          <w:tcPr>
            <w:tcW w:w="843" w:type="pct"/>
          </w:tcPr>
          <w:p w14:paraId="4BB10A57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234 (3%)</w:t>
            </w:r>
          </w:p>
        </w:tc>
      </w:tr>
      <w:tr w:rsidR="00B80E03" w:rsidRPr="008035F2" w14:paraId="51383477" w14:textId="77777777" w:rsidTr="002F59CB">
        <w:trPr>
          <w:trHeight w:val="145"/>
        </w:trPr>
        <w:tc>
          <w:tcPr>
            <w:tcW w:w="2162" w:type="pct"/>
            <w:tcBorders>
              <w:top w:val="single" w:sz="4" w:space="0" w:color="auto"/>
              <w:bottom w:val="single" w:sz="4" w:space="0" w:color="auto"/>
            </w:tcBorders>
          </w:tcPr>
          <w:p w14:paraId="64550FAE" w14:textId="77777777" w:rsidR="00B80E03" w:rsidRPr="008035F2" w:rsidRDefault="00B80E03" w:rsidP="002F59C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8035F2">
              <w:rPr>
                <w:rFonts w:ascii="Arial" w:hAnsi="Arial" w:cs="Arial"/>
                <w:b/>
                <w:sz w:val="20"/>
                <w:szCs w:val="20"/>
              </w:rPr>
              <w:t>Non-Aboriginal (N= 49 108)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476047" w14:textId="77777777" w:rsidR="00B80E03" w:rsidRPr="008035F2" w:rsidRDefault="00B80E03" w:rsidP="002F59C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8035F2">
              <w:rPr>
                <w:rFonts w:ascii="Arial" w:hAnsi="Arial" w:cs="Arial"/>
                <w:b/>
                <w:sz w:val="20"/>
                <w:szCs w:val="20"/>
              </w:rPr>
              <w:t>n=41 214 (84%)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454403" w14:textId="77777777" w:rsidR="00B80E03" w:rsidRPr="008035F2" w:rsidRDefault="00B80E03" w:rsidP="002F59C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8035F2">
              <w:rPr>
                <w:rFonts w:ascii="Arial" w:hAnsi="Arial" w:cs="Arial"/>
                <w:b/>
                <w:sz w:val="20"/>
                <w:szCs w:val="20"/>
              </w:rPr>
              <w:t>n=5143 (10%)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4ECDC2" w14:textId="77777777" w:rsidR="00B80E03" w:rsidRPr="008035F2" w:rsidRDefault="00B80E03" w:rsidP="002F59C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8035F2">
              <w:rPr>
                <w:rFonts w:ascii="Arial" w:hAnsi="Arial" w:cs="Arial"/>
                <w:b/>
                <w:sz w:val="20"/>
                <w:szCs w:val="20"/>
              </w:rPr>
              <w:t>n=2751 (6%)</w:t>
            </w:r>
          </w:p>
        </w:tc>
      </w:tr>
      <w:tr w:rsidR="00B80E03" w:rsidRPr="00BB74C2" w14:paraId="16A89324" w14:textId="77777777" w:rsidTr="002F59CB">
        <w:trPr>
          <w:trHeight w:val="145"/>
        </w:trPr>
        <w:tc>
          <w:tcPr>
            <w:tcW w:w="2162" w:type="pct"/>
            <w:tcBorders>
              <w:top w:val="single" w:sz="4" w:space="0" w:color="auto"/>
            </w:tcBorders>
            <w:shd w:val="clear" w:color="auto" w:fill="auto"/>
          </w:tcPr>
          <w:p w14:paraId="7441916B" w14:textId="77777777" w:rsidR="00B80E03" w:rsidRPr="00ED57BB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D57BB">
              <w:rPr>
                <w:rFonts w:ascii="Arial" w:hAnsi="Arial" w:cs="Arial"/>
                <w:sz w:val="20"/>
                <w:szCs w:val="20"/>
              </w:rPr>
              <w:t xml:space="preserve">Mean maternal age at infant birth (range)   </w:t>
            </w:r>
          </w:p>
          <w:p w14:paraId="1274AE0F" w14:textId="77777777" w:rsidR="00B80E03" w:rsidRPr="00ED57BB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D57BB">
              <w:rPr>
                <w:rFonts w:ascii="Arial" w:hAnsi="Arial" w:cs="Arial"/>
                <w:sz w:val="20"/>
                <w:szCs w:val="20"/>
              </w:rPr>
              <w:t>Mother &lt;20 years of age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2146366A" w14:textId="77777777" w:rsidR="00B80E03" w:rsidRPr="00ED57BB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D57BB">
              <w:rPr>
                <w:rFonts w:ascii="Arial" w:hAnsi="Arial" w:cs="Arial"/>
                <w:sz w:val="20"/>
                <w:szCs w:val="20"/>
              </w:rPr>
              <w:t>29.2 (13-50)</w:t>
            </w:r>
          </w:p>
          <w:p w14:paraId="1DA2467E" w14:textId="77777777" w:rsidR="00B80E03" w:rsidRPr="00ED57BB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D57BB">
              <w:rPr>
                <w:rFonts w:ascii="Arial" w:hAnsi="Arial" w:cs="Arial"/>
                <w:sz w:val="20"/>
                <w:szCs w:val="20"/>
              </w:rPr>
              <w:t>1779 (4%)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75771C46" w14:textId="77777777" w:rsidR="00B80E03" w:rsidRPr="00ED57BB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D57BB">
              <w:rPr>
                <w:rFonts w:ascii="Arial" w:hAnsi="Arial" w:cs="Arial"/>
                <w:sz w:val="20"/>
                <w:szCs w:val="20"/>
              </w:rPr>
              <w:t>28.6 (13-47)</w:t>
            </w:r>
          </w:p>
          <w:p w14:paraId="758494B9" w14:textId="77777777" w:rsidR="00B80E03" w:rsidRPr="00ED57BB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D57BB">
              <w:rPr>
                <w:rFonts w:ascii="Arial" w:hAnsi="Arial" w:cs="Arial"/>
                <w:sz w:val="20"/>
                <w:szCs w:val="20"/>
              </w:rPr>
              <w:t>324 (6%)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7A4A819A" w14:textId="77777777" w:rsidR="00B80E03" w:rsidRPr="00ED57BB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D57BB">
              <w:rPr>
                <w:rFonts w:ascii="Arial" w:hAnsi="Arial" w:cs="Arial"/>
                <w:sz w:val="20"/>
                <w:szCs w:val="20"/>
              </w:rPr>
              <w:t>29.2 (14-45)</w:t>
            </w:r>
          </w:p>
          <w:p w14:paraId="175AEFA7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D57BB">
              <w:rPr>
                <w:rFonts w:ascii="Arial" w:hAnsi="Arial" w:cs="Arial"/>
                <w:sz w:val="20"/>
                <w:szCs w:val="20"/>
              </w:rPr>
              <w:t>118 (4%)</w:t>
            </w:r>
          </w:p>
        </w:tc>
      </w:tr>
      <w:tr w:rsidR="00B80E03" w:rsidRPr="00BB74C2" w14:paraId="1328B4C7" w14:textId="77777777" w:rsidTr="002F59CB">
        <w:trPr>
          <w:trHeight w:val="527"/>
        </w:trPr>
        <w:tc>
          <w:tcPr>
            <w:tcW w:w="2162" w:type="pct"/>
          </w:tcPr>
          <w:p w14:paraId="5C218BC4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1</w:t>
            </w:r>
            <w:r w:rsidRPr="00BB74C2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BB74C2">
              <w:rPr>
                <w:rFonts w:ascii="Arial" w:hAnsi="Arial" w:cs="Arial"/>
                <w:sz w:val="20"/>
                <w:szCs w:val="20"/>
              </w:rPr>
              <w:t xml:space="preserve"> trimester attendance for antenatal care </w:t>
            </w:r>
          </w:p>
        </w:tc>
        <w:tc>
          <w:tcPr>
            <w:tcW w:w="975" w:type="pct"/>
            <w:gridSpan w:val="2"/>
          </w:tcPr>
          <w:p w14:paraId="0DFBC72E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23 705 (63%)</w:t>
            </w:r>
          </w:p>
        </w:tc>
        <w:tc>
          <w:tcPr>
            <w:tcW w:w="834" w:type="pct"/>
            <w:gridSpan w:val="2"/>
          </w:tcPr>
          <w:p w14:paraId="0F14F58C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2780 (60%)</w:t>
            </w:r>
          </w:p>
        </w:tc>
        <w:tc>
          <w:tcPr>
            <w:tcW w:w="1029" w:type="pct"/>
            <w:gridSpan w:val="2"/>
          </w:tcPr>
          <w:p w14:paraId="321CBA6D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1547 (59%)</w:t>
            </w:r>
          </w:p>
        </w:tc>
      </w:tr>
      <w:tr w:rsidR="00B80E03" w:rsidRPr="00BB74C2" w14:paraId="26C31E81" w14:textId="77777777" w:rsidTr="002F59CB">
        <w:trPr>
          <w:trHeight w:val="527"/>
        </w:trPr>
        <w:tc>
          <w:tcPr>
            <w:tcW w:w="2162" w:type="pct"/>
          </w:tcPr>
          <w:p w14:paraId="1BABED38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Smoking in pregnancy (36 weeks gestation)</w:t>
            </w:r>
          </w:p>
        </w:tc>
        <w:tc>
          <w:tcPr>
            <w:tcW w:w="975" w:type="pct"/>
            <w:gridSpan w:val="2"/>
          </w:tcPr>
          <w:p w14:paraId="2DB8364A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3162 (14%)</w:t>
            </w:r>
          </w:p>
        </w:tc>
        <w:tc>
          <w:tcPr>
            <w:tcW w:w="834" w:type="pct"/>
            <w:gridSpan w:val="2"/>
          </w:tcPr>
          <w:p w14:paraId="0F079086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668 (22%)</w:t>
            </w:r>
          </w:p>
        </w:tc>
        <w:tc>
          <w:tcPr>
            <w:tcW w:w="1029" w:type="pct"/>
            <w:gridSpan w:val="2"/>
          </w:tcPr>
          <w:p w14:paraId="30401DC7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260 (16%)</w:t>
            </w:r>
          </w:p>
        </w:tc>
      </w:tr>
      <w:tr w:rsidR="00B80E03" w:rsidRPr="00BB74C2" w14:paraId="71922FBC" w14:textId="77777777" w:rsidTr="002F59CB">
        <w:trPr>
          <w:trHeight w:val="527"/>
        </w:trPr>
        <w:tc>
          <w:tcPr>
            <w:tcW w:w="2162" w:type="pct"/>
          </w:tcPr>
          <w:p w14:paraId="26761215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lastRenderedPageBreak/>
              <w:t>Consuming alcohol (36 weeks gestation)</w:t>
            </w:r>
          </w:p>
        </w:tc>
        <w:tc>
          <w:tcPr>
            <w:tcW w:w="975" w:type="pct"/>
            <w:gridSpan w:val="2"/>
          </w:tcPr>
          <w:p w14:paraId="1AA07397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867 (3%)</w:t>
            </w:r>
          </w:p>
        </w:tc>
        <w:tc>
          <w:tcPr>
            <w:tcW w:w="834" w:type="pct"/>
            <w:gridSpan w:val="2"/>
          </w:tcPr>
          <w:p w14:paraId="187F3808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246 (6%)</w:t>
            </w:r>
          </w:p>
        </w:tc>
        <w:tc>
          <w:tcPr>
            <w:tcW w:w="1029" w:type="pct"/>
            <w:gridSpan w:val="2"/>
          </w:tcPr>
          <w:p w14:paraId="63954C04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81 (4%)</w:t>
            </w:r>
          </w:p>
        </w:tc>
      </w:tr>
      <w:tr w:rsidR="00B80E03" w:rsidRPr="00BB74C2" w14:paraId="2D0CAC22" w14:textId="77777777" w:rsidTr="002F59CB">
        <w:trPr>
          <w:trHeight w:val="542"/>
        </w:trPr>
        <w:tc>
          <w:tcPr>
            <w:tcW w:w="2162" w:type="pct"/>
          </w:tcPr>
          <w:p w14:paraId="103E29EC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Maternal anaemia</w:t>
            </w:r>
          </w:p>
        </w:tc>
        <w:tc>
          <w:tcPr>
            <w:tcW w:w="975" w:type="pct"/>
            <w:gridSpan w:val="2"/>
          </w:tcPr>
          <w:p w14:paraId="3BDB087E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601 (1%)</w:t>
            </w:r>
          </w:p>
        </w:tc>
        <w:tc>
          <w:tcPr>
            <w:tcW w:w="834" w:type="pct"/>
            <w:gridSpan w:val="2"/>
          </w:tcPr>
          <w:p w14:paraId="5CE1A7BB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109 (2%)</w:t>
            </w:r>
          </w:p>
        </w:tc>
        <w:tc>
          <w:tcPr>
            <w:tcW w:w="1029" w:type="pct"/>
            <w:gridSpan w:val="2"/>
          </w:tcPr>
          <w:p w14:paraId="57ECA898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60 (2%)</w:t>
            </w:r>
          </w:p>
        </w:tc>
      </w:tr>
      <w:tr w:rsidR="00B80E03" w:rsidRPr="00BB74C2" w14:paraId="2DCE330F" w14:textId="77777777" w:rsidTr="002F59CB">
        <w:trPr>
          <w:trHeight w:val="542"/>
        </w:trPr>
        <w:tc>
          <w:tcPr>
            <w:tcW w:w="2162" w:type="pct"/>
          </w:tcPr>
          <w:p w14:paraId="5A3450D1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Cardiac disease</w:t>
            </w:r>
          </w:p>
        </w:tc>
        <w:tc>
          <w:tcPr>
            <w:tcW w:w="975" w:type="pct"/>
            <w:gridSpan w:val="2"/>
          </w:tcPr>
          <w:p w14:paraId="240D522C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241 (0.58%)</w:t>
            </w:r>
          </w:p>
        </w:tc>
        <w:tc>
          <w:tcPr>
            <w:tcW w:w="834" w:type="pct"/>
            <w:gridSpan w:val="2"/>
          </w:tcPr>
          <w:p w14:paraId="2E161935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46 (0.89%)</w:t>
            </w:r>
          </w:p>
        </w:tc>
        <w:tc>
          <w:tcPr>
            <w:tcW w:w="1029" w:type="pct"/>
            <w:gridSpan w:val="2"/>
          </w:tcPr>
          <w:p w14:paraId="20D1DB13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37 (1.34%)</w:t>
            </w:r>
          </w:p>
        </w:tc>
      </w:tr>
      <w:tr w:rsidR="00B80E03" w:rsidRPr="00BB74C2" w14:paraId="3C6F2051" w14:textId="77777777" w:rsidTr="002F59CB">
        <w:trPr>
          <w:trHeight w:val="542"/>
        </w:trPr>
        <w:tc>
          <w:tcPr>
            <w:tcW w:w="2162" w:type="pct"/>
          </w:tcPr>
          <w:p w14:paraId="5A89810B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Hypertension</w:t>
            </w:r>
          </w:p>
        </w:tc>
        <w:tc>
          <w:tcPr>
            <w:tcW w:w="975" w:type="pct"/>
            <w:gridSpan w:val="2"/>
          </w:tcPr>
          <w:p w14:paraId="68285E7B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251 (0.61%)</w:t>
            </w:r>
          </w:p>
        </w:tc>
        <w:tc>
          <w:tcPr>
            <w:tcW w:w="834" w:type="pct"/>
            <w:gridSpan w:val="2"/>
          </w:tcPr>
          <w:p w14:paraId="6FBD8C91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47 (0.91%)</w:t>
            </w:r>
          </w:p>
        </w:tc>
        <w:tc>
          <w:tcPr>
            <w:tcW w:w="1029" w:type="pct"/>
            <w:gridSpan w:val="2"/>
          </w:tcPr>
          <w:p w14:paraId="55C6887E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29 (1%)</w:t>
            </w:r>
          </w:p>
        </w:tc>
      </w:tr>
      <w:tr w:rsidR="00B80E03" w:rsidRPr="00BB74C2" w14:paraId="0E89B98C" w14:textId="77777777" w:rsidTr="002F59CB">
        <w:trPr>
          <w:trHeight w:val="542"/>
        </w:trPr>
        <w:tc>
          <w:tcPr>
            <w:tcW w:w="2162" w:type="pct"/>
          </w:tcPr>
          <w:p w14:paraId="0E379567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Pre-eclampsia</w:t>
            </w:r>
          </w:p>
        </w:tc>
        <w:tc>
          <w:tcPr>
            <w:tcW w:w="975" w:type="pct"/>
            <w:gridSpan w:val="2"/>
          </w:tcPr>
          <w:p w14:paraId="056B38F5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1530 (4%)</w:t>
            </w:r>
          </w:p>
        </w:tc>
        <w:tc>
          <w:tcPr>
            <w:tcW w:w="834" w:type="pct"/>
            <w:gridSpan w:val="2"/>
          </w:tcPr>
          <w:p w14:paraId="7D74CCBE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181 (4%)</w:t>
            </w:r>
          </w:p>
        </w:tc>
        <w:tc>
          <w:tcPr>
            <w:tcW w:w="1029" w:type="pct"/>
            <w:gridSpan w:val="2"/>
          </w:tcPr>
          <w:p w14:paraId="04DF88A4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118 (4%)</w:t>
            </w:r>
          </w:p>
        </w:tc>
      </w:tr>
      <w:tr w:rsidR="00B80E03" w:rsidRPr="00BB74C2" w14:paraId="10D1E3F2" w14:textId="77777777" w:rsidTr="002F59CB">
        <w:trPr>
          <w:trHeight w:val="542"/>
        </w:trPr>
        <w:tc>
          <w:tcPr>
            <w:tcW w:w="2162" w:type="pct"/>
          </w:tcPr>
          <w:p w14:paraId="549FEBA7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Renal disease</w:t>
            </w:r>
          </w:p>
        </w:tc>
        <w:tc>
          <w:tcPr>
            <w:tcW w:w="975" w:type="pct"/>
            <w:gridSpan w:val="2"/>
          </w:tcPr>
          <w:p w14:paraId="16203D90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159 (0.39%)</w:t>
            </w:r>
          </w:p>
        </w:tc>
        <w:tc>
          <w:tcPr>
            <w:tcW w:w="834" w:type="pct"/>
            <w:gridSpan w:val="2"/>
          </w:tcPr>
          <w:p w14:paraId="6DE67342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25 (0.49%)</w:t>
            </w:r>
          </w:p>
        </w:tc>
        <w:tc>
          <w:tcPr>
            <w:tcW w:w="1029" w:type="pct"/>
            <w:gridSpan w:val="2"/>
          </w:tcPr>
          <w:p w14:paraId="3CE0A2CA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14 (0.51%)</w:t>
            </w:r>
          </w:p>
        </w:tc>
      </w:tr>
      <w:tr w:rsidR="00B80E03" w:rsidRPr="00BB74C2" w14:paraId="2F115159" w14:textId="77777777" w:rsidTr="002F59CB">
        <w:trPr>
          <w:trHeight w:val="542"/>
        </w:trPr>
        <w:tc>
          <w:tcPr>
            <w:tcW w:w="2162" w:type="pct"/>
          </w:tcPr>
          <w:p w14:paraId="5F22761B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 xml:space="preserve">Gestational diabetes </w:t>
            </w:r>
          </w:p>
        </w:tc>
        <w:tc>
          <w:tcPr>
            <w:tcW w:w="975" w:type="pct"/>
            <w:gridSpan w:val="2"/>
          </w:tcPr>
          <w:p w14:paraId="4819D6AE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828 (2%)</w:t>
            </w:r>
          </w:p>
        </w:tc>
        <w:tc>
          <w:tcPr>
            <w:tcW w:w="834" w:type="pct"/>
            <w:gridSpan w:val="2"/>
          </w:tcPr>
          <w:p w14:paraId="224DA821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100 (2%)</w:t>
            </w:r>
          </w:p>
        </w:tc>
        <w:tc>
          <w:tcPr>
            <w:tcW w:w="1029" w:type="pct"/>
            <w:gridSpan w:val="2"/>
          </w:tcPr>
          <w:p w14:paraId="1837C871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51 (2%)</w:t>
            </w:r>
          </w:p>
        </w:tc>
      </w:tr>
      <w:tr w:rsidR="00B80E03" w:rsidRPr="00BB74C2" w14:paraId="4E37C057" w14:textId="77777777" w:rsidTr="002F59CB">
        <w:trPr>
          <w:trHeight w:val="542"/>
        </w:trPr>
        <w:tc>
          <w:tcPr>
            <w:tcW w:w="2162" w:type="pct"/>
          </w:tcPr>
          <w:p w14:paraId="466A82F2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Urinary tract infection</w:t>
            </w:r>
          </w:p>
        </w:tc>
        <w:tc>
          <w:tcPr>
            <w:tcW w:w="975" w:type="pct"/>
            <w:gridSpan w:val="2"/>
          </w:tcPr>
          <w:p w14:paraId="7F2E5FEB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454 (1%)</w:t>
            </w:r>
          </w:p>
        </w:tc>
        <w:tc>
          <w:tcPr>
            <w:tcW w:w="834" w:type="pct"/>
            <w:gridSpan w:val="2"/>
          </w:tcPr>
          <w:p w14:paraId="3122AAB1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120 (2%)</w:t>
            </w:r>
          </w:p>
        </w:tc>
        <w:tc>
          <w:tcPr>
            <w:tcW w:w="1029" w:type="pct"/>
            <w:gridSpan w:val="2"/>
          </w:tcPr>
          <w:p w14:paraId="19FB0692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70 (3%)</w:t>
            </w:r>
          </w:p>
        </w:tc>
      </w:tr>
      <w:tr w:rsidR="00B80E03" w:rsidRPr="00BB74C2" w14:paraId="3FF664EC" w14:textId="77777777" w:rsidTr="002F59CB">
        <w:trPr>
          <w:trHeight w:val="542"/>
        </w:trPr>
        <w:tc>
          <w:tcPr>
            <w:tcW w:w="2162" w:type="pct"/>
            <w:tcBorders>
              <w:bottom w:val="single" w:sz="4" w:space="0" w:color="auto"/>
            </w:tcBorders>
          </w:tcPr>
          <w:p w14:paraId="4BDAB760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Sexually transmissible infection</w:t>
            </w:r>
          </w:p>
        </w:tc>
        <w:tc>
          <w:tcPr>
            <w:tcW w:w="975" w:type="pct"/>
            <w:gridSpan w:val="2"/>
            <w:tcBorders>
              <w:bottom w:val="single" w:sz="4" w:space="0" w:color="auto"/>
            </w:tcBorders>
          </w:tcPr>
          <w:p w14:paraId="20B9BBB0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69 (&lt;1%)</w:t>
            </w:r>
          </w:p>
        </w:tc>
        <w:tc>
          <w:tcPr>
            <w:tcW w:w="834" w:type="pct"/>
            <w:gridSpan w:val="2"/>
            <w:tcBorders>
              <w:bottom w:val="single" w:sz="4" w:space="0" w:color="auto"/>
            </w:tcBorders>
          </w:tcPr>
          <w:p w14:paraId="1062124D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16 (&lt;1%)</w:t>
            </w:r>
          </w:p>
        </w:tc>
        <w:tc>
          <w:tcPr>
            <w:tcW w:w="1029" w:type="pct"/>
            <w:gridSpan w:val="2"/>
            <w:tcBorders>
              <w:bottom w:val="single" w:sz="4" w:space="0" w:color="auto"/>
            </w:tcBorders>
          </w:tcPr>
          <w:p w14:paraId="1D64D2C4" w14:textId="77777777" w:rsidR="00B80E03" w:rsidRPr="00BB74C2" w:rsidRDefault="00B80E03" w:rsidP="002F59C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B74C2">
              <w:rPr>
                <w:rFonts w:ascii="Arial" w:hAnsi="Arial" w:cs="Arial"/>
                <w:sz w:val="20"/>
                <w:szCs w:val="20"/>
              </w:rPr>
              <w:t>16 (&lt;1%)</w:t>
            </w:r>
          </w:p>
        </w:tc>
      </w:tr>
    </w:tbl>
    <w:p w14:paraId="6A8A82A8" w14:textId="77777777" w:rsidR="00B80E03" w:rsidRPr="00A87308" w:rsidRDefault="00B80E03" w:rsidP="00B80E03">
      <w:pPr>
        <w:spacing w:line="240" w:lineRule="auto"/>
        <w:rPr>
          <w:rFonts w:ascii="Arial" w:hAnsi="Arial" w:cs="Arial"/>
          <w:sz w:val="20"/>
          <w:szCs w:val="20"/>
        </w:rPr>
      </w:pPr>
      <w:r w:rsidRPr="00A87308">
        <w:rPr>
          <w:rFonts w:ascii="Arial" w:hAnsi="Arial" w:cs="Arial"/>
          <w:b/>
          <w:sz w:val="20"/>
          <w:szCs w:val="20"/>
        </w:rPr>
        <w:t xml:space="preserve">Note: </w:t>
      </w:r>
      <w:r w:rsidRPr="00A87308">
        <w:rPr>
          <w:rFonts w:ascii="Arial" w:hAnsi="Arial" w:cs="Arial"/>
          <w:sz w:val="20"/>
          <w:szCs w:val="20"/>
        </w:rPr>
        <w:t xml:space="preserve">denominators differ due to missing data. </w:t>
      </w:r>
    </w:p>
    <w:p w14:paraId="5EC34776" w14:textId="77777777" w:rsidR="00B80E03" w:rsidRPr="00A87308" w:rsidRDefault="00B80E03" w:rsidP="00B80E03">
      <w:pPr>
        <w:spacing w:line="240" w:lineRule="auto"/>
        <w:rPr>
          <w:rFonts w:ascii="Arial" w:hAnsi="Arial" w:cs="Arial"/>
          <w:sz w:val="20"/>
          <w:szCs w:val="20"/>
        </w:rPr>
      </w:pPr>
      <w:r w:rsidRPr="00A87308">
        <w:rPr>
          <w:rFonts w:ascii="Arial" w:hAnsi="Arial" w:cs="Arial"/>
          <w:sz w:val="20"/>
          <w:szCs w:val="20"/>
        </w:rPr>
        <w:t>* Australian Bureau of s</w:t>
      </w:r>
      <w:bookmarkStart w:id="0" w:name="_GoBack"/>
      <w:bookmarkEnd w:id="0"/>
      <w:r w:rsidRPr="00A87308">
        <w:rPr>
          <w:rFonts w:ascii="Arial" w:hAnsi="Arial" w:cs="Arial"/>
          <w:sz w:val="20"/>
          <w:szCs w:val="20"/>
        </w:rPr>
        <w:t>tatistics designated SLA regions: incorporates Darwin city and surrounding suburbs and Alice Springs urban</w:t>
      </w:r>
    </w:p>
    <w:p w14:paraId="0499714F" w14:textId="77777777" w:rsidR="00B80E03" w:rsidRPr="00A87308" w:rsidRDefault="00B80E03" w:rsidP="00B80E03">
      <w:pPr>
        <w:pStyle w:val="NoSpacing"/>
        <w:rPr>
          <w:rFonts w:ascii="Arial" w:hAnsi="Arial" w:cs="Arial"/>
          <w:sz w:val="20"/>
          <w:szCs w:val="20"/>
          <w:lang w:eastAsia="en-AU"/>
        </w:rPr>
      </w:pPr>
      <w:r w:rsidRPr="00A87308">
        <w:rPr>
          <w:rFonts w:ascii="Arial" w:hAnsi="Arial" w:cs="Arial"/>
          <w:sz w:val="20"/>
          <w:szCs w:val="20"/>
          <w:lang w:eastAsia="en-AU"/>
        </w:rPr>
        <w:t>†</w:t>
      </w:r>
      <w:r w:rsidRPr="00A87308">
        <w:rPr>
          <w:rFonts w:ascii="Arial" w:hAnsi="Arial" w:cs="Arial"/>
          <w:sz w:val="20"/>
          <w:szCs w:val="20"/>
        </w:rPr>
        <w:t xml:space="preserve"> In the Northern Territory of Australia</w:t>
      </w:r>
    </w:p>
    <w:p w14:paraId="0D9C8558" w14:textId="77777777" w:rsidR="00B80E03" w:rsidRDefault="00B80E03" w:rsidP="00B80E03"/>
    <w:p w14:paraId="6BF9F168" w14:textId="1B3844EE" w:rsidR="00983C59" w:rsidRPr="002F4CC6" w:rsidRDefault="00983C59" w:rsidP="00983C59">
      <w:pPr>
        <w:spacing w:line="240" w:lineRule="auto"/>
      </w:pPr>
    </w:p>
    <w:p w14:paraId="5FDC1B04" w14:textId="0329BB3A" w:rsidR="007672E9" w:rsidRPr="00983C59" w:rsidRDefault="007672E9" w:rsidP="00983C59"/>
    <w:sectPr w:rsidR="007672E9" w:rsidRPr="00983C59" w:rsidSect="00B80E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6A8A0" w14:textId="77777777" w:rsidR="0058022F" w:rsidRDefault="0058022F" w:rsidP="00496237">
      <w:pPr>
        <w:spacing w:after="0" w:line="240" w:lineRule="auto"/>
      </w:pPr>
      <w:r>
        <w:separator/>
      </w:r>
    </w:p>
  </w:endnote>
  <w:endnote w:type="continuationSeparator" w:id="0">
    <w:p w14:paraId="43DD2934" w14:textId="77777777" w:rsidR="0058022F" w:rsidRDefault="0058022F" w:rsidP="00496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2853F" w14:textId="77777777" w:rsidR="0058022F" w:rsidRDefault="0058022F" w:rsidP="00496237">
      <w:pPr>
        <w:spacing w:after="0" w:line="240" w:lineRule="auto"/>
      </w:pPr>
      <w:r>
        <w:separator/>
      </w:r>
    </w:p>
  </w:footnote>
  <w:footnote w:type="continuationSeparator" w:id="0">
    <w:p w14:paraId="3ED8CAA1" w14:textId="77777777" w:rsidR="0058022F" w:rsidRDefault="0058022F" w:rsidP="00496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B8D"/>
    <w:multiLevelType w:val="multilevel"/>
    <w:tmpl w:val="8B00EDE4"/>
    <w:lvl w:ilvl="0">
      <w:start w:val="2"/>
      <w:numFmt w:val="decimal"/>
      <w:pStyle w:val="Heading1"/>
      <w:suff w:val="space"/>
      <w:lvlText w:val="Chapter %1: "/>
      <w:lvlJc w:val="left"/>
      <w:pPr>
        <w:ind w:left="57" w:hanging="5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078"/>
    <w:rsid w:val="00005F16"/>
    <w:rsid w:val="00170E3C"/>
    <w:rsid w:val="00215E6C"/>
    <w:rsid w:val="002527DD"/>
    <w:rsid w:val="0035497F"/>
    <w:rsid w:val="00362CD8"/>
    <w:rsid w:val="003F0D66"/>
    <w:rsid w:val="00444D95"/>
    <w:rsid w:val="00451C13"/>
    <w:rsid w:val="00496237"/>
    <w:rsid w:val="004A70B7"/>
    <w:rsid w:val="00521DEF"/>
    <w:rsid w:val="0058022F"/>
    <w:rsid w:val="00617D16"/>
    <w:rsid w:val="006327FB"/>
    <w:rsid w:val="00670646"/>
    <w:rsid w:val="00696128"/>
    <w:rsid w:val="0075192B"/>
    <w:rsid w:val="007672E9"/>
    <w:rsid w:val="007A62CD"/>
    <w:rsid w:val="00835E45"/>
    <w:rsid w:val="008626AA"/>
    <w:rsid w:val="008B4628"/>
    <w:rsid w:val="00983C59"/>
    <w:rsid w:val="009D0364"/>
    <w:rsid w:val="00A421D6"/>
    <w:rsid w:val="00A52960"/>
    <w:rsid w:val="00A574EA"/>
    <w:rsid w:val="00AB275B"/>
    <w:rsid w:val="00B419E6"/>
    <w:rsid w:val="00B56E7E"/>
    <w:rsid w:val="00B5724E"/>
    <w:rsid w:val="00B630F5"/>
    <w:rsid w:val="00B80E03"/>
    <w:rsid w:val="00B82078"/>
    <w:rsid w:val="00BF78D5"/>
    <w:rsid w:val="00C563AC"/>
    <w:rsid w:val="00C5721B"/>
    <w:rsid w:val="00CA5BC4"/>
    <w:rsid w:val="00CC50A7"/>
    <w:rsid w:val="00D06884"/>
    <w:rsid w:val="00D33F8A"/>
    <w:rsid w:val="00DE0808"/>
    <w:rsid w:val="00DE6091"/>
    <w:rsid w:val="00EC4E19"/>
    <w:rsid w:val="00EE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7684C"/>
  <w15:docId w15:val="{2E632CB0-9BD1-4F96-B43F-D5C04F3D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82078"/>
  </w:style>
  <w:style w:type="paragraph" w:styleId="Heading1">
    <w:name w:val="heading 1"/>
    <w:basedOn w:val="Normal"/>
    <w:next w:val="BodyText"/>
    <w:link w:val="Heading1Char"/>
    <w:uiPriority w:val="9"/>
    <w:qFormat/>
    <w:rsid w:val="009D0364"/>
    <w:pPr>
      <w:keepNext/>
      <w:keepLines/>
      <w:numPr>
        <w:numId w:val="27"/>
      </w:numPr>
      <w:spacing w:after="0" w:line="480" w:lineRule="auto"/>
      <w:outlineLvl w:val="0"/>
    </w:pPr>
    <w:rPr>
      <w:rFonts w:ascii="Arial" w:eastAsiaTheme="majorEastAsia" w:hAnsi="Arial" w:cs="Times-Roman"/>
      <w:b/>
      <w:bCs/>
      <w:sz w:val="28"/>
      <w:szCs w:val="24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9D0364"/>
    <w:pPr>
      <w:keepNext/>
      <w:keepLines/>
      <w:numPr>
        <w:ilvl w:val="1"/>
        <w:numId w:val="27"/>
      </w:numPr>
      <w:spacing w:after="0" w:line="480" w:lineRule="auto"/>
      <w:outlineLvl w:val="1"/>
    </w:pPr>
    <w:rPr>
      <w:rFonts w:ascii="Arial" w:eastAsiaTheme="majorEastAsia" w:hAnsi="Arial" w:cs="Times-Roman"/>
      <w:b/>
      <w:bCs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9D0364"/>
    <w:pPr>
      <w:keepNext/>
      <w:keepLines/>
      <w:numPr>
        <w:ilvl w:val="2"/>
        <w:numId w:val="27"/>
      </w:numPr>
      <w:spacing w:after="0" w:line="480" w:lineRule="auto"/>
      <w:outlineLvl w:val="2"/>
    </w:pPr>
    <w:rPr>
      <w:rFonts w:ascii="Arial" w:eastAsiaTheme="majorEastAsia" w:hAnsi="Arial" w:cstheme="majorBidi"/>
      <w:bCs/>
      <w:sz w:val="24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9D0364"/>
    <w:pPr>
      <w:numPr>
        <w:ilvl w:val="3"/>
      </w:numPr>
      <w:jc w:val="both"/>
      <w:outlineLvl w:val="3"/>
    </w:pPr>
    <w:rPr>
      <w:bCs w:val="0"/>
      <w:i/>
      <w:iCs/>
    </w:rPr>
  </w:style>
  <w:style w:type="paragraph" w:styleId="Heading5">
    <w:name w:val="heading 5"/>
    <w:basedOn w:val="Normal"/>
    <w:next w:val="Normal"/>
    <w:link w:val="Heading5Char"/>
    <w:uiPriority w:val="99"/>
    <w:unhideWhenUsed/>
    <w:rsid w:val="009D0364"/>
    <w:pPr>
      <w:keepNext/>
      <w:keepLines/>
      <w:numPr>
        <w:ilvl w:val="4"/>
        <w:numId w:val="27"/>
      </w:numPr>
      <w:autoSpaceDE w:val="0"/>
      <w:autoSpaceDN w:val="0"/>
      <w:adjustRightInd w:val="0"/>
      <w:spacing w:before="200" w:after="0" w:line="480" w:lineRule="auto"/>
      <w:outlineLvl w:val="4"/>
    </w:pPr>
    <w:rPr>
      <w:rFonts w:ascii="Arial" w:hAnsi="Arial" w:cs="Times-Roman"/>
      <w:i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0">
    <w:name w:val="Heading 0"/>
    <w:basedOn w:val="Heading1"/>
    <w:next w:val="BodyText"/>
    <w:link w:val="Heading0Char"/>
    <w:qFormat/>
    <w:rsid w:val="009D0364"/>
    <w:pPr>
      <w:numPr>
        <w:numId w:val="0"/>
      </w:numPr>
    </w:pPr>
    <w:rPr>
      <w:rFonts w:cs="Times New Roman"/>
      <w:sz w:val="32"/>
    </w:rPr>
  </w:style>
  <w:style w:type="character" w:customStyle="1" w:styleId="Heading0Char">
    <w:name w:val="Heading 0 Char"/>
    <w:basedOn w:val="DefaultParagraphFont"/>
    <w:link w:val="Heading0"/>
    <w:rsid w:val="009D0364"/>
    <w:rPr>
      <w:rFonts w:ascii="Arial" w:eastAsiaTheme="majorEastAsia" w:hAnsi="Arial" w:cs="Times New Roman"/>
      <w:b/>
      <w:bCs/>
      <w:sz w:val="32"/>
      <w:szCs w:val="24"/>
    </w:rPr>
  </w:style>
  <w:style w:type="paragraph" w:customStyle="1" w:styleId="BodyText">
    <w:name w:val="BodyText"/>
    <w:basedOn w:val="Normal"/>
    <w:link w:val="BodyTextChar"/>
    <w:qFormat/>
    <w:rsid w:val="009D0364"/>
    <w:pPr>
      <w:spacing w:after="0" w:line="480" w:lineRule="auto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BodyTextChar">
    <w:name w:val="BodyText Char"/>
    <w:basedOn w:val="DefaultParagraphFont"/>
    <w:link w:val="BodyText"/>
    <w:rsid w:val="009D0364"/>
    <w:rPr>
      <w:rFonts w:ascii="Times New Roman" w:eastAsia="MS Mincho" w:hAnsi="Times New Roman" w:cs="Times New Roman"/>
      <w:noProof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9D0364"/>
    <w:rPr>
      <w:rFonts w:ascii="Arial" w:eastAsiaTheme="majorEastAsia" w:hAnsi="Arial" w:cs="Times-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9D0364"/>
    <w:rPr>
      <w:rFonts w:ascii="Arial" w:eastAsiaTheme="majorEastAsia" w:hAnsi="Arial" w:cs="Times-Roman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9D0364"/>
    <w:rPr>
      <w:rFonts w:ascii="Arial" w:eastAsiaTheme="majorEastAsia" w:hAnsi="Arial" w:cstheme="majorBidi"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D0364"/>
    <w:rPr>
      <w:rFonts w:ascii="Arial" w:eastAsiaTheme="majorEastAsia" w:hAnsi="Arial" w:cstheme="majorBidi"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9D0364"/>
    <w:rPr>
      <w:rFonts w:ascii="Arial" w:hAnsi="Arial" w:cs="Times-Roman"/>
      <w:i/>
      <w:szCs w:val="20"/>
      <w:lang w:eastAsia="en-AU"/>
    </w:rPr>
  </w:style>
  <w:style w:type="paragraph" w:styleId="Caption">
    <w:name w:val="caption"/>
    <w:basedOn w:val="Normal"/>
    <w:next w:val="Normal"/>
    <w:uiPriority w:val="35"/>
    <w:unhideWhenUsed/>
    <w:qFormat/>
    <w:rsid w:val="009D0364"/>
    <w:pPr>
      <w:spacing w:after="0" w:line="240" w:lineRule="auto"/>
    </w:pPr>
    <w:rPr>
      <w:rFonts w:ascii="Arial" w:hAnsi="Arial"/>
      <w:b/>
      <w:bCs/>
      <w:sz w:val="24"/>
      <w:szCs w:val="18"/>
      <w:lang w:eastAsia="en-AU"/>
    </w:rPr>
  </w:style>
  <w:style w:type="paragraph" w:customStyle="1" w:styleId="Subheadnonumbering">
    <w:name w:val="Subhead_nonumbering"/>
    <w:basedOn w:val="Heading3"/>
    <w:link w:val="SubheadnonumberingChar"/>
    <w:qFormat/>
    <w:rsid w:val="00BF78D5"/>
    <w:pPr>
      <w:numPr>
        <w:ilvl w:val="0"/>
        <w:numId w:val="0"/>
      </w:numPr>
      <w:ind w:left="720" w:hanging="720"/>
    </w:pPr>
    <w:rPr>
      <w:i/>
    </w:rPr>
  </w:style>
  <w:style w:type="character" w:customStyle="1" w:styleId="SubheadnonumberingChar">
    <w:name w:val="Subhead_nonumbering Char"/>
    <w:basedOn w:val="Heading3Char"/>
    <w:link w:val="Subheadnonumbering"/>
    <w:rsid w:val="00BF78D5"/>
    <w:rPr>
      <w:rFonts w:ascii="Arial" w:eastAsiaTheme="majorEastAsia" w:hAnsi="Arial" w:cstheme="majorBidi"/>
      <w:bCs/>
      <w:i/>
      <w:sz w:val="24"/>
    </w:rPr>
  </w:style>
  <w:style w:type="paragraph" w:customStyle="1" w:styleId="ThesisTitle">
    <w:name w:val="ThesisTitle"/>
    <w:basedOn w:val="Normal"/>
    <w:link w:val="ThesisTitleChar"/>
    <w:qFormat/>
    <w:rsid w:val="00BF78D5"/>
    <w:pPr>
      <w:tabs>
        <w:tab w:val="left" w:pos="0"/>
      </w:tabs>
      <w:spacing w:after="0" w:line="480" w:lineRule="auto"/>
      <w:jc w:val="center"/>
      <w:outlineLvl w:val="1"/>
    </w:pPr>
    <w:rPr>
      <w:rFonts w:ascii="Times New Roman" w:hAnsi="Times New Roman" w:cs="Times New Roman"/>
      <w:bCs/>
      <w:sz w:val="48"/>
      <w:szCs w:val="32"/>
    </w:rPr>
  </w:style>
  <w:style w:type="character" w:customStyle="1" w:styleId="ThesisTitleChar">
    <w:name w:val="ThesisTitle Char"/>
    <w:basedOn w:val="DefaultParagraphFont"/>
    <w:link w:val="ThesisTitle"/>
    <w:rsid w:val="00BF78D5"/>
    <w:rPr>
      <w:rFonts w:ascii="Times New Roman" w:hAnsi="Times New Roman" w:cs="Times New Roman"/>
      <w:bCs/>
      <w:sz w:val="48"/>
      <w:szCs w:val="32"/>
    </w:rPr>
  </w:style>
  <w:style w:type="paragraph" w:customStyle="1" w:styleId="Subheading">
    <w:name w:val="Subheading"/>
    <w:basedOn w:val="Normal"/>
    <w:next w:val="BodyText"/>
    <w:link w:val="SubheadingChar"/>
    <w:qFormat/>
    <w:rsid w:val="009D0364"/>
    <w:pPr>
      <w:autoSpaceDE w:val="0"/>
      <w:autoSpaceDN w:val="0"/>
      <w:adjustRightInd w:val="0"/>
      <w:spacing w:after="0" w:line="480" w:lineRule="auto"/>
    </w:pPr>
    <w:rPr>
      <w:rFonts w:ascii="Arial" w:hAnsi="Arial" w:cs="Arial"/>
      <w:i/>
      <w:sz w:val="24"/>
      <w:szCs w:val="24"/>
    </w:rPr>
  </w:style>
  <w:style w:type="character" w:customStyle="1" w:styleId="SubheadingChar">
    <w:name w:val="Subheading Char"/>
    <w:basedOn w:val="DefaultParagraphFont"/>
    <w:link w:val="Subheading"/>
    <w:rsid w:val="009D0364"/>
    <w:rPr>
      <w:rFonts w:ascii="Arial" w:hAnsi="Arial" w:cs="Arial"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0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B27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7672E9"/>
  </w:style>
  <w:style w:type="paragraph" w:styleId="Header">
    <w:name w:val="header"/>
    <w:basedOn w:val="Normal"/>
    <w:link w:val="HeaderChar"/>
    <w:uiPriority w:val="99"/>
    <w:unhideWhenUsed/>
    <w:rsid w:val="00496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237"/>
  </w:style>
  <w:style w:type="paragraph" w:styleId="Footer">
    <w:name w:val="footer"/>
    <w:basedOn w:val="Normal"/>
    <w:link w:val="FooterChar"/>
    <w:uiPriority w:val="99"/>
    <w:unhideWhenUsed/>
    <w:rsid w:val="00496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237"/>
  </w:style>
  <w:style w:type="paragraph" w:styleId="NoSpacing">
    <w:name w:val="No Spacing"/>
    <w:uiPriority w:val="1"/>
    <w:qFormat/>
    <w:rsid w:val="00B80E03"/>
    <w:pPr>
      <w:spacing w:after="0" w:line="240" w:lineRule="auto"/>
    </w:pPr>
  </w:style>
  <w:style w:type="table" w:styleId="TableGrid">
    <w:name w:val="Table Grid"/>
    <w:basedOn w:val="TableNormal"/>
    <w:uiPriority w:val="59"/>
    <w:rsid w:val="00B80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B80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0E0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Binks</dc:creator>
  <cp:lastModifiedBy>Lisa McHugh</cp:lastModifiedBy>
  <cp:revision>24</cp:revision>
  <dcterms:created xsi:type="dcterms:W3CDTF">2018-05-04T04:54:00Z</dcterms:created>
  <dcterms:modified xsi:type="dcterms:W3CDTF">2018-10-24T03:39:00Z</dcterms:modified>
</cp:coreProperties>
</file>