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AB00" w14:textId="52321A4B" w:rsidR="00B80E03" w:rsidRDefault="00BE2337" w:rsidP="00B80E03">
      <w:pPr>
        <w:pStyle w:val="Commen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Supplementary t</w:t>
      </w:r>
      <w:bookmarkStart w:id="0" w:name="_GoBack"/>
      <w:bookmarkEnd w:id="0"/>
      <w:r w:rsidR="00B80E03" w:rsidRPr="00B02478">
        <w:rPr>
          <w:rFonts w:ascii="Arial" w:hAnsi="Arial" w:cs="Arial"/>
          <w:b/>
          <w:sz w:val="22"/>
          <w:szCs w:val="22"/>
        </w:rPr>
        <w:t xml:space="preserve">able </w:t>
      </w:r>
      <w:r w:rsidR="005346A6">
        <w:rPr>
          <w:rFonts w:ascii="Arial" w:hAnsi="Arial" w:cs="Arial"/>
          <w:b/>
          <w:sz w:val="22"/>
          <w:szCs w:val="22"/>
        </w:rPr>
        <w:t>2</w:t>
      </w:r>
      <w:r w:rsidR="00B80E03" w:rsidRPr="00B02478">
        <w:rPr>
          <w:rFonts w:ascii="Arial" w:hAnsi="Arial" w:cs="Arial"/>
          <w:b/>
          <w:sz w:val="22"/>
          <w:szCs w:val="22"/>
        </w:rPr>
        <w:t xml:space="preserve">: </w:t>
      </w:r>
      <w:r w:rsidR="005346A6" w:rsidRPr="005346A6">
        <w:rPr>
          <w:rFonts w:ascii="Arial" w:hAnsi="Arial" w:cs="Arial"/>
          <w:bCs/>
          <w:sz w:val="22"/>
          <w:szCs w:val="22"/>
        </w:rPr>
        <w:t xml:space="preserve">Maternal and infant birth outcomes in Northern Territory women, by Indigenous status and remoteness, Australia (1994-2014). </w:t>
      </w:r>
      <w:r w:rsidR="00B80E03" w:rsidRPr="00B0247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38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2408"/>
        <w:gridCol w:w="2978"/>
        <w:gridCol w:w="2694"/>
      </w:tblGrid>
      <w:tr w:rsidR="005346A6" w:rsidRPr="00A87308" w14:paraId="5335A393" w14:textId="77777777" w:rsidTr="005346A6">
        <w:trPr>
          <w:trHeight w:val="138"/>
        </w:trPr>
        <w:tc>
          <w:tcPr>
            <w:tcW w:w="1638" w:type="pct"/>
            <w:tcBorders>
              <w:top w:val="single" w:sz="4" w:space="0" w:color="auto"/>
              <w:bottom w:val="single" w:sz="4" w:space="0" w:color="auto"/>
            </w:tcBorders>
          </w:tcPr>
          <w:p w14:paraId="3E37963D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Characteristics N (%)</w:t>
            </w:r>
          </w:p>
          <w:p w14:paraId="758B80DE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03DBB545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Outer regional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14:paraId="1EC5CBD8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Remote</w:t>
            </w: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</w:tcPr>
          <w:p w14:paraId="2529E4A7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Very Remote</w:t>
            </w:r>
          </w:p>
        </w:tc>
      </w:tr>
      <w:tr w:rsidR="005346A6" w:rsidRPr="00A87308" w14:paraId="1EB87881" w14:textId="77777777" w:rsidTr="005346A6">
        <w:trPr>
          <w:trHeight w:val="138"/>
        </w:trPr>
        <w:tc>
          <w:tcPr>
            <w:tcW w:w="1638" w:type="pct"/>
            <w:tcBorders>
              <w:top w:val="single" w:sz="4" w:space="0" w:color="auto"/>
              <w:bottom w:val="single" w:sz="4" w:space="0" w:color="auto"/>
            </w:tcBorders>
          </w:tcPr>
          <w:p w14:paraId="4BD10E20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B41F8">
              <w:rPr>
                <w:rFonts w:ascii="Arial" w:hAnsi="Arial" w:cs="Arial"/>
                <w:b/>
                <w:sz w:val="20"/>
                <w:szCs w:val="20"/>
              </w:rPr>
              <w:t>Aboriginal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(N= 27 420)</w:t>
            </w:r>
          </w:p>
        </w:tc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2E17C5A8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n=7162 (26%)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14:paraId="61068450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n=9888 (36%)</w:t>
            </w: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</w:tcPr>
          <w:p w14:paraId="520ED970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n=10 370 (38%)</w:t>
            </w:r>
          </w:p>
        </w:tc>
      </w:tr>
      <w:tr w:rsidR="005346A6" w:rsidRPr="00A87308" w14:paraId="77DD26C4" w14:textId="77777777" w:rsidTr="005346A6">
        <w:trPr>
          <w:trHeight w:val="138"/>
        </w:trPr>
        <w:tc>
          <w:tcPr>
            <w:tcW w:w="1638" w:type="pct"/>
            <w:tcBorders>
              <w:top w:val="single" w:sz="4" w:space="0" w:color="auto"/>
            </w:tcBorders>
          </w:tcPr>
          <w:p w14:paraId="25F3A609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Median gestation in weeks (range)</w:t>
            </w:r>
          </w:p>
        </w:tc>
        <w:tc>
          <w:tcPr>
            <w:tcW w:w="1002" w:type="pct"/>
            <w:tcBorders>
              <w:top w:val="single" w:sz="4" w:space="0" w:color="auto"/>
            </w:tcBorders>
          </w:tcPr>
          <w:p w14:paraId="0F357174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39 (20-43)</w:t>
            </w:r>
          </w:p>
        </w:tc>
        <w:tc>
          <w:tcPr>
            <w:tcW w:w="1239" w:type="pct"/>
            <w:tcBorders>
              <w:top w:val="single" w:sz="4" w:space="0" w:color="auto"/>
            </w:tcBorders>
          </w:tcPr>
          <w:p w14:paraId="104E1BE0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39 (20-43)</w:t>
            </w:r>
          </w:p>
        </w:tc>
        <w:tc>
          <w:tcPr>
            <w:tcW w:w="1121" w:type="pct"/>
            <w:tcBorders>
              <w:top w:val="single" w:sz="4" w:space="0" w:color="auto"/>
            </w:tcBorders>
          </w:tcPr>
          <w:p w14:paraId="1F9024B6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39 (20-43)</w:t>
            </w:r>
          </w:p>
        </w:tc>
      </w:tr>
      <w:tr w:rsidR="005346A6" w:rsidRPr="00A87308" w14:paraId="7B66E573" w14:textId="77777777" w:rsidTr="005346A6">
        <w:trPr>
          <w:trHeight w:val="502"/>
        </w:trPr>
        <w:tc>
          <w:tcPr>
            <w:tcW w:w="1638" w:type="pct"/>
          </w:tcPr>
          <w:p w14:paraId="7A25266F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Mean birthweight in grams (range)</w:t>
            </w:r>
          </w:p>
        </w:tc>
        <w:tc>
          <w:tcPr>
            <w:tcW w:w="1002" w:type="pct"/>
          </w:tcPr>
          <w:p w14:paraId="7E406CA0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3211 (400-5834)</w:t>
            </w:r>
          </w:p>
        </w:tc>
        <w:tc>
          <w:tcPr>
            <w:tcW w:w="1239" w:type="pct"/>
          </w:tcPr>
          <w:p w14:paraId="08944385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3058 (400-5490)</w:t>
            </w:r>
          </w:p>
        </w:tc>
        <w:tc>
          <w:tcPr>
            <w:tcW w:w="1121" w:type="pct"/>
          </w:tcPr>
          <w:p w14:paraId="3AEEEF80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3064 (400-5660)</w:t>
            </w:r>
          </w:p>
        </w:tc>
      </w:tr>
      <w:tr w:rsidR="005346A6" w:rsidRPr="00A87308" w14:paraId="02048120" w14:textId="77777777" w:rsidTr="005346A6">
        <w:trPr>
          <w:trHeight w:val="516"/>
        </w:trPr>
        <w:tc>
          <w:tcPr>
            <w:tcW w:w="1638" w:type="pct"/>
          </w:tcPr>
          <w:p w14:paraId="357D78D2" w14:textId="77777777" w:rsidR="005346A6" w:rsidRPr="00A87308" w:rsidRDefault="005346A6" w:rsidP="00624B96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308">
              <w:rPr>
                <w:rFonts w:ascii="Arial" w:eastAsia="Times New Roman" w:hAnsi="Arial" w:cs="Arial"/>
                <w:sz w:val="20"/>
                <w:szCs w:val="20"/>
              </w:rPr>
              <w:t>Preterm birth (&lt;37 completed weeks)</w:t>
            </w:r>
            <w:r w:rsidRPr="00A8730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2" w:type="pct"/>
          </w:tcPr>
          <w:p w14:paraId="2990D680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919 (13%)</w:t>
            </w:r>
          </w:p>
        </w:tc>
        <w:tc>
          <w:tcPr>
            <w:tcW w:w="1239" w:type="pct"/>
          </w:tcPr>
          <w:p w14:paraId="3481A78B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1594 (16%)</w:t>
            </w:r>
          </w:p>
        </w:tc>
        <w:tc>
          <w:tcPr>
            <w:tcW w:w="1121" w:type="pct"/>
          </w:tcPr>
          <w:p w14:paraId="6D055E6E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1641 (16%)</w:t>
            </w:r>
          </w:p>
        </w:tc>
      </w:tr>
      <w:tr w:rsidR="005346A6" w:rsidRPr="00A87308" w14:paraId="11ED66BA" w14:textId="77777777" w:rsidTr="005346A6">
        <w:trPr>
          <w:trHeight w:val="502"/>
        </w:trPr>
        <w:tc>
          <w:tcPr>
            <w:tcW w:w="1638" w:type="pct"/>
          </w:tcPr>
          <w:p w14:paraId="01DA501E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 xml:space="preserve">Low birthweight at term* </w:t>
            </w:r>
          </w:p>
        </w:tc>
        <w:tc>
          <w:tcPr>
            <w:tcW w:w="1002" w:type="pct"/>
          </w:tcPr>
          <w:p w14:paraId="2F4037D0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241 (4%)</w:t>
            </w:r>
          </w:p>
        </w:tc>
        <w:tc>
          <w:tcPr>
            <w:tcW w:w="1239" w:type="pct"/>
          </w:tcPr>
          <w:p w14:paraId="4DA9F7C8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521 (6%)</w:t>
            </w:r>
          </w:p>
        </w:tc>
        <w:tc>
          <w:tcPr>
            <w:tcW w:w="1121" w:type="pct"/>
          </w:tcPr>
          <w:p w14:paraId="0C9381F6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487 (6%)</w:t>
            </w:r>
          </w:p>
        </w:tc>
      </w:tr>
      <w:tr w:rsidR="005346A6" w:rsidRPr="00A87308" w14:paraId="75B551BB" w14:textId="77777777" w:rsidTr="005346A6">
        <w:trPr>
          <w:trHeight w:val="516"/>
        </w:trPr>
        <w:tc>
          <w:tcPr>
            <w:tcW w:w="1638" w:type="pct"/>
          </w:tcPr>
          <w:p w14:paraId="5B8AB56D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Small for gestational age</w:t>
            </w:r>
            <w:r w:rsidRPr="00A87308">
              <w:rPr>
                <w:rFonts w:ascii="Arial" w:hAnsi="Arial" w:cs="Arial"/>
                <w:sz w:val="20"/>
                <w:szCs w:val="20"/>
                <w:vertAlign w:val="superscript"/>
                <w:lang w:eastAsia="en-AU"/>
              </w:rPr>
              <w:t>†</w:t>
            </w:r>
            <w:r w:rsidRPr="00A873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2" w:type="pct"/>
          </w:tcPr>
          <w:p w14:paraId="735EF7DA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1098 (15%)</w:t>
            </w:r>
          </w:p>
        </w:tc>
        <w:tc>
          <w:tcPr>
            <w:tcW w:w="1239" w:type="pct"/>
          </w:tcPr>
          <w:p w14:paraId="1D575D8F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1987 (20%)</w:t>
            </w:r>
          </w:p>
        </w:tc>
        <w:tc>
          <w:tcPr>
            <w:tcW w:w="1121" w:type="pct"/>
          </w:tcPr>
          <w:p w14:paraId="3BACF810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2034 (20%)</w:t>
            </w:r>
          </w:p>
        </w:tc>
      </w:tr>
      <w:tr w:rsidR="005346A6" w:rsidRPr="00A87308" w14:paraId="28DC6935" w14:textId="77777777" w:rsidTr="005346A6">
        <w:trPr>
          <w:trHeight w:val="516"/>
        </w:trPr>
        <w:tc>
          <w:tcPr>
            <w:tcW w:w="1638" w:type="pct"/>
          </w:tcPr>
          <w:p w14:paraId="480D5D8E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Stillbirths</w:t>
            </w:r>
          </w:p>
        </w:tc>
        <w:tc>
          <w:tcPr>
            <w:tcW w:w="1002" w:type="pct"/>
          </w:tcPr>
          <w:p w14:paraId="43CAFCB5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98 (1.37%)</w:t>
            </w:r>
          </w:p>
        </w:tc>
        <w:tc>
          <w:tcPr>
            <w:tcW w:w="1239" w:type="pct"/>
          </w:tcPr>
          <w:p w14:paraId="5D4D89B6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112 (1.13%)</w:t>
            </w:r>
          </w:p>
        </w:tc>
        <w:tc>
          <w:tcPr>
            <w:tcW w:w="1121" w:type="pct"/>
          </w:tcPr>
          <w:p w14:paraId="02A902C8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166 (1.60%)</w:t>
            </w:r>
          </w:p>
        </w:tc>
      </w:tr>
      <w:tr w:rsidR="005346A6" w:rsidRPr="00A87308" w14:paraId="26685FE5" w14:textId="77777777" w:rsidTr="005346A6">
        <w:trPr>
          <w:trHeight w:val="138"/>
        </w:trPr>
        <w:tc>
          <w:tcPr>
            <w:tcW w:w="1638" w:type="pct"/>
            <w:tcBorders>
              <w:top w:val="single" w:sz="4" w:space="0" w:color="auto"/>
              <w:bottom w:val="single" w:sz="4" w:space="0" w:color="auto"/>
            </w:tcBorders>
          </w:tcPr>
          <w:p w14:paraId="2ABCD2BA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 w:rsidRPr="007A56D4">
              <w:rPr>
                <w:rFonts w:ascii="Arial" w:hAnsi="Arial" w:cs="Arial"/>
                <w:b/>
                <w:sz w:val="20"/>
                <w:szCs w:val="20"/>
              </w:rPr>
              <w:t>Aboriginal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(N=49 108)</w:t>
            </w:r>
          </w:p>
        </w:tc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28ECE417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n=41,214 (84%)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14:paraId="22F71AE0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n=5143 (10%)</w:t>
            </w: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</w:tcPr>
          <w:p w14:paraId="7CCED904" w14:textId="77777777" w:rsidR="005346A6" w:rsidRPr="00A87308" w:rsidRDefault="005346A6" w:rsidP="00624B96">
            <w:pPr>
              <w:pStyle w:val="NoSpacing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87308">
              <w:rPr>
                <w:rFonts w:ascii="Arial" w:hAnsi="Arial" w:cs="Arial"/>
                <w:b/>
                <w:sz w:val="20"/>
                <w:szCs w:val="20"/>
              </w:rPr>
              <w:t>n=2751 (6%)</w:t>
            </w:r>
          </w:p>
        </w:tc>
      </w:tr>
      <w:tr w:rsidR="005346A6" w:rsidRPr="00A87308" w14:paraId="520DF8B4" w14:textId="77777777" w:rsidTr="005346A6">
        <w:trPr>
          <w:trHeight w:val="138"/>
        </w:trPr>
        <w:tc>
          <w:tcPr>
            <w:tcW w:w="1638" w:type="pct"/>
            <w:tcBorders>
              <w:top w:val="single" w:sz="4" w:space="0" w:color="auto"/>
            </w:tcBorders>
          </w:tcPr>
          <w:p w14:paraId="0D33AE55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Median gestation in weeks (range)</w:t>
            </w:r>
          </w:p>
        </w:tc>
        <w:tc>
          <w:tcPr>
            <w:tcW w:w="1002" w:type="pct"/>
            <w:tcBorders>
              <w:top w:val="single" w:sz="4" w:space="0" w:color="auto"/>
            </w:tcBorders>
          </w:tcPr>
          <w:p w14:paraId="12B3BA10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39 (20-43)</w:t>
            </w:r>
          </w:p>
        </w:tc>
        <w:tc>
          <w:tcPr>
            <w:tcW w:w="1239" w:type="pct"/>
            <w:tcBorders>
              <w:top w:val="single" w:sz="4" w:space="0" w:color="auto"/>
            </w:tcBorders>
          </w:tcPr>
          <w:p w14:paraId="13F5C0B9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40 (20-42)</w:t>
            </w:r>
          </w:p>
        </w:tc>
        <w:tc>
          <w:tcPr>
            <w:tcW w:w="1121" w:type="pct"/>
            <w:tcBorders>
              <w:top w:val="single" w:sz="4" w:space="0" w:color="auto"/>
            </w:tcBorders>
          </w:tcPr>
          <w:p w14:paraId="55EF2291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40 (21-42)</w:t>
            </w:r>
          </w:p>
        </w:tc>
      </w:tr>
      <w:tr w:rsidR="005346A6" w:rsidRPr="00A87308" w14:paraId="15BCAA61" w14:textId="77777777" w:rsidTr="005346A6">
        <w:trPr>
          <w:trHeight w:val="502"/>
        </w:trPr>
        <w:tc>
          <w:tcPr>
            <w:tcW w:w="1638" w:type="pct"/>
          </w:tcPr>
          <w:p w14:paraId="7D0AFE09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Mean birthweight in grams (range)</w:t>
            </w:r>
          </w:p>
        </w:tc>
        <w:tc>
          <w:tcPr>
            <w:tcW w:w="1002" w:type="pct"/>
          </w:tcPr>
          <w:p w14:paraId="29C087A5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3354 (400-5980)</w:t>
            </w:r>
          </w:p>
        </w:tc>
        <w:tc>
          <w:tcPr>
            <w:tcW w:w="1239" w:type="pct"/>
          </w:tcPr>
          <w:p w14:paraId="5A209FD4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3344 (420-5330)</w:t>
            </w:r>
          </w:p>
        </w:tc>
        <w:tc>
          <w:tcPr>
            <w:tcW w:w="1121" w:type="pct"/>
          </w:tcPr>
          <w:p w14:paraId="30A06E85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3420 (400-5040)</w:t>
            </w:r>
          </w:p>
        </w:tc>
      </w:tr>
      <w:tr w:rsidR="005346A6" w:rsidRPr="00A87308" w14:paraId="59EAD92E" w14:textId="77777777" w:rsidTr="005346A6">
        <w:trPr>
          <w:trHeight w:val="516"/>
        </w:trPr>
        <w:tc>
          <w:tcPr>
            <w:tcW w:w="1638" w:type="pct"/>
          </w:tcPr>
          <w:p w14:paraId="01E0F859" w14:textId="77777777" w:rsidR="005346A6" w:rsidRPr="00A87308" w:rsidRDefault="005346A6" w:rsidP="00624B96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308">
              <w:rPr>
                <w:rFonts w:ascii="Arial" w:eastAsia="Times New Roman" w:hAnsi="Arial" w:cs="Arial"/>
                <w:sz w:val="20"/>
                <w:szCs w:val="20"/>
              </w:rPr>
              <w:t>Preterm birth (&lt;37 completed weeks)</w:t>
            </w:r>
            <w:r w:rsidRPr="00A8730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2" w:type="pct"/>
          </w:tcPr>
          <w:p w14:paraId="2EA42F25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3148 (8%)</w:t>
            </w:r>
          </w:p>
        </w:tc>
        <w:tc>
          <w:tcPr>
            <w:tcW w:w="1239" w:type="pct"/>
          </w:tcPr>
          <w:p w14:paraId="6BB17CDA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396 (8%)</w:t>
            </w:r>
          </w:p>
        </w:tc>
        <w:tc>
          <w:tcPr>
            <w:tcW w:w="1121" w:type="pct"/>
          </w:tcPr>
          <w:p w14:paraId="130FA2F2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196 (7%)</w:t>
            </w:r>
          </w:p>
        </w:tc>
      </w:tr>
      <w:tr w:rsidR="005346A6" w:rsidRPr="00A87308" w14:paraId="2D086CDB" w14:textId="77777777" w:rsidTr="005346A6">
        <w:trPr>
          <w:trHeight w:val="502"/>
        </w:trPr>
        <w:tc>
          <w:tcPr>
            <w:tcW w:w="1638" w:type="pct"/>
          </w:tcPr>
          <w:p w14:paraId="219AAD8D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 xml:space="preserve">Low birthweight at term* </w:t>
            </w:r>
          </w:p>
        </w:tc>
        <w:tc>
          <w:tcPr>
            <w:tcW w:w="1002" w:type="pct"/>
          </w:tcPr>
          <w:p w14:paraId="4600CD05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711 (2%)</w:t>
            </w:r>
          </w:p>
        </w:tc>
        <w:tc>
          <w:tcPr>
            <w:tcW w:w="1239" w:type="pct"/>
          </w:tcPr>
          <w:p w14:paraId="27C607A5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96 (2%)</w:t>
            </w:r>
          </w:p>
        </w:tc>
        <w:tc>
          <w:tcPr>
            <w:tcW w:w="1121" w:type="pct"/>
          </w:tcPr>
          <w:p w14:paraId="731FFBB6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30 (1%)</w:t>
            </w:r>
          </w:p>
        </w:tc>
      </w:tr>
      <w:tr w:rsidR="005346A6" w:rsidRPr="00A87308" w14:paraId="6C32F03A" w14:textId="77777777" w:rsidTr="005346A6">
        <w:trPr>
          <w:trHeight w:val="516"/>
        </w:trPr>
        <w:tc>
          <w:tcPr>
            <w:tcW w:w="1638" w:type="pct"/>
          </w:tcPr>
          <w:p w14:paraId="3744CB3A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Small for gestational age</w:t>
            </w:r>
            <w:r w:rsidRPr="00A87308">
              <w:rPr>
                <w:rFonts w:ascii="Arial" w:hAnsi="Arial" w:cs="Arial"/>
                <w:sz w:val="20"/>
                <w:szCs w:val="20"/>
                <w:vertAlign w:val="superscript"/>
                <w:lang w:eastAsia="en-AU"/>
              </w:rPr>
              <w:t>†</w:t>
            </w:r>
            <w:r w:rsidRPr="00A873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2" w:type="pct"/>
          </w:tcPr>
          <w:p w14:paraId="6535365A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4597 (11%)</w:t>
            </w:r>
          </w:p>
        </w:tc>
        <w:tc>
          <w:tcPr>
            <w:tcW w:w="1239" w:type="pct"/>
          </w:tcPr>
          <w:p w14:paraId="45730312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598 (12%)</w:t>
            </w:r>
          </w:p>
        </w:tc>
        <w:tc>
          <w:tcPr>
            <w:tcW w:w="1121" w:type="pct"/>
          </w:tcPr>
          <w:p w14:paraId="6849A45A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252 (9%)</w:t>
            </w:r>
          </w:p>
        </w:tc>
      </w:tr>
      <w:tr w:rsidR="005346A6" w:rsidRPr="00A87308" w14:paraId="1214992D" w14:textId="77777777" w:rsidTr="005346A6">
        <w:trPr>
          <w:trHeight w:val="516"/>
        </w:trPr>
        <w:tc>
          <w:tcPr>
            <w:tcW w:w="1638" w:type="pct"/>
            <w:tcBorders>
              <w:bottom w:val="single" w:sz="4" w:space="0" w:color="auto"/>
            </w:tcBorders>
          </w:tcPr>
          <w:p w14:paraId="7936D19C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Stillbirths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14:paraId="47144748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268 (0.65%)</w:t>
            </w: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14:paraId="6FFF6780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31 (0.60%)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14:paraId="34328B3E" w14:textId="77777777" w:rsidR="005346A6" w:rsidRPr="00A87308" w:rsidRDefault="005346A6" w:rsidP="00624B9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7308">
              <w:rPr>
                <w:rFonts w:ascii="Arial" w:hAnsi="Arial" w:cs="Arial"/>
                <w:sz w:val="20"/>
                <w:szCs w:val="20"/>
              </w:rPr>
              <w:t>15 (0.55%)</w:t>
            </w:r>
          </w:p>
        </w:tc>
      </w:tr>
    </w:tbl>
    <w:p w14:paraId="6A8A82A8" w14:textId="77777777" w:rsidR="00B80E03" w:rsidRPr="00A87308" w:rsidRDefault="00B80E03" w:rsidP="00B80E03">
      <w:pPr>
        <w:spacing w:line="240" w:lineRule="auto"/>
        <w:rPr>
          <w:rFonts w:ascii="Arial" w:hAnsi="Arial" w:cs="Arial"/>
          <w:sz w:val="20"/>
          <w:szCs w:val="20"/>
        </w:rPr>
      </w:pPr>
      <w:r w:rsidRPr="00A87308">
        <w:rPr>
          <w:rFonts w:ascii="Arial" w:hAnsi="Arial" w:cs="Arial"/>
          <w:b/>
          <w:sz w:val="20"/>
          <w:szCs w:val="20"/>
        </w:rPr>
        <w:t xml:space="preserve">Note: </w:t>
      </w:r>
      <w:r w:rsidRPr="00A87308">
        <w:rPr>
          <w:rFonts w:ascii="Arial" w:hAnsi="Arial" w:cs="Arial"/>
          <w:sz w:val="20"/>
          <w:szCs w:val="20"/>
        </w:rPr>
        <w:t xml:space="preserve">denominators differ due to missing data. </w:t>
      </w:r>
    </w:p>
    <w:p w14:paraId="6BF9F168" w14:textId="1B3844EE" w:rsidR="00983C59" w:rsidRPr="002F4CC6" w:rsidRDefault="00983C59" w:rsidP="00983C59">
      <w:pPr>
        <w:spacing w:line="240" w:lineRule="auto"/>
      </w:pPr>
    </w:p>
    <w:p w14:paraId="5FDC1B04" w14:textId="0329BB3A" w:rsidR="007672E9" w:rsidRPr="00983C59" w:rsidRDefault="007672E9" w:rsidP="00983C59"/>
    <w:sectPr w:rsidR="007672E9" w:rsidRPr="00983C59" w:rsidSect="00B80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FDBF" w14:textId="77777777" w:rsidR="00C06476" w:rsidRDefault="00C06476" w:rsidP="00496237">
      <w:pPr>
        <w:spacing w:after="0" w:line="240" w:lineRule="auto"/>
      </w:pPr>
      <w:r>
        <w:separator/>
      </w:r>
    </w:p>
  </w:endnote>
  <w:endnote w:type="continuationSeparator" w:id="0">
    <w:p w14:paraId="5DA71AAC" w14:textId="77777777" w:rsidR="00C06476" w:rsidRDefault="00C06476" w:rsidP="0049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1AAC" w14:textId="77777777" w:rsidR="00C06476" w:rsidRDefault="00C06476" w:rsidP="00496237">
      <w:pPr>
        <w:spacing w:after="0" w:line="240" w:lineRule="auto"/>
      </w:pPr>
      <w:r>
        <w:separator/>
      </w:r>
    </w:p>
  </w:footnote>
  <w:footnote w:type="continuationSeparator" w:id="0">
    <w:p w14:paraId="32716B61" w14:textId="77777777" w:rsidR="00C06476" w:rsidRDefault="00C06476" w:rsidP="0049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B8D"/>
    <w:multiLevelType w:val="multilevel"/>
    <w:tmpl w:val="8B00EDE4"/>
    <w:lvl w:ilvl="0">
      <w:start w:val="2"/>
      <w:numFmt w:val="decimal"/>
      <w:pStyle w:val="Heading1"/>
      <w:suff w:val="space"/>
      <w:lvlText w:val="Chapter %1: "/>
      <w:lvlJc w:val="left"/>
      <w:pPr>
        <w:ind w:left="57" w:hanging="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78"/>
    <w:rsid w:val="00005F16"/>
    <w:rsid w:val="00170E3C"/>
    <w:rsid w:val="001A1592"/>
    <w:rsid w:val="00215E6C"/>
    <w:rsid w:val="002527DD"/>
    <w:rsid w:val="0035497F"/>
    <w:rsid w:val="00362CD8"/>
    <w:rsid w:val="003F0D66"/>
    <w:rsid w:val="00444D95"/>
    <w:rsid w:val="00451C13"/>
    <w:rsid w:val="00496237"/>
    <w:rsid w:val="004A70B7"/>
    <w:rsid w:val="00521DEF"/>
    <w:rsid w:val="005346A6"/>
    <w:rsid w:val="0058022F"/>
    <w:rsid w:val="00617D16"/>
    <w:rsid w:val="006327FB"/>
    <w:rsid w:val="00670646"/>
    <w:rsid w:val="00696128"/>
    <w:rsid w:val="0075192B"/>
    <w:rsid w:val="007672E9"/>
    <w:rsid w:val="007A62CD"/>
    <w:rsid w:val="00835E45"/>
    <w:rsid w:val="008626AA"/>
    <w:rsid w:val="008B4628"/>
    <w:rsid w:val="00983C59"/>
    <w:rsid w:val="009D0364"/>
    <w:rsid w:val="00A421D6"/>
    <w:rsid w:val="00A52960"/>
    <w:rsid w:val="00A574EA"/>
    <w:rsid w:val="00AB275B"/>
    <w:rsid w:val="00B419E6"/>
    <w:rsid w:val="00B56E7E"/>
    <w:rsid w:val="00B5724E"/>
    <w:rsid w:val="00B630F5"/>
    <w:rsid w:val="00B80E03"/>
    <w:rsid w:val="00B82078"/>
    <w:rsid w:val="00BE2337"/>
    <w:rsid w:val="00BF78D5"/>
    <w:rsid w:val="00C06476"/>
    <w:rsid w:val="00C563AC"/>
    <w:rsid w:val="00C5721B"/>
    <w:rsid w:val="00CA5BC4"/>
    <w:rsid w:val="00CC50A7"/>
    <w:rsid w:val="00D06884"/>
    <w:rsid w:val="00D33F8A"/>
    <w:rsid w:val="00DE0808"/>
    <w:rsid w:val="00DE6091"/>
    <w:rsid w:val="00EC4E19"/>
    <w:rsid w:val="00E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684C"/>
  <w15:docId w15:val="{2E632CB0-9BD1-4F96-B43F-D5C04F3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2078"/>
  </w:style>
  <w:style w:type="paragraph" w:styleId="Heading1">
    <w:name w:val="heading 1"/>
    <w:basedOn w:val="Normal"/>
    <w:next w:val="BodyText"/>
    <w:link w:val="Heading1Char"/>
    <w:uiPriority w:val="9"/>
    <w:qFormat/>
    <w:rsid w:val="009D0364"/>
    <w:pPr>
      <w:keepNext/>
      <w:keepLines/>
      <w:numPr>
        <w:numId w:val="27"/>
      </w:numPr>
      <w:spacing w:after="0" w:line="480" w:lineRule="auto"/>
      <w:outlineLvl w:val="0"/>
    </w:pPr>
    <w:rPr>
      <w:rFonts w:ascii="Arial" w:eastAsiaTheme="majorEastAsia" w:hAnsi="Arial" w:cs="Times-Roman"/>
      <w:b/>
      <w:bCs/>
      <w:sz w:val="28"/>
      <w:szCs w:val="2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D0364"/>
    <w:pPr>
      <w:keepNext/>
      <w:keepLines/>
      <w:numPr>
        <w:ilvl w:val="1"/>
        <w:numId w:val="27"/>
      </w:numPr>
      <w:spacing w:after="0" w:line="480" w:lineRule="auto"/>
      <w:outlineLvl w:val="1"/>
    </w:pPr>
    <w:rPr>
      <w:rFonts w:ascii="Arial" w:eastAsiaTheme="majorEastAsia" w:hAnsi="Arial" w:cs="Times-Roman"/>
      <w:b/>
      <w:bCs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D0364"/>
    <w:pPr>
      <w:keepNext/>
      <w:keepLines/>
      <w:numPr>
        <w:ilvl w:val="2"/>
        <w:numId w:val="27"/>
      </w:numPr>
      <w:spacing w:after="0" w:line="480" w:lineRule="auto"/>
      <w:outlineLvl w:val="2"/>
    </w:pPr>
    <w:rPr>
      <w:rFonts w:ascii="Arial" w:eastAsiaTheme="majorEastAsia" w:hAnsi="Arial" w:cstheme="majorBidi"/>
      <w:bCs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9D0364"/>
    <w:pPr>
      <w:numPr>
        <w:ilvl w:val="3"/>
      </w:numPr>
      <w:jc w:val="both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rsid w:val="009D0364"/>
    <w:pPr>
      <w:keepNext/>
      <w:keepLines/>
      <w:numPr>
        <w:ilvl w:val="4"/>
        <w:numId w:val="27"/>
      </w:numPr>
      <w:autoSpaceDE w:val="0"/>
      <w:autoSpaceDN w:val="0"/>
      <w:adjustRightInd w:val="0"/>
      <w:spacing w:before="200" w:after="0" w:line="480" w:lineRule="auto"/>
      <w:outlineLvl w:val="4"/>
    </w:pPr>
    <w:rPr>
      <w:rFonts w:ascii="Arial" w:hAnsi="Arial" w:cs="Times-Roman"/>
      <w:i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Heading1"/>
    <w:next w:val="BodyText"/>
    <w:link w:val="Heading0Char"/>
    <w:qFormat/>
    <w:rsid w:val="009D0364"/>
    <w:pPr>
      <w:numPr>
        <w:numId w:val="0"/>
      </w:numPr>
    </w:pPr>
    <w:rPr>
      <w:rFonts w:cs="Times New Roman"/>
      <w:sz w:val="32"/>
    </w:rPr>
  </w:style>
  <w:style w:type="character" w:customStyle="1" w:styleId="Heading0Char">
    <w:name w:val="Heading 0 Char"/>
    <w:basedOn w:val="DefaultParagraphFont"/>
    <w:link w:val="Heading0"/>
    <w:rsid w:val="009D0364"/>
    <w:rPr>
      <w:rFonts w:ascii="Arial" w:eastAsiaTheme="majorEastAsia" w:hAnsi="Arial" w:cs="Times New Roman"/>
      <w:b/>
      <w:bCs/>
      <w:sz w:val="32"/>
      <w:szCs w:val="24"/>
    </w:rPr>
  </w:style>
  <w:style w:type="paragraph" w:customStyle="1" w:styleId="BodyText">
    <w:name w:val="BodyText"/>
    <w:basedOn w:val="Normal"/>
    <w:link w:val="BodyTextChar"/>
    <w:qFormat/>
    <w:rsid w:val="009D0364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">
    <w:name w:val="BodyText Char"/>
    <w:basedOn w:val="DefaultParagraphFont"/>
    <w:link w:val="BodyText"/>
    <w:rsid w:val="009D0364"/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D0364"/>
    <w:rPr>
      <w:rFonts w:ascii="Arial" w:eastAsiaTheme="majorEastAsia" w:hAnsi="Arial" w:cs="Times-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D0364"/>
    <w:rPr>
      <w:rFonts w:ascii="Arial" w:eastAsiaTheme="majorEastAsia" w:hAnsi="Arial" w:cs="Times-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9D0364"/>
    <w:rPr>
      <w:rFonts w:ascii="Arial" w:eastAsiaTheme="majorEastAsia" w:hAnsi="Arial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D0364"/>
    <w:rPr>
      <w:rFonts w:ascii="Arial" w:eastAsiaTheme="majorEastAsia" w:hAnsi="Arial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D0364"/>
    <w:rPr>
      <w:rFonts w:ascii="Arial" w:hAnsi="Arial" w:cs="Times-Roman"/>
      <w:i/>
      <w:szCs w:val="2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D0364"/>
    <w:pPr>
      <w:spacing w:after="0" w:line="240" w:lineRule="auto"/>
    </w:pPr>
    <w:rPr>
      <w:rFonts w:ascii="Arial" w:hAnsi="Arial"/>
      <w:b/>
      <w:bCs/>
      <w:sz w:val="24"/>
      <w:szCs w:val="18"/>
      <w:lang w:eastAsia="en-AU"/>
    </w:rPr>
  </w:style>
  <w:style w:type="paragraph" w:customStyle="1" w:styleId="Subheadnonumbering">
    <w:name w:val="Subhead_nonumbering"/>
    <w:basedOn w:val="Heading3"/>
    <w:link w:val="SubheadnonumberingChar"/>
    <w:qFormat/>
    <w:rsid w:val="00BF78D5"/>
    <w:pPr>
      <w:numPr>
        <w:ilvl w:val="0"/>
        <w:numId w:val="0"/>
      </w:numPr>
      <w:ind w:left="720" w:hanging="720"/>
    </w:pPr>
    <w:rPr>
      <w:i/>
    </w:rPr>
  </w:style>
  <w:style w:type="character" w:customStyle="1" w:styleId="SubheadnonumberingChar">
    <w:name w:val="Subhead_nonumbering Char"/>
    <w:basedOn w:val="Heading3Char"/>
    <w:link w:val="Subheadnonumbering"/>
    <w:rsid w:val="00BF78D5"/>
    <w:rPr>
      <w:rFonts w:ascii="Arial" w:eastAsiaTheme="majorEastAsia" w:hAnsi="Arial" w:cstheme="majorBidi"/>
      <w:bCs/>
      <w:i/>
      <w:sz w:val="24"/>
    </w:rPr>
  </w:style>
  <w:style w:type="paragraph" w:customStyle="1" w:styleId="ThesisTitle">
    <w:name w:val="ThesisTitle"/>
    <w:basedOn w:val="Normal"/>
    <w:link w:val="ThesisTitleChar"/>
    <w:qFormat/>
    <w:rsid w:val="00BF78D5"/>
    <w:pPr>
      <w:tabs>
        <w:tab w:val="left" w:pos="0"/>
      </w:tabs>
      <w:spacing w:after="0" w:line="480" w:lineRule="auto"/>
      <w:jc w:val="center"/>
      <w:outlineLvl w:val="1"/>
    </w:pPr>
    <w:rPr>
      <w:rFonts w:ascii="Times New Roman" w:hAnsi="Times New Roman" w:cs="Times New Roman"/>
      <w:bCs/>
      <w:sz w:val="48"/>
      <w:szCs w:val="32"/>
    </w:rPr>
  </w:style>
  <w:style w:type="character" w:customStyle="1" w:styleId="ThesisTitleChar">
    <w:name w:val="ThesisTitle Char"/>
    <w:basedOn w:val="DefaultParagraphFont"/>
    <w:link w:val="ThesisTitle"/>
    <w:rsid w:val="00BF78D5"/>
    <w:rPr>
      <w:rFonts w:ascii="Times New Roman" w:hAnsi="Times New Roman" w:cs="Times New Roman"/>
      <w:bCs/>
      <w:sz w:val="48"/>
      <w:szCs w:val="32"/>
    </w:rPr>
  </w:style>
  <w:style w:type="paragraph" w:customStyle="1" w:styleId="Subheading">
    <w:name w:val="Subheading"/>
    <w:basedOn w:val="Normal"/>
    <w:next w:val="BodyText"/>
    <w:link w:val="SubheadingChar"/>
    <w:qFormat/>
    <w:rsid w:val="009D0364"/>
    <w:pPr>
      <w:autoSpaceDE w:val="0"/>
      <w:autoSpaceDN w:val="0"/>
      <w:adjustRightInd w:val="0"/>
      <w:spacing w:after="0" w:line="480" w:lineRule="auto"/>
    </w:pPr>
    <w:rPr>
      <w:rFonts w:ascii="Arial" w:hAnsi="Arial" w:cs="Arial"/>
      <w:i/>
      <w:sz w:val="24"/>
      <w:szCs w:val="24"/>
    </w:rPr>
  </w:style>
  <w:style w:type="character" w:customStyle="1" w:styleId="SubheadingChar">
    <w:name w:val="Subheading Char"/>
    <w:basedOn w:val="DefaultParagraphFont"/>
    <w:link w:val="Subheading"/>
    <w:rsid w:val="009D0364"/>
    <w:rPr>
      <w:rFonts w:ascii="Arial" w:hAnsi="Arial" w:cs="Arial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27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7672E9"/>
  </w:style>
  <w:style w:type="paragraph" w:styleId="Header">
    <w:name w:val="header"/>
    <w:basedOn w:val="Normal"/>
    <w:link w:val="HeaderChar"/>
    <w:uiPriority w:val="99"/>
    <w:unhideWhenUsed/>
    <w:rsid w:val="0049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37"/>
  </w:style>
  <w:style w:type="paragraph" w:styleId="Footer">
    <w:name w:val="footer"/>
    <w:basedOn w:val="Normal"/>
    <w:link w:val="FooterChar"/>
    <w:uiPriority w:val="99"/>
    <w:unhideWhenUsed/>
    <w:rsid w:val="0049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37"/>
  </w:style>
  <w:style w:type="paragraph" w:styleId="NoSpacing">
    <w:name w:val="No Spacing"/>
    <w:uiPriority w:val="1"/>
    <w:qFormat/>
    <w:rsid w:val="00B80E03"/>
    <w:pPr>
      <w:spacing w:after="0" w:line="240" w:lineRule="auto"/>
    </w:pPr>
  </w:style>
  <w:style w:type="table" w:styleId="TableGrid">
    <w:name w:val="Table Grid"/>
    <w:basedOn w:val="TableNormal"/>
    <w:uiPriority w:val="59"/>
    <w:rsid w:val="00B8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80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E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Binks</dc:creator>
  <cp:lastModifiedBy>Lisa McHugh</cp:lastModifiedBy>
  <cp:revision>26</cp:revision>
  <dcterms:created xsi:type="dcterms:W3CDTF">2018-05-04T04:54:00Z</dcterms:created>
  <dcterms:modified xsi:type="dcterms:W3CDTF">2019-05-17T02:36:00Z</dcterms:modified>
</cp:coreProperties>
</file>