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53" w:rsidRDefault="003D1A53" w:rsidP="003D1A53">
      <w:pPr>
        <w:pStyle w:val="Heading1"/>
      </w:pPr>
      <w:bookmarkStart w:id="0" w:name="_GoBack"/>
      <w:bookmarkEnd w:id="0"/>
      <w:r>
        <w:t>Appendices</w:t>
      </w:r>
    </w:p>
    <w:p w:rsidR="003D1A53" w:rsidRDefault="003D1A53" w:rsidP="003D1A53">
      <w:pPr>
        <w:pStyle w:val="Heading2"/>
      </w:pPr>
      <w:bookmarkStart w:id="1" w:name="_Ref1127337"/>
      <w:r>
        <w:t xml:space="preserve">Supplementary material </w:t>
      </w:r>
      <w:r>
        <w:rPr>
          <w:noProof/>
        </w:rPr>
        <w:t>1</w:t>
      </w:r>
      <w:bookmarkEnd w:id="1"/>
      <w:r>
        <w:t>. Calculation of SNVS coverage</w:t>
      </w:r>
    </w:p>
    <w:p w:rsidR="003D1A53" w:rsidRDefault="003D1A53" w:rsidP="003D1A53">
      <w:r>
        <w:t>W</w:t>
      </w:r>
      <w:r w:rsidRPr="00E4131E">
        <w:t>e observed that the guideline for meningococcal vaccination developed by the Ministry of Health reports higher numbers of IMD than the notifications included in the SNVS</w:t>
      </w:r>
      <w:r>
        <w:t xml:space="preserve"> </w:t>
      </w:r>
      <w:r w:rsidR="00BA48DE">
        <w:rPr>
          <w:noProof/>
        </w:rPr>
        <w:t>[5,22]</w:t>
      </w:r>
      <w:r w:rsidRPr="00E4131E">
        <w:t xml:space="preserve"> </w:t>
      </w:r>
      <w:r>
        <w:t xml:space="preserve">(Table S </w:t>
      </w:r>
      <w:r>
        <w:rPr>
          <w:noProof/>
        </w:rPr>
        <w:t>1</w:t>
      </w:r>
      <w:r>
        <w:t xml:space="preserve">). Considering the latest </w:t>
      </w:r>
      <w:r w:rsidR="0060257B">
        <w:t>four</w:t>
      </w:r>
      <w:r>
        <w:t xml:space="preserve"> years of matching data from these two sources, the percentage</w:t>
      </w:r>
      <w:r w:rsidR="00762074">
        <w:t xml:space="preserve"> of cases reported by SNVS </w:t>
      </w:r>
      <w:r>
        <w:t xml:space="preserve">ranged from </w:t>
      </w:r>
      <w:r w:rsidR="0060257B">
        <w:t>51</w:t>
      </w:r>
      <w:r>
        <w:t xml:space="preserve">% to 66%; we than considered that </w:t>
      </w:r>
      <w:r w:rsidRPr="00E4131E">
        <w:t xml:space="preserve">the SNVS received </w:t>
      </w:r>
      <w:r>
        <w:t xml:space="preserve">an average of </w:t>
      </w:r>
      <w:r w:rsidRPr="00E4131E">
        <w:t>6</w:t>
      </w:r>
      <w:r w:rsidR="00303812">
        <w:t>0</w:t>
      </w:r>
      <w:r w:rsidRPr="00E4131E">
        <w:t>% of the IMD cases reported in the meningococcal vaccination guideline</w:t>
      </w:r>
      <w:r>
        <w:t>.</w:t>
      </w:r>
    </w:p>
    <w:p w:rsidR="003D1A53" w:rsidRDefault="003D1A53" w:rsidP="003D1A53">
      <w:pPr>
        <w:pStyle w:val="Heading3"/>
      </w:pPr>
      <w:bookmarkStart w:id="2" w:name="_Ref1130119"/>
      <w:bookmarkStart w:id="3" w:name="_Ref1131104"/>
      <w:r>
        <w:t>Table S</w:t>
      </w:r>
      <w:r>
        <w:rPr>
          <w:noProof/>
        </w:rPr>
        <w:t>1</w:t>
      </w:r>
      <w:bookmarkEnd w:id="2"/>
      <w:r>
        <w:t>. Estimation of SNVS coverage of IMD reported cases</w:t>
      </w:r>
      <w:bookmarkEnd w:id="3"/>
      <w:r>
        <w:t xml:space="preserve"> </w:t>
      </w:r>
    </w:p>
    <w:tbl>
      <w:tblPr>
        <w:tblW w:w="7760" w:type="dxa"/>
        <w:tblLook w:val="04A0" w:firstRow="1" w:lastRow="0" w:firstColumn="1" w:lastColumn="0" w:noHBand="0" w:noVBand="1"/>
      </w:tblPr>
      <w:tblGrid>
        <w:gridCol w:w="3920"/>
        <w:gridCol w:w="960"/>
        <w:gridCol w:w="960"/>
        <w:gridCol w:w="960"/>
        <w:gridCol w:w="960"/>
      </w:tblGrid>
      <w:tr w:rsidR="003D1A53" w:rsidRPr="006E3AB2" w:rsidTr="001F42C9">
        <w:trPr>
          <w:trHeight w:val="300"/>
        </w:trPr>
        <w:tc>
          <w:tcPr>
            <w:tcW w:w="3920" w:type="dxa"/>
            <w:vMerge w:val="restart"/>
            <w:tcBorders>
              <w:top w:val="nil"/>
              <w:left w:val="nil"/>
              <w:right w:val="nil"/>
            </w:tcBorders>
            <w:shd w:val="clear" w:color="auto" w:fill="0070C0"/>
            <w:noWrap/>
            <w:vAlign w:val="center"/>
            <w:hideMark/>
          </w:tcPr>
          <w:p w:rsidR="003D1A53" w:rsidRPr="001447F7" w:rsidRDefault="003D1A53" w:rsidP="001F42C9">
            <w:pPr>
              <w:spacing w:line="240" w:lineRule="auto"/>
              <w:rPr>
                <w:b/>
                <w:color w:val="FFFFFF" w:themeColor="background1"/>
                <w:sz w:val="18"/>
                <w:szCs w:val="18"/>
              </w:rPr>
            </w:pPr>
          </w:p>
        </w:tc>
        <w:tc>
          <w:tcPr>
            <w:tcW w:w="3840" w:type="dxa"/>
            <w:gridSpan w:val="4"/>
            <w:tcBorders>
              <w:top w:val="nil"/>
              <w:left w:val="nil"/>
              <w:bottom w:val="nil"/>
              <w:right w:val="nil"/>
            </w:tcBorders>
            <w:shd w:val="clear" w:color="auto" w:fill="0070C0"/>
            <w:noWrap/>
            <w:vAlign w:val="center"/>
          </w:tcPr>
          <w:p w:rsidR="003D1A53" w:rsidRPr="001447F7" w:rsidRDefault="003D1A53" w:rsidP="001F42C9">
            <w:pPr>
              <w:spacing w:line="240" w:lineRule="auto"/>
              <w:jc w:val="center"/>
              <w:rPr>
                <w:b/>
                <w:color w:val="FFFFFF" w:themeColor="background1"/>
                <w:sz w:val="18"/>
                <w:szCs w:val="18"/>
              </w:rPr>
            </w:pPr>
            <w:r w:rsidRPr="006E3AB2">
              <w:rPr>
                <w:b/>
                <w:color w:val="FFFFFF" w:themeColor="background1"/>
                <w:sz w:val="18"/>
                <w:szCs w:val="18"/>
              </w:rPr>
              <w:t>Number of reported IMD cases</w:t>
            </w:r>
          </w:p>
        </w:tc>
      </w:tr>
      <w:tr w:rsidR="003D1A53" w:rsidRPr="006E3AB2" w:rsidTr="001F42C9">
        <w:trPr>
          <w:trHeight w:val="300"/>
        </w:trPr>
        <w:tc>
          <w:tcPr>
            <w:tcW w:w="3920" w:type="dxa"/>
            <w:vMerge/>
            <w:tcBorders>
              <w:left w:val="nil"/>
              <w:right w:val="nil"/>
            </w:tcBorders>
            <w:shd w:val="clear" w:color="auto" w:fill="0070C0"/>
            <w:noWrap/>
            <w:vAlign w:val="center"/>
          </w:tcPr>
          <w:p w:rsidR="003D1A53" w:rsidRPr="006E3AB2" w:rsidRDefault="003D1A53" w:rsidP="001F42C9">
            <w:pPr>
              <w:spacing w:line="240" w:lineRule="auto"/>
              <w:rPr>
                <w:b/>
                <w:color w:val="FFFFFF" w:themeColor="background1"/>
                <w:sz w:val="18"/>
                <w:szCs w:val="18"/>
              </w:rPr>
            </w:pPr>
          </w:p>
        </w:tc>
        <w:tc>
          <w:tcPr>
            <w:tcW w:w="960" w:type="dxa"/>
            <w:tcBorders>
              <w:top w:val="nil"/>
              <w:left w:val="nil"/>
              <w:right w:val="nil"/>
            </w:tcBorders>
            <w:shd w:val="clear" w:color="auto" w:fill="0070C0"/>
            <w:noWrap/>
            <w:vAlign w:val="center"/>
          </w:tcPr>
          <w:p w:rsidR="003D1A53" w:rsidRPr="006E3AB2" w:rsidRDefault="003D1A53" w:rsidP="001F42C9">
            <w:pPr>
              <w:spacing w:line="240" w:lineRule="auto"/>
              <w:jc w:val="center"/>
              <w:rPr>
                <w:b/>
                <w:color w:val="FFFFFF" w:themeColor="background1"/>
                <w:sz w:val="18"/>
                <w:szCs w:val="18"/>
              </w:rPr>
            </w:pPr>
            <w:r w:rsidRPr="001447F7">
              <w:rPr>
                <w:b/>
                <w:color w:val="FFFFFF" w:themeColor="background1"/>
                <w:sz w:val="18"/>
                <w:szCs w:val="18"/>
              </w:rPr>
              <w:t>2012</w:t>
            </w:r>
          </w:p>
        </w:tc>
        <w:tc>
          <w:tcPr>
            <w:tcW w:w="960" w:type="dxa"/>
            <w:tcBorders>
              <w:top w:val="nil"/>
              <w:left w:val="nil"/>
              <w:right w:val="nil"/>
            </w:tcBorders>
            <w:shd w:val="clear" w:color="auto" w:fill="0070C0"/>
            <w:noWrap/>
            <w:vAlign w:val="center"/>
          </w:tcPr>
          <w:p w:rsidR="003D1A53" w:rsidRPr="006E3AB2" w:rsidRDefault="003D1A53" w:rsidP="001F42C9">
            <w:pPr>
              <w:spacing w:line="240" w:lineRule="auto"/>
              <w:jc w:val="center"/>
              <w:rPr>
                <w:b/>
                <w:color w:val="FFFFFF" w:themeColor="background1"/>
                <w:sz w:val="18"/>
                <w:szCs w:val="18"/>
              </w:rPr>
            </w:pPr>
            <w:r w:rsidRPr="001447F7">
              <w:rPr>
                <w:b/>
                <w:color w:val="FFFFFF" w:themeColor="background1"/>
                <w:sz w:val="18"/>
                <w:szCs w:val="18"/>
              </w:rPr>
              <w:t>2013</w:t>
            </w:r>
          </w:p>
        </w:tc>
        <w:tc>
          <w:tcPr>
            <w:tcW w:w="960" w:type="dxa"/>
            <w:tcBorders>
              <w:top w:val="nil"/>
              <w:left w:val="nil"/>
              <w:right w:val="nil"/>
            </w:tcBorders>
            <w:shd w:val="clear" w:color="auto" w:fill="0070C0"/>
            <w:noWrap/>
            <w:vAlign w:val="center"/>
          </w:tcPr>
          <w:p w:rsidR="003D1A53" w:rsidRPr="006E3AB2" w:rsidRDefault="003D1A53" w:rsidP="001F42C9">
            <w:pPr>
              <w:spacing w:line="240" w:lineRule="auto"/>
              <w:jc w:val="center"/>
              <w:rPr>
                <w:b/>
                <w:color w:val="FFFFFF" w:themeColor="background1"/>
                <w:sz w:val="18"/>
                <w:szCs w:val="18"/>
              </w:rPr>
            </w:pPr>
            <w:r w:rsidRPr="001447F7">
              <w:rPr>
                <w:b/>
                <w:color w:val="FFFFFF" w:themeColor="background1"/>
                <w:sz w:val="18"/>
                <w:szCs w:val="18"/>
              </w:rPr>
              <w:t>2014</w:t>
            </w:r>
          </w:p>
        </w:tc>
        <w:tc>
          <w:tcPr>
            <w:tcW w:w="960" w:type="dxa"/>
            <w:tcBorders>
              <w:top w:val="nil"/>
              <w:left w:val="nil"/>
              <w:right w:val="nil"/>
            </w:tcBorders>
            <w:shd w:val="clear" w:color="auto" w:fill="0070C0"/>
            <w:noWrap/>
            <w:vAlign w:val="center"/>
          </w:tcPr>
          <w:p w:rsidR="003D1A53" w:rsidRPr="006E3AB2" w:rsidRDefault="003D1A53" w:rsidP="001F42C9">
            <w:pPr>
              <w:spacing w:line="240" w:lineRule="auto"/>
              <w:jc w:val="center"/>
              <w:rPr>
                <w:b/>
                <w:color w:val="FFFFFF" w:themeColor="background1"/>
                <w:sz w:val="18"/>
                <w:szCs w:val="18"/>
              </w:rPr>
            </w:pPr>
            <w:r w:rsidRPr="001447F7">
              <w:rPr>
                <w:b/>
                <w:color w:val="FFFFFF" w:themeColor="background1"/>
                <w:sz w:val="18"/>
                <w:szCs w:val="18"/>
              </w:rPr>
              <w:t>2015</w:t>
            </w:r>
          </w:p>
        </w:tc>
      </w:tr>
      <w:tr w:rsidR="003D1A53" w:rsidRPr="006E3AB2" w:rsidTr="001F42C9">
        <w:trPr>
          <w:trHeight w:val="300"/>
        </w:trPr>
        <w:tc>
          <w:tcPr>
            <w:tcW w:w="3920" w:type="dxa"/>
            <w:tcBorders>
              <w:top w:val="single" w:sz="4" w:space="0" w:color="0070C0"/>
              <w:left w:val="nil"/>
              <w:bottom w:val="nil"/>
              <w:right w:val="nil"/>
            </w:tcBorders>
            <w:shd w:val="clear" w:color="auto" w:fill="auto"/>
            <w:noWrap/>
            <w:vAlign w:val="center"/>
          </w:tcPr>
          <w:p w:rsidR="003D1A53" w:rsidRPr="00BA48DE" w:rsidRDefault="003D1A53" w:rsidP="001F42C9">
            <w:pPr>
              <w:spacing w:line="240" w:lineRule="auto"/>
              <w:rPr>
                <w:color w:val="000000"/>
                <w:sz w:val="18"/>
                <w:szCs w:val="18"/>
              </w:rPr>
            </w:pPr>
            <w:r w:rsidRPr="001447F7">
              <w:rPr>
                <w:color w:val="000000"/>
                <w:sz w:val="18"/>
                <w:szCs w:val="18"/>
              </w:rPr>
              <w:t xml:space="preserve">Reported by the Ministry of Health </w:t>
            </w:r>
            <w:r w:rsidR="00BA48DE" w:rsidRPr="00FF7568">
              <w:rPr>
                <w:noProof/>
                <w:color w:val="000000"/>
                <w:sz w:val="18"/>
                <w:szCs w:val="18"/>
              </w:rPr>
              <w:t>[5]</w:t>
            </w:r>
          </w:p>
        </w:tc>
        <w:tc>
          <w:tcPr>
            <w:tcW w:w="960" w:type="dxa"/>
            <w:tcBorders>
              <w:top w:val="single" w:sz="4" w:space="0" w:color="0070C0"/>
              <w:left w:val="nil"/>
              <w:bottom w:val="nil"/>
              <w:right w:val="nil"/>
            </w:tcBorders>
            <w:shd w:val="clear" w:color="auto" w:fill="auto"/>
            <w:noWrap/>
            <w:vAlign w:val="center"/>
          </w:tcPr>
          <w:p w:rsidR="003D1A53" w:rsidRPr="006E3AB2" w:rsidRDefault="003D1A53" w:rsidP="001F42C9">
            <w:pPr>
              <w:spacing w:line="240" w:lineRule="auto"/>
              <w:jc w:val="center"/>
              <w:rPr>
                <w:color w:val="000000"/>
                <w:sz w:val="18"/>
                <w:szCs w:val="18"/>
              </w:rPr>
            </w:pPr>
            <w:r w:rsidRPr="001447F7">
              <w:rPr>
                <w:color w:val="000000"/>
                <w:sz w:val="18"/>
                <w:szCs w:val="18"/>
              </w:rPr>
              <w:t>289</w:t>
            </w:r>
          </w:p>
        </w:tc>
        <w:tc>
          <w:tcPr>
            <w:tcW w:w="960" w:type="dxa"/>
            <w:tcBorders>
              <w:top w:val="single" w:sz="4" w:space="0" w:color="0070C0"/>
              <w:left w:val="nil"/>
              <w:bottom w:val="nil"/>
              <w:right w:val="nil"/>
            </w:tcBorders>
            <w:shd w:val="clear" w:color="auto" w:fill="auto"/>
            <w:noWrap/>
            <w:vAlign w:val="center"/>
          </w:tcPr>
          <w:p w:rsidR="003D1A53" w:rsidRPr="006E3AB2" w:rsidRDefault="003D1A53" w:rsidP="001F42C9">
            <w:pPr>
              <w:spacing w:line="240" w:lineRule="auto"/>
              <w:jc w:val="center"/>
              <w:rPr>
                <w:color w:val="000000"/>
                <w:sz w:val="18"/>
                <w:szCs w:val="18"/>
              </w:rPr>
            </w:pPr>
            <w:r w:rsidRPr="001447F7">
              <w:rPr>
                <w:color w:val="000000"/>
                <w:sz w:val="18"/>
                <w:szCs w:val="18"/>
              </w:rPr>
              <w:t>287</w:t>
            </w:r>
          </w:p>
        </w:tc>
        <w:tc>
          <w:tcPr>
            <w:tcW w:w="960" w:type="dxa"/>
            <w:tcBorders>
              <w:top w:val="single" w:sz="4" w:space="0" w:color="0070C0"/>
              <w:left w:val="nil"/>
              <w:bottom w:val="nil"/>
              <w:right w:val="nil"/>
            </w:tcBorders>
            <w:shd w:val="clear" w:color="auto" w:fill="auto"/>
            <w:noWrap/>
            <w:vAlign w:val="center"/>
          </w:tcPr>
          <w:p w:rsidR="003D1A53" w:rsidRPr="006E3AB2" w:rsidRDefault="003D1A53" w:rsidP="001F42C9">
            <w:pPr>
              <w:spacing w:line="240" w:lineRule="auto"/>
              <w:jc w:val="center"/>
              <w:rPr>
                <w:color w:val="000000"/>
                <w:sz w:val="18"/>
                <w:szCs w:val="18"/>
              </w:rPr>
            </w:pPr>
            <w:r w:rsidRPr="001447F7">
              <w:rPr>
                <w:color w:val="000000"/>
                <w:sz w:val="18"/>
                <w:szCs w:val="18"/>
              </w:rPr>
              <w:t>272</w:t>
            </w:r>
          </w:p>
        </w:tc>
        <w:tc>
          <w:tcPr>
            <w:tcW w:w="960" w:type="dxa"/>
            <w:tcBorders>
              <w:top w:val="single" w:sz="4" w:space="0" w:color="0070C0"/>
              <w:left w:val="nil"/>
              <w:bottom w:val="nil"/>
              <w:right w:val="nil"/>
            </w:tcBorders>
            <w:shd w:val="clear" w:color="auto" w:fill="auto"/>
            <w:noWrap/>
            <w:vAlign w:val="center"/>
          </w:tcPr>
          <w:p w:rsidR="003D1A53" w:rsidRPr="006E3AB2" w:rsidRDefault="003D1A53" w:rsidP="001F42C9">
            <w:pPr>
              <w:spacing w:line="240" w:lineRule="auto"/>
              <w:jc w:val="center"/>
              <w:rPr>
                <w:color w:val="000000"/>
                <w:sz w:val="18"/>
                <w:szCs w:val="18"/>
              </w:rPr>
            </w:pPr>
            <w:r w:rsidRPr="001447F7">
              <w:rPr>
                <w:color w:val="000000"/>
                <w:sz w:val="18"/>
                <w:szCs w:val="18"/>
              </w:rPr>
              <w:t>175</w:t>
            </w:r>
          </w:p>
        </w:tc>
      </w:tr>
      <w:tr w:rsidR="003D1A53" w:rsidRPr="001447F7" w:rsidTr="001F42C9">
        <w:trPr>
          <w:trHeight w:val="300"/>
        </w:trPr>
        <w:tc>
          <w:tcPr>
            <w:tcW w:w="3920" w:type="dxa"/>
            <w:tcBorders>
              <w:top w:val="nil"/>
              <w:left w:val="nil"/>
              <w:bottom w:val="single" w:sz="4" w:space="0" w:color="0070C0"/>
              <w:right w:val="nil"/>
            </w:tcBorders>
            <w:shd w:val="clear" w:color="auto" w:fill="auto"/>
            <w:noWrap/>
            <w:vAlign w:val="center"/>
            <w:hideMark/>
          </w:tcPr>
          <w:p w:rsidR="003D1A53" w:rsidRPr="00BA48DE" w:rsidRDefault="003D1A53" w:rsidP="001F42C9">
            <w:pPr>
              <w:spacing w:line="240" w:lineRule="auto"/>
              <w:rPr>
                <w:color w:val="000000"/>
                <w:sz w:val="18"/>
                <w:szCs w:val="18"/>
              </w:rPr>
            </w:pPr>
            <w:r w:rsidRPr="001447F7">
              <w:rPr>
                <w:color w:val="000000"/>
                <w:sz w:val="18"/>
                <w:szCs w:val="18"/>
              </w:rPr>
              <w:t xml:space="preserve">Reported by the SNVS </w:t>
            </w:r>
            <w:r w:rsidR="00BA48DE">
              <w:rPr>
                <w:noProof/>
                <w:color w:val="000000"/>
                <w:sz w:val="18"/>
                <w:szCs w:val="18"/>
              </w:rPr>
              <w:t>[22]</w:t>
            </w:r>
          </w:p>
        </w:tc>
        <w:tc>
          <w:tcPr>
            <w:tcW w:w="960" w:type="dxa"/>
            <w:tcBorders>
              <w:top w:val="nil"/>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color w:val="000000"/>
                <w:sz w:val="18"/>
                <w:szCs w:val="18"/>
              </w:rPr>
            </w:pPr>
            <w:r w:rsidRPr="001447F7">
              <w:rPr>
                <w:color w:val="000000"/>
                <w:sz w:val="18"/>
                <w:szCs w:val="18"/>
              </w:rPr>
              <w:t>148</w:t>
            </w:r>
          </w:p>
        </w:tc>
        <w:tc>
          <w:tcPr>
            <w:tcW w:w="960" w:type="dxa"/>
            <w:tcBorders>
              <w:top w:val="nil"/>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color w:val="000000"/>
                <w:sz w:val="18"/>
                <w:szCs w:val="18"/>
              </w:rPr>
            </w:pPr>
            <w:r w:rsidRPr="001447F7">
              <w:rPr>
                <w:color w:val="000000"/>
                <w:sz w:val="18"/>
                <w:szCs w:val="18"/>
              </w:rPr>
              <w:t>183</w:t>
            </w:r>
          </w:p>
        </w:tc>
        <w:tc>
          <w:tcPr>
            <w:tcW w:w="960" w:type="dxa"/>
            <w:tcBorders>
              <w:top w:val="nil"/>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color w:val="000000"/>
                <w:sz w:val="18"/>
                <w:szCs w:val="18"/>
              </w:rPr>
            </w:pPr>
            <w:r w:rsidRPr="001447F7">
              <w:rPr>
                <w:color w:val="000000"/>
                <w:sz w:val="18"/>
                <w:szCs w:val="18"/>
              </w:rPr>
              <w:t>176</w:t>
            </w:r>
          </w:p>
        </w:tc>
        <w:tc>
          <w:tcPr>
            <w:tcW w:w="960" w:type="dxa"/>
            <w:tcBorders>
              <w:top w:val="nil"/>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color w:val="000000"/>
                <w:sz w:val="18"/>
                <w:szCs w:val="18"/>
              </w:rPr>
            </w:pPr>
            <w:r w:rsidRPr="001447F7">
              <w:rPr>
                <w:color w:val="000000"/>
                <w:sz w:val="18"/>
                <w:szCs w:val="18"/>
              </w:rPr>
              <w:t>116</w:t>
            </w:r>
          </w:p>
        </w:tc>
      </w:tr>
      <w:tr w:rsidR="003D1A53" w:rsidRPr="001447F7" w:rsidTr="001F42C9">
        <w:trPr>
          <w:trHeight w:val="300"/>
        </w:trPr>
        <w:tc>
          <w:tcPr>
            <w:tcW w:w="3920" w:type="dxa"/>
            <w:tcBorders>
              <w:top w:val="single" w:sz="4" w:space="0" w:color="0070C0"/>
              <w:left w:val="nil"/>
              <w:bottom w:val="single" w:sz="4" w:space="0" w:color="0070C0"/>
              <w:right w:val="nil"/>
            </w:tcBorders>
            <w:shd w:val="clear" w:color="auto" w:fill="auto"/>
            <w:noWrap/>
            <w:vAlign w:val="center"/>
            <w:hideMark/>
          </w:tcPr>
          <w:p w:rsidR="003D1A53" w:rsidRPr="001447F7" w:rsidRDefault="003D1A53" w:rsidP="001F42C9">
            <w:pPr>
              <w:spacing w:line="240" w:lineRule="auto"/>
              <w:rPr>
                <w:b/>
                <w:i/>
                <w:color w:val="000000"/>
                <w:sz w:val="18"/>
                <w:szCs w:val="18"/>
              </w:rPr>
            </w:pPr>
            <w:r w:rsidRPr="006E3AB2">
              <w:rPr>
                <w:b/>
                <w:i/>
                <w:color w:val="000000"/>
                <w:sz w:val="18"/>
                <w:szCs w:val="18"/>
              </w:rPr>
              <w:t>Estimated SNVS coverage</w:t>
            </w:r>
          </w:p>
        </w:tc>
        <w:tc>
          <w:tcPr>
            <w:tcW w:w="960" w:type="dxa"/>
            <w:tcBorders>
              <w:top w:val="single" w:sz="4" w:space="0" w:color="0070C0"/>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b/>
                <w:i/>
                <w:color w:val="000000"/>
                <w:sz w:val="18"/>
                <w:szCs w:val="18"/>
              </w:rPr>
            </w:pPr>
            <w:r w:rsidRPr="001447F7">
              <w:rPr>
                <w:b/>
                <w:i/>
                <w:color w:val="000000"/>
                <w:sz w:val="18"/>
                <w:szCs w:val="18"/>
              </w:rPr>
              <w:t>51%</w:t>
            </w:r>
          </w:p>
        </w:tc>
        <w:tc>
          <w:tcPr>
            <w:tcW w:w="960" w:type="dxa"/>
            <w:tcBorders>
              <w:top w:val="single" w:sz="4" w:space="0" w:color="0070C0"/>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b/>
                <w:i/>
                <w:color w:val="000000"/>
                <w:sz w:val="18"/>
                <w:szCs w:val="18"/>
              </w:rPr>
            </w:pPr>
            <w:r w:rsidRPr="001447F7">
              <w:rPr>
                <w:b/>
                <w:i/>
                <w:color w:val="000000"/>
                <w:sz w:val="18"/>
                <w:szCs w:val="18"/>
              </w:rPr>
              <w:t>64%</w:t>
            </w:r>
          </w:p>
        </w:tc>
        <w:tc>
          <w:tcPr>
            <w:tcW w:w="960" w:type="dxa"/>
            <w:tcBorders>
              <w:top w:val="single" w:sz="4" w:space="0" w:color="0070C0"/>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b/>
                <w:i/>
                <w:color w:val="000000"/>
                <w:sz w:val="18"/>
                <w:szCs w:val="18"/>
              </w:rPr>
            </w:pPr>
            <w:r w:rsidRPr="001447F7">
              <w:rPr>
                <w:b/>
                <w:i/>
                <w:color w:val="000000"/>
                <w:sz w:val="18"/>
                <w:szCs w:val="18"/>
              </w:rPr>
              <w:t>65%</w:t>
            </w:r>
          </w:p>
        </w:tc>
        <w:tc>
          <w:tcPr>
            <w:tcW w:w="960" w:type="dxa"/>
            <w:tcBorders>
              <w:top w:val="single" w:sz="4" w:space="0" w:color="0070C0"/>
              <w:left w:val="nil"/>
              <w:bottom w:val="single" w:sz="4" w:space="0" w:color="0070C0"/>
              <w:right w:val="nil"/>
            </w:tcBorders>
            <w:shd w:val="clear" w:color="auto" w:fill="auto"/>
            <w:noWrap/>
            <w:vAlign w:val="center"/>
            <w:hideMark/>
          </w:tcPr>
          <w:p w:rsidR="003D1A53" w:rsidRPr="001447F7" w:rsidRDefault="003D1A53" w:rsidP="001F42C9">
            <w:pPr>
              <w:spacing w:line="240" w:lineRule="auto"/>
              <w:jc w:val="center"/>
              <w:rPr>
                <w:b/>
                <w:i/>
                <w:color w:val="000000"/>
                <w:sz w:val="18"/>
                <w:szCs w:val="18"/>
              </w:rPr>
            </w:pPr>
            <w:r w:rsidRPr="001447F7">
              <w:rPr>
                <w:b/>
                <w:i/>
                <w:color w:val="000000"/>
                <w:sz w:val="18"/>
                <w:szCs w:val="18"/>
              </w:rPr>
              <w:t>66%</w:t>
            </w:r>
          </w:p>
        </w:tc>
      </w:tr>
    </w:tbl>
    <w:p w:rsidR="003D1A53" w:rsidRDefault="003D1A53" w:rsidP="003D1A53">
      <w:pPr>
        <w:pStyle w:val="Footnotetable"/>
      </w:pPr>
      <w:r>
        <w:t xml:space="preserve">IMD: invasive meningococcal disease; SNVS: </w:t>
      </w:r>
      <w:r w:rsidRPr="007E07B3">
        <w:t>National Cli</w:t>
      </w:r>
      <w:r w:rsidRPr="00E4131E">
        <w:t>nical Surveillance System</w:t>
      </w:r>
    </w:p>
    <w:p w:rsidR="003D1A53" w:rsidRDefault="003D1A53" w:rsidP="003D1A53"/>
    <w:p w:rsidR="00303812" w:rsidRDefault="00303812" w:rsidP="00303812">
      <w:r>
        <w:t>In addition, we also tried to adjust the data reported by the SNVS by the population covered by Health Care Organizations who report cases to the SNVS. We used the Registry of Health Institutions (RHI),</w:t>
      </w:r>
      <w:r w:rsidR="00503860">
        <w:t xml:space="preserve"> </w:t>
      </w:r>
      <w:r>
        <w:t xml:space="preserve">[27] a monitoring system that records who is reporting case information to the SNVS. The RHI also records the type of Health Care Organization (private or public health system) and the region where they operate (province). This information allowed us to calculate the coverage linked to the reported data. </w:t>
      </w:r>
    </w:p>
    <w:p w:rsidR="00303812" w:rsidRDefault="00303812" w:rsidP="001F167E">
      <w:r>
        <w:t xml:space="preserve">The </w:t>
      </w:r>
      <w:r w:rsidR="001F167E">
        <w:t>Health Ministry</w:t>
      </w:r>
      <w:r>
        <w:t xml:space="preserve"> reported that the private health system (support directly from individual out of pocket cost or by unions) covers 63.92% of the population and the </w:t>
      </w:r>
      <w:r>
        <w:lastRenderedPageBreak/>
        <w:t xml:space="preserve">public health system covers 36.08%.[28] The RHI reports that 1,122/1,178 (95.25%) of the institutions from the public health system and 243/1,091 (22.27%) of the institutions from the private health system (both with general and </w:t>
      </w:r>
      <w:r w:rsidR="001F167E">
        <w:t>paediatric</w:t>
      </w:r>
      <w:r>
        <w:t xml:space="preserve"> hospitalization services), report </w:t>
      </w:r>
      <w:r w:rsidR="00FA4576">
        <w:t>bacterial meningitis</w:t>
      </w:r>
      <w:r>
        <w:t xml:space="preserve"> cases to the SNVS.[22] Therefore, we estimated that 48.60% of the population is covered by the Health Care Organizations reporting cases to the SNVS</w:t>
      </w:r>
      <w:r w:rsidR="001F167E">
        <w:t xml:space="preserve"> (</w:t>
      </w:r>
      <w:r>
        <w:t>leaving 51.40% of IMD cases unrepresented</w:t>
      </w:r>
      <w:r w:rsidR="001F167E">
        <w:t>)</w:t>
      </w:r>
      <w:r>
        <w:t xml:space="preserve">. Although this estimation has been confirmed by the SNVS authorities, they noted that the calculation was not adequate </w:t>
      </w:r>
      <w:r w:rsidR="001F167E">
        <w:t xml:space="preserve">enough </w:t>
      </w:r>
      <w:r>
        <w:t xml:space="preserve">to estimate the coverage of IMD notifications because IMD is a severe disease and cases are concentrated on third-level and </w:t>
      </w:r>
      <w:r w:rsidR="001F167E">
        <w:t>paediatric</w:t>
      </w:r>
      <w:r>
        <w:t xml:space="preserve"> hospitals. </w:t>
      </w:r>
      <w:r w:rsidR="001F167E">
        <w:t xml:space="preserve">This latest estimation considering the private/public sector coverage, assume an equal reporting rate in all time periods, and that all health institutions have the same risk of not reporting </w:t>
      </w:r>
      <w:r w:rsidR="00FA4576">
        <w:t>bacterial meningitis</w:t>
      </w:r>
      <w:r w:rsidR="001F167E">
        <w:t xml:space="preserve"> cases to the SNVS, which may not be fully realistic though, as there is a chance that the health facilities that do not report cases to the SNVS are the smallest health facilities and/or are located in the least affected regions. Therefore, after reviewing the data from the multiple sources of information, we decided to use a</w:t>
      </w:r>
      <w:r w:rsidR="002A069E">
        <w:t xml:space="preserve"> more conservative </w:t>
      </w:r>
      <w:r w:rsidR="001F167E">
        <w:t xml:space="preserve">estimation of 60% coverage on IMD notifications for the SNVS, based on the calculations initially described </w:t>
      </w:r>
      <w:r w:rsidR="00D8398E">
        <w:t>(see Table S1)</w:t>
      </w:r>
      <w:r w:rsidR="001F167E">
        <w:t>.</w:t>
      </w:r>
    </w:p>
    <w:p w:rsidR="00303812" w:rsidRDefault="00303812" w:rsidP="003D1A53"/>
    <w:p w:rsidR="00303812" w:rsidRPr="009B3355" w:rsidRDefault="00303812" w:rsidP="003D1A53"/>
    <w:p w:rsidR="003D1A53" w:rsidRPr="003A07D6" w:rsidRDefault="003D1A53" w:rsidP="003D1A53">
      <w:pPr>
        <w:sectPr w:rsidR="003D1A53" w:rsidRPr="003A07D6" w:rsidSect="008D70FF">
          <w:pgSz w:w="11906" w:h="16838"/>
          <w:pgMar w:top="1440" w:right="1800" w:bottom="1977" w:left="1800" w:header="708" w:footer="708" w:gutter="0"/>
          <w:cols w:space="708"/>
          <w:docGrid w:linePitch="360"/>
        </w:sectPr>
      </w:pPr>
      <w:bookmarkStart w:id="4" w:name="_Ref5293795461"/>
      <w:bookmarkStart w:id="5" w:name="_Ref529379546"/>
    </w:p>
    <w:p w:rsidR="003D1A53" w:rsidRPr="00206BFE" w:rsidRDefault="003D1A53" w:rsidP="003D1A53">
      <w:pPr>
        <w:pStyle w:val="Heading2"/>
      </w:pPr>
      <w:bookmarkStart w:id="6" w:name="_Ref1127319"/>
      <w:bookmarkEnd w:id="4"/>
      <w:bookmarkEnd w:id="5"/>
      <w:r>
        <w:lastRenderedPageBreak/>
        <w:t xml:space="preserve">Supplementary material </w:t>
      </w:r>
      <w:r>
        <w:rPr>
          <w:noProof/>
        </w:rPr>
        <w:t>2</w:t>
      </w:r>
      <w:bookmarkEnd w:id="6"/>
      <w:r>
        <w:t xml:space="preserve">. </w:t>
      </w:r>
      <w:r w:rsidRPr="00206BFE">
        <w:t>Hospital Discharge</w:t>
      </w:r>
      <w:r>
        <w:t xml:space="preserve"> System database</w:t>
      </w:r>
    </w:p>
    <w:p w:rsidR="003D1A53" w:rsidRDefault="003D1A53" w:rsidP="003D1A53">
      <w:pPr>
        <w:pStyle w:val="Heading3"/>
      </w:pPr>
      <w:r>
        <w:t>Hospital Discharge System database</w:t>
      </w:r>
    </w:p>
    <w:p w:rsidR="003D1A53" w:rsidRPr="00E4131E" w:rsidRDefault="003D1A53" w:rsidP="003D1A53">
      <w:r>
        <w:t>The Hospital D</w:t>
      </w:r>
      <w:r w:rsidRPr="00DC68C1">
        <w:t xml:space="preserve">ischarge </w:t>
      </w:r>
      <w:r>
        <w:t xml:space="preserve">System (HSD), under the </w:t>
      </w:r>
      <w:r w:rsidRPr="00DC68C1">
        <w:t>National Directorate of Health Statistics</w:t>
      </w:r>
      <w:r>
        <w:t>,</w:t>
      </w:r>
      <w:r w:rsidRPr="00DC68C1">
        <w:t xml:space="preserve"> records hospital discharges associated with</w:t>
      </w:r>
      <w:r>
        <w:t xml:space="preserve"> bacterial meningitis</w:t>
      </w:r>
      <w:r w:rsidRPr="00DC68C1">
        <w:t xml:space="preserve"> </w:t>
      </w:r>
      <w:r>
        <w:t>(</w:t>
      </w:r>
      <w:r w:rsidRPr="00DC68C1">
        <w:t>BM</w:t>
      </w:r>
      <w:r>
        <w:t>)</w:t>
      </w:r>
      <w:r w:rsidRPr="00DC68C1">
        <w:t>, by age, year (2007-2013) and province and covers Argentinean public hospitals only</w:t>
      </w:r>
      <w:r w:rsidR="00BA48DE">
        <w:rPr>
          <w:noProof/>
        </w:rPr>
        <w:t xml:space="preserve"> [23]</w:t>
      </w:r>
      <w:r>
        <w:t xml:space="preserve">. HDS data, </w:t>
      </w:r>
      <w:r w:rsidRPr="00DC68C1">
        <w:t>important when considering the burden of any disease</w:t>
      </w:r>
      <w:r>
        <w:t xml:space="preserve">, were initially included in the analysis to optimize our estimation of </w:t>
      </w:r>
      <w:r w:rsidRPr="00DC68C1">
        <w:t>the real</w:t>
      </w:r>
      <w:r>
        <w:t xml:space="preserve"> IMD</w:t>
      </w:r>
      <w:r w:rsidRPr="00DC68C1">
        <w:t xml:space="preserve"> burden in Argentina</w:t>
      </w:r>
      <w:r>
        <w:t xml:space="preserve">. However, </w:t>
      </w:r>
      <w:r w:rsidRPr="00DC68C1">
        <w:t>coverage adjustment for hospital discharges</w:t>
      </w:r>
      <w:r w:rsidRPr="00B72427">
        <w:t xml:space="preserve"> </w:t>
      </w:r>
      <w:r>
        <w:t xml:space="preserve">was not deemed </w:t>
      </w:r>
      <w:r w:rsidRPr="00DC68C1">
        <w:t>robust enough</w:t>
      </w:r>
      <w:r>
        <w:t xml:space="preserve"> to include them in the main analysis;</w:t>
      </w:r>
      <w:r w:rsidRPr="00DC68C1">
        <w:t xml:space="preserve"> </w:t>
      </w:r>
      <w:r>
        <w:t>they are however presented here as supplementary material.</w:t>
      </w:r>
    </w:p>
    <w:p w:rsidR="003D1A53" w:rsidRPr="00DC68C1" w:rsidRDefault="009F33F4" w:rsidP="003D1A53">
      <w:pPr>
        <w:pStyle w:val="Heading3"/>
      </w:pPr>
      <w:r>
        <w:t>A</w:t>
      </w:r>
      <w:r w:rsidR="003D1A53" w:rsidRPr="00DC68C1">
        <w:t>djustments</w:t>
      </w:r>
      <w:r>
        <w:t xml:space="preserve"> made to the data obtained from the </w:t>
      </w:r>
      <w:r w:rsidRPr="009F33F4">
        <w:t>Hospital Discharge System</w:t>
      </w:r>
    </w:p>
    <w:p w:rsidR="003D1A53" w:rsidRDefault="003D1A53" w:rsidP="003D1A53">
      <w:r>
        <w:t>A</w:t>
      </w:r>
      <w:r w:rsidRPr="00E4131E">
        <w:t>s previously mentioned, o</w:t>
      </w:r>
      <w:r>
        <w:t>nly the public hospitals report</w:t>
      </w:r>
      <w:r w:rsidRPr="00E4131E">
        <w:t xml:space="preserve"> data to this system. The population covered by the Public Health System by Province were used for the analysis. It was assumed that all public </w:t>
      </w:r>
      <w:r w:rsidR="009F33F4">
        <w:t>Health Care Organizations</w:t>
      </w:r>
      <w:r w:rsidRPr="00E4131E">
        <w:t xml:space="preserve"> reported to the system</w:t>
      </w:r>
      <w:r>
        <w:t xml:space="preserve">; hence, </w:t>
      </w:r>
      <w:r w:rsidRPr="00E4131E">
        <w:t>only 42,0% of the</w:t>
      </w:r>
      <w:r w:rsidR="0059720D">
        <w:t xml:space="preserve"> BM </w:t>
      </w:r>
      <w:r w:rsidRPr="00E4131E">
        <w:t xml:space="preserve">cases </w:t>
      </w:r>
      <w:r>
        <w:t>were</w:t>
      </w:r>
      <w:r w:rsidRPr="00E4131E">
        <w:t xml:space="preserve"> </w:t>
      </w:r>
      <w:r>
        <w:t xml:space="preserve">estimated to be </w:t>
      </w:r>
      <w:r w:rsidRPr="00E4131E">
        <w:t xml:space="preserve">reported </w:t>
      </w:r>
      <w:r>
        <w:t>to</w:t>
      </w:r>
      <w:r w:rsidRPr="00E4131E">
        <w:t xml:space="preserve"> the HDS</w:t>
      </w:r>
      <w:r w:rsidR="009F33F4">
        <w:t>, as previously described</w:t>
      </w:r>
      <w:r w:rsidRPr="00E4131E">
        <w:t xml:space="preserve">. </w:t>
      </w:r>
      <w:r w:rsidR="0059720D">
        <w:t xml:space="preserve">Therefore, we first estimated the number of hospital discharges associated to BM cases after adjustment by the coverage of the </w:t>
      </w:r>
      <w:r w:rsidR="0059720D" w:rsidRPr="0059720D">
        <w:t>Hospital Discharge System</w:t>
      </w:r>
      <w:r w:rsidR="0059720D">
        <w:t xml:space="preserve"> database. </w:t>
      </w:r>
    </w:p>
    <w:p w:rsidR="003D1A53" w:rsidRPr="00DC68C1" w:rsidRDefault="0059720D" w:rsidP="00F60DB1">
      <w:r>
        <w:t>Then, we</w:t>
      </w:r>
      <w:r w:rsidR="003D1A53" w:rsidRPr="00E4131E">
        <w:t xml:space="preserve"> estimate the number of hospital discharges associated to </w:t>
      </w:r>
      <w:r w:rsidR="003D1A53" w:rsidRPr="00B72427">
        <w:t>IMD cases</w:t>
      </w:r>
      <w:r w:rsidR="003D1A53">
        <w:t xml:space="preserve"> per year, </w:t>
      </w:r>
      <w:r w:rsidR="009870E0">
        <w:t xml:space="preserve">by using </w:t>
      </w:r>
      <w:r w:rsidR="003D1A53">
        <w:t>the a</w:t>
      </w:r>
      <w:r w:rsidR="003D1A53" w:rsidRPr="00E4131E">
        <w:t xml:space="preserve">verage ratio </w:t>
      </w:r>
      <w:r w:rsidR="003D1A53">
        <w:t>of IMD/</w:t>
      </w:r>
      <w:r w:rsidR="00FA4576">
        <w:t>NM</w:t>
      </w:r>
      <w:r w:rsidR="003D1A53">
        <w:t xml:space="preserve">BM </w:t>
      </w:r>
      <w:r w:rsidR="00FA4576">
        <w:t xml:space="preserve">(non-meningococcal bacterial meningitis) </w:t>
      </w:r>
      <w:r w:rsidR="003D1A53">
        <w:t xml:space="preserve">cases reported to SNVS </w:t>
      </w:r>
      <w:r w:rsidR="009847E8">
        <w:t>between 2007 and 2013</w:t>
      </w:r>
      <w:r w:rsidR="003D1A53">
        <w:t xml:space="preserve"> (</w:t>
      </w:r>
      <w:r w:rsidR="009847E8">
        <w:rPr>
          <w:noProof/>
        </w:rPr>
        <w:t>0.222; see Table 1</w:t>
      </w:r>
      <w:r w:rsidR="003D1A53">
        <w:t>)</w:t>
      </w:r>
      <w:r w:rsidR="003D1A53" w:rsidRPr="00E4131E">
        <w:t xml:space="preserve">. </w:t>
      </w:r>
      <w:r w:rsidR="003D1A53">
        <w:t xml:space="preserve">The estimated number of IMD cases was </w:t>
      </w:r>
      <w:r w:rsidR="009847E8">
        <w:t>further</w:t>
      </w:r>
      <w:r w:rsidR="003D1A53">
        <w:t xml:space="preserve"> adjusted to consider </w:t>
      </w:r>
      <w:r w:rsidR="009847E8">
        <w:t xml:space="preserve">a scenario with good quality diagnosis methods for the country. Therefore, we adjusted the estimated </w:t>
      </w:r>
      <w:r w:rsidR="009847E8">
        <w:lastRenderedPageBreak/>
        <w:t xml:space="preserve">number of IMD cases </w:t>
      </w:r>
      <w:r w:rsidR="003D1A53">
        <w:t>with a IMD/</w:t>
      </w:r>
      <w:r w:rsidR="00FA4576">
        <w:t>NM</w:t>
      </w:r>
      <w:r w:rsidR="003D1A53">
        <w:t xml:space="preserve">BM ratio </w:t>
      </w:r>
      <w:r w:rsidR="009847E8">
        <w:t>of</w:t>
      </w:r>
      <w:r w:rsidR="009870E0">
        <w:t xml:space="preserve"> </w:t>
      </w:r>
      <w:r w:rsidR="009847E8">
        <w:t xml:space="preserve">0.295 </w:t>
      </w:r>
      <w:r w:rsidR="003D1A53" w:rsidRPr="00E4131E">
        <w:t xml:space="preserve">for </w:t>
      </w:r>
      <w:r w:rsidR="009847E8">
        <w:t xml:space="preserve">good </w:t>
      </w:r>
      <w:r w:rsidR="003D1A53">
        <w:t xml:space="preserve">bacterial culture diagnosis </w:t>
      </w:r>
      <w:r w:rsidR="009847E8">
        <w:t xml:space="preserve">methods </w:t>
      </w:r>
      <w:r w:rsidR="003D1A53" w:rsidRPr="00E4131E">
        <w:t xml:space="preserve">and </w:t>
      </w:r>
      <w:r w:rsidR="004C640B">
        <w:t>0.503</w:t>
      </w:r>
      <w:r w:rsidR="003D1A53">
        <w:t xml:space="preserve"> </w:t>
      </w:r>
      <w:r w:rsidR="003D1A53" w:rsidRPr="00E4131E">
        <w:t xml:space="preserve">for </w:t>
      </w:r>
      <w:r w:rsidR="004C640B">
        <w:t xml:space="preserve">the addition of </w:t>
      </w:r>
      <w:r w:rsidR="003D1A53" w:rsidRPr="00E4131E">
        <w:t xml:space="preserve">PCR </w:t>
      </w:r>
      <w:r w:rsidR="003D1A53">
        <w:t>diagnosis,</w:t>
      </w:r>
      <w:r w:rsidR="003D1A53" w:rsidRPr="00E4131E">
        <w:t xml:space="preserve"> based on the reported data from Gentile et al., 2017</w:t>
      </w:r>
      <w:r w:rsidR="003D1A53">
        <w:t xml:space="preserve"> </w:t>
      </w:r>
      <w:r w:rsidR="00BA48DE">
        <w:rPr>
          <w:noProof/>
        </w:rPr>
        <w:t>[20]</w:t>
      </w:r>
      <w:r w:rsidR="003D1A53">
        <w:t xml:space="preserve"> (see details in the Methods section of the main text). </w:t>
      </w:r>
    </w:p>
    <w:p w:rsidR="003D1A53" w:rsidRDefault="003D1A53" w:rsidP="003D1A53">
      <w:r>
        <w:t>T</w:t>
      </w:r>
      <w:r w:rsidRPr="00E4131E">
        <w:t>he number</w:t>
      </w:r>
      <w:r>
        <w:t xml:space="preserve"> of</w:t>
      </w:r>
      <w:r w:rsidRPr="00E4131E">
        <w:t xml:space="preserve"> </w:t>
      </w:r>
      <w:r w:rsidR="00FA4576">
        <w:t>NM</w:t>
      </w:r>
      <w:r>
        <w:t>BM</w:t>
      </w:r>
      <w:r w:rsidRPr="00E4131E">
        <w:t xml:space="preserve"> (</w:t>
      </w:r>
      <w:r>
        <w:t xml:space="preserve">ICD-10 code </w:t>
      </w:r>
      <w:r w:rsidRPr="00E4131E">
        <w:t xml:space="preserve">G00) </w:t>
      </w:r>
      <w:r>
        <w:t>reported</w:t>
      </w:r>
      <w:r w:rsidRPr="00E4131E">
        <w:t xml:space="preserve"> by year</w:t>
      </w:r>
      <w:r>
        <w:t xml:space="preserve"> to the HDS between 2007 and 2013, and further adjusted by coverage and diagnostic methods (culture and PCR) are presented in Table S</w:t>
      </w:r>
      <w:r>
        <w:rPr>
          <w:noProof/>
        </w:rPr>
        <w:t>2</w:t>
      </w:r>
      <w:r>
        <w:t>.</w:t>
      </w:r>
      <w:r w:rsidRPr="00E4131E">
        <w:t xml:space="preserve"> </w:t>
      </w:r>
    </w:p>
    <w:p w:rsidR="003D1A53" w:rsidRDefault="003D1A53" w:rsidP="003D1A53">
      <w:r>
        <w:t xml:space="preserve">Assuming 42.0% of BM </w:t>
      </w:r>
      <w:r w:rsidR="009870E0">
        <w:t xml:space="preserve">cases </w:t>
      </w:r>
      <w:r>
        <w:t>were reported to the HDS database, a</w:t>
      </w:r>
      <w:r w:rsidRPr="00722ED9">
        <w:t xml:space="preserve"> mean number of </w:t>
      </w:r>
      <w:r>
        <w:t xml:space="preserve">1,126 BM-related </w:t>
      </w:r>
      <w:r w:rsidRPr="00722ED9">
        <w:t>hospital discharges</w:t>
      </w:r>
      <w:r>
        <w:t xml:space="preserve"> were estimated</w:t>
      </w:r>
      <w:r w:rsidRPr="00722ED9">
        <w:t xml:space="preserve"> between 2007 and 2013</w:t>
      </w:r>
      <w:r>
        <w:t xml:space="preserve">. </w:t>
      </w:r>
      <w:r w:rsidRPr="00722ED9">
        <w:t xml:space="preserve">The highest </w:t>
      </w:r>
      <w:r>
        <w:t xml:space="preserve">IMD </w:t>
      </w:r>
      <w:r w:rsidR="004C640B">
        <w:t>incidence rates</w:t>
      </w:r>
      <w:r>
        <w:t>, adjusted for coverage, was 0.71 hospital discharges per 100,000 inhabitants in 2007</w:t>
      </w:r>
      <w:r w:rsidRPr="00722ED9">
        <w:t xml:space="preserve"> and the lowest was 0.53 </w:t>
      </w:r>
      <w:r>
        <w:t>hospital discharges per 100,000 in</w:t>
      </w:r>
      <w:r w:rsidRPr="00722ED9">
        <w:t xml:space="preserve"> 2012 (</w:t>
      </w:r>
      <w:r>
        <w:t>Table S</w:t>
      </w:r>
      <w:r>
        <w:rPr>
          <w:noProof/>
        </w:rPr>
        <w:t>2</w:t>
      </w:r>
      <w:r w:rsidRPr="00722ED9">
        <w:t>).</w:t>
      </w:r>
    </w:p>
    <w:p w:rsidR="003D1A53" w:rsidRDefault="003D1A53" w:rsidP="003D1A53">
      <w:r>
        <w:t xml:space="preserve">Applying </w:t>
      </w:r>
      <w:r w:rsidR="009870E0">
        <w:t>the</w:t>
      </w:r>
      <w:r>
        <w:t xml:space="preserve"> </w:t>
      </w:r>
      <w:r w:rsidR="004C640B" w:rsidRPr="004C640B">
        <w:t>0.222</w:t>
      </w:r>
      <w:r>
        <w:t xml:space="preserve"> IMD/</w:t>
      </w:r>
      <w:r w:rsidR="00FA4576">
        <w:t>NM</w:t>
      </w:r>
      <w:r>
        <w:t>BM ratio, previously calculated based on the SNVS reported data</w:t>
      </w:r>
      <w:r w:rsidR="004C640B">
        <w:t xml:space="preserve"> between 2007-2013</w:t>
      </w:r>
      <w:r>
        <w:t xml:space="preserve">, we </w:t>
      </w:r>
      <w:r w:rsidR="004C640B">
        <w:t>estimated</w:t>
      </w:r>
      <w:r>
        <w:t xml:space="preserve"> a mean number of 250 IMD cases for the 2007-2013 period, after coverage adjustment </w:t>
      </w:r>
      <w:r w:rsidRPr="00722ED9">
        <w:t>(</w:t>
      </w:r>
      <w:r>
        <w:t>Table S</w:t>
      </w:r>
      <w:r>
        <w:rPr>
          <w:noProof/>
        </w:rPr>
        <w:t>2</w:t>
      </w:r>
      <w:r w:rsidRPr="00722ED9">
        <w:t>)</w:t>
      </w:r>
      <w:r>
        <w:t>.</w:t>
      </w:r>
      <w:r w:rsidRPr="00722ED9">
        <w:t xml:space="preserve"> </w:t>
      </w:r>
    </w:p>
    <w:p w:rsidR="003D1A53" w:rsidRPr="00E4131E" w:rsidRDefault="003D1A53" w:rsidP="003D1A53">
      <w:r>
        <w:t xml:space="preserve">After considering </w:t>
      </w:r>
      <w:r w:rsidR="004C640B">
        <w:t xml:space="preserve">the </w:t>
      </w:r>
      <w:r>
        <w:t xml:space="preserve">ratios </w:t>
      </w:r>
      <w:r w:rsidR="004C640B">
        <w:t xml:space="preserve">described </w:t>
      </w:r>
      <w:r>
        <w:t xml:space="preserve">for </w:t>
      </w:r>
      <w:r w:rsidR="004C640B">
        <w:t xml:space="preserve">good classical </w:t>
      </w:r>
      <w:r>
        <w:t xml:space="preserve">culture </w:t>
      </w:r>
      <w:r w:rsidR="004C640B">
        <w:t xml:space="preserve">methods without </w:t>
      </w:r>
      <w:r>
        <w:t xml:space="preserve">and </w:t>
      </w:r>
      <w:r w:rsidR="004C640B">
        <w:t xml:space="preserve">with </w:t>
      </w:r>
      <w:r>
        <w:t>PCR</w:t>
      </w:r>
      <w:r w:rsidR="006B5E2A">
        <w:t xml:space="preserve"> (0,295 &amp; 0.503) for</w:t>
      </w:r>
      <w:r>
        <w:t xml:space="preserve"> diagnosis adjustments, the number of IMD cases was</w:t>
      </w:r>
      <w:r w:rsidRPr="00722ED9">
        <w:t xml:space="preserve"> </w:t>
      </w:r>
      <w:r>
        <w:t xml:space="preserve">calculated to be </w:t>
      </w:r>
      <w:r w:rsidRPr="00722ED9">
        <w:t>1.</w:t>
      </w:r>
      <w:r>
        <w:t xml:space="preserve">26 and 1.84 times higher, respectively, than the </w:t>
      </w:r>
      <w:r w:rsidR="006B5E2A">
        <w:t xml:space="preserve">initial </w:t>
      </w:r>
      <w:r>
        <w:t>IMD estimate</w:t>
      </w:r>
      <w:r w:rsidR="006B5E2A">
        <w:t xml:space="preserve"> for the HDS database with only the coverage adjustment</w:t>
      </w:r>
      <w:r w:rsidRPr="00722ED9">
        <w:t xml:space="preserve"> (</w:t>
      </w:r>
      <w:r>
        <w:t>Table S</w:t>
      </w:r>
      <w:r>
        <w:rPr>
          <w:noProof/>
        </w:rPr>
        <w:t>2</w:t>
      </w:r>
      <w:r w:rsidRPr="00722ED9">
        <w:t xml:space="preserve">). </w:t>
      </w:r>
    </w:p>
    <w:p w:rsidR="003D1A53" w:rsidRDefault="003D1A53" w:rsidP="003D1A53">
      <w:pPr>
        <w:sectPr w:rsidR="003D1A53" w:rsidSect="008D70FF">
          <w:pgSz w:w="11906" w:h="16838"/>
          <w:pgMar w:top="1440" w:right="1800" w:bottom="1977" w:left="1800" w:header="708" w:footer="708" w:gutter="0"/>
          <w:cols w:space="708"/>
          <w:docGrid w:linePitch="360"/>
        </w:sectPr>
      </w:pPr>
    </w:p>
    <w:p w:rsidR="003D1A53" w:rsidRDefault="003D1A53" w:rsidP="003D1A53">
      <w:pPr>
        <w:pStyle w:val="Heading3"/>
      </w:pPr>
      <w:bookmarkStart w:id="7" w:name="_Ref1128243"/>
      <w:bookmarkStart w:id="8" w:name="_Ref5311233951"/>
      <w:bookmarkStart w:id="9" w:name="_Ref531123395"/>
      <w:r>
        <w:lastRenderedPageBreak/>
        <w:t>Table S</w:t>
      </w:r>
      <w:r>
        <w:rPr>
          <w:noProof/>
        </w:rPr>
        <w:t>2</w:t>
      </w:r>
      <w:bookmarkEnd w:id="7"/>
      <w:r>
        <w:t xml:space="preserve">. </w:t>
      </w:r>
      <w:r w:rsidR="00FA4576">
        <w:t>NM</w:t>
      </w:r>
      <w:r>
        <w:t xml:space="preserve">BM cases reported by the HDS database and estimated </w:t>
      </w:r>
      <w:r w:rsidR="00FA4576">
        <w:t>NM</w:t>
      </w:r>
      <w:r>
        <w:t>BM and IMD cases adjusted by coverage and diagnostic method</w:t>
      </w:r>
      <w:bookmarkEnd w:id="8"/>
      <w:r>
        <w:t>s</w:t>
      </w:r>
      <w:bookmarkEnd w:id="9"/>
    </w:p>
    <w:tbl>
      <w:tblPr>
        <w:tblW w:w="9215" w:type="dxa"/>
        <w:tblLook w:val="04A0" w:firstRow="1" w:lastRow="0" w:firstColumn="1" w:lastColumn="0" w:noHBand="0" w:noVBand="1"/>
      </w:tblPr>
      <w:tblGrid>
        <w:gridCol w:w="2694"/>
        <w:gridCol w:w="851"/>
        <w:gridCol w:w="740"/>
        <w:gridCol w:w="740"/>
        <w:gridCol w:w="740"/>
        <w:gridCol w:w="899"/>
        <w:gridCol w:w="850"/>
        <w:gridCol w:w="851"/>
        <w:gridCol w:w="850"/>
      </w:tblGrid>
      <w:tr w:rsidR="003D1A53" w:rsidRPr="00992A24" w:rsidTr="001F42C9">
        <w:trPr>
          <w:trHeight w:val="300"/>
        </w:trPr>
        <w:tc>
          <w:tcPr>
            <w:tcW w:w="2694" w:type="dxa"/>
            <w:vMerge w:val="restart"/>
            <w:tcBorders>
              <w:top w:val="nil"/>
              <w:left w:val="nil"/>
              <w:right w:val="nil"/>
            </w:tcBorders>
            <w:shd w:val="clear" w:color="auto" w:fill="4F81BD" w:themeFill="accent1"/>
            <w:noWrap/>
            <w:vAlign w:val="center"/>
            <w:hideMark/>
          </w:tcPr>
          <w:p w:rsidR="003D1A53" w:rsidRPr="00992A24" w:rsidRDefault="003D1A53" w:rsidP="001F42C9">
            <w:pPr>
              <w:spacing w:line="360" w:lineRule="auto"/>
              <w:rPr>
                <w:b/>
                <w:color w:val="FFFFFF" w:themeColor="background1"/>
                <w:sz w:val="18"/>
                <w:szCs w:val="18"/>
              </w:rPr>
            </w:pPr>
            <w:r w:rsidRPr="00992A24">
              <w:rPr>
                <w:b/>
                <w:color w:val="FFFFFF" w:themeColor="background1"/>
                <w:sz w:val="18"/>
                <w:szCs w:val="18"/>
              </w:rPr>
              <w:t xml:space="preserve">Number of cases </w:t>
            </w:r>
            <w:r>
              <w:rPr>
                <w:b/>
                <w:color w:val="FFFFFF" w:themeColor="background1"/>
                <w:sz w:val="18"/>
                <w:szCs w:val="18"/>
              </w:rPr>
              <w:t xml:space="preserve">(IRs; </w:t>
            </w:r>
            <w:r w:rsidRPr="00992A24">
              <w:rPr>
                <w:b/>
                <w:color w:val="FFFFFF" w:themeColor="background1"/>
                <w:sz w:val="18"/>
                <w:szCs w:val="18"/>
              </w:rPr>
              <w:t>per 100,000</w:t>
            </w:r>
            <w:r>
              <w:rPr>
                <w:b/>
                <w:color w:val="FFFFFF" w:themeColor="background1"/>
                <w:sz w:val="18"/>
                <w:szCs w:val="18"/>
              </w:rPr>
              <w:t xml:space="preserve"> inhabitants</w:t>
            </w:r>
            <w:r w:rsidRPr="00992A24">
              <w:rPr>
                <w:b/>
                <w:color w:val="FFFFFF" w:themeColor="background1"/>
                <w:sz w:val="18"/>
                <w:szCs w:val="18"/>
              </w:rPr>
              <w:t>)</w:t>
            </w:r>
          </w:p>
        </w:tc>
        <w:tc>
          <w:tcPr>
            <w:tcW w:w="6521" w:type="dxa"/>
            <w:gridSpan w:val="8"/>
            <w:tcBorders>
              <w:top w:val="nil"/>
              <w:left w:val="nil"/>
              <w:bottom w:val="nil"/>
              <w:right w:val="nil"/>
            </w:tcBorders>
            <w:shd w:val="clear" w:color="auto" w:fill="4F81BD" w:themeFill="accent1"/>
            <w:noWrap/>
          </w:tcPr>
          <w:p w:rsidR="003D1A53" w:rsidRPr="00992A24" w:rsidRDefault="003D1A53" w:rsidP="001F42C9">
            <w:pPr>
              <w:spacing w:line="360" w:lineRule="auto"/>
              <w:jc w:val="center"/>
              <w:rPr>
                <w:b/>
                <w:color w:val="FFFFFF" w:themeColor="background1"/>
                <w:sz w:val="18"/>
                <w:szCs w:val="18"/>
              </w:rPr>
            </w:pPr>
            <w:r>
              <w:rPr>
                <w:b/>
                <w:color w:val="FFFFFF" w:themeColor="background1"/>
                <w:sz w:val="18"/>
                <w:szCs w:val="18"/>
              </w:rPr>
              <w:t>Year</w:t>
            </w:r>
          </w:p>
        </w:tc>
      </w:tr>
      <w:tr w:rsidR="003D1A53" w:rsidRPr="00992A24" w:rsidTr="001F42C9">
        <w:trPr>
          <w:trHeight w:val="300"/>
        </w:trPr>
        <w:tc>
          <w:tcPr>
            <w:tcW w:w="2694" w:type="dxa"/>
            <w:vMerge/>
            <w:tcBorders>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rPr>
                <w:b/>
                <w:color w:val="FFFFFF" w:themeColor="background1"/>
                <w:sz w:val="18"/>
                <w:szCs w:val="18"/>
              </w:rPr>
            </w:pPr>
          </w:p>
        </w:tc>
        <w:tc>
          <w:tcPr>
            <w:tcW w:w="851"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2007</w:t>
            </w:r>
          </w:p>
        </w:tc>
        <w:tc>
          <w:tcPr>
            <w:tcW w:w="740"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2008</w:t>
            </w:r>
          </w:p>
        </w:tc>
        <w:tc>
          <w:tcPr>
            <w:tcW w:w="740"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2009</w:t>
            </w:r>
          </w:p>
        </w:tc>
        <w:tc>
          <w:tcPr>
            <w:tcW w:w="740"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2010</w:t>
            </w:r>
          </w:p>
        </w:tc>
        <w:tc>
          <w:tcPr>
            <w:tcW w:w="899"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2011</w:t>
            </w:r>
          </w:p>
        </w:tc>
        <w:tc>
          <w:tcPr>
            <w:tcW w:w="850"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2012</w:t>
            </w:r>
          </w:p>
        </w:tc>
        <w:tc>
          <w:tcPr>
            <w:tcW w:w="851"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2013</w:t>
            </w:r>
          </w:p>
        </w:tc>
        <w:tc>
          <w:tcPr>
            <w:tcW w:w="850" w:type="dxa"/>
            <w:tcBorders>
              <w:top w:val="nil"/>
              <w:left w:val="nil"/>
              <w:bottom w:val="single" w:sz="4" w:space="0" w:color="4F81BD" w:themeColor="accent1"/>
              <w:right w:val="nil"/>
            </w:tcBorders>
            <w:shd w:val="clear" w:color="auto" w:fill="4F81BD" w:themeFill="accent1"/>
            <w:noWrap/>
            <w:hideMark/>
          </w:tcPr>
          <w:p w:rsidR="003D1A53" w:rsidRPr="00992A24" w:rsidRDefault="003D1A53" w:rsidP="001F42C9">
            <w:pPr>
              <w:spacing w:line="360" w:lineRule="auto"/>
              <w:jc w:val="center"/>
              <w:rPr>
                <w:b/>
                <w:color w:val="FFFFFF" w:themeColor="background1"/>
                <w:sz w:val="18"/>
                <w:szCs w:val="18"/>
              </w:rPr>
            </w:pPr>
            <w:r w:rsidRPr="00992A24">
              <w:rPr>
                <w:b/>
                <w:color w:val="FFFFFF" w:themeColor="background1"/>
                <w:sz w:val="18"/>
                <w:szCs w:val="18"/>
              </w:rPr>
              <w:t>Mean</w:t>
            </w:r>
          </w:p>
        </w:tc>
      </w:tr>
      <w:tr w:rsidR="003D1A53" w:rsidRPr="00992A24" w:rsidTr="001F42C9">
        <w:trPr>
          <w:trHeight w:val="300"/>
        </w:trPr>
        <w:tc>
          <w:tcPr>
            <w:tcW w:w="9215" w:type="dxa"/>
            <w:gridSpan w:val="9"/>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rPr>
                <w:sz w:val="18"/>
                <w:szCs w:val="18"/>
              </w:rPr>
            </w:pPr>
            <w:r w:rsidRPr="00992A24">
              <w:rPr>
                <w:i/>
                <w:color w:val="000000"/>
                <w:sz w:val="18"/>
                <w:szCs w:val="18"/>
              </w:rPr>
              <w:t>Reported</w:t>
            </w:r>
          </w:p>
        </w:tc>
      </w:tr>
      <w:tr w:rsidR="003D1A53" w:rsidRPr="00992A24" w:rsidTr="001F42C9">
        <w:trPr>
          <w:trHeight w:val="300"/>
        </w:trPr>
        <w:tc>
          <w:tcPr>
            <w:tcW w:w="2694"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FA4576" w:rsidP="001F42C9">
            <w:pPr>
              <w:spacing w:line="360" w:lineRule="auto"/>
              <w:ind w:left="178"/>
              <w:rPr>
                <w:color w:val="000000"/>
                <w:sz w:val="18"/>
                <w:szCs w:val="18"/>
              </w:rPr>
            </w:pPr>
            <w:r>
              <w:rPr>
                <w:color w:val="000000"/>
                <w:sz w:val="18"/>
                <w:szCs w:val="18"/>
              </w:rPr>
              <w:t>NM</w:t>
            </w:r>
            <w:r w:rsidR="003D1A53" w:rsidRPr="00992A24">
              <w:rPr>
                <w:color w:val="000000"/>
                <w:sz w:val="18"/>
                <w:szCs w:val="18"/>
              </w:rPr>
              <w:t>BM (ICD-10 code G00)</w:t>
            </w:r>
          </w:p>
        </w:tc>
        <w:tc>
          <w:tcPr>
            <w:tcW w:w="851"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534 (1.34)</w:t>
            </w:r>
          </w:p>
        </w:tc>
        <w:tc>
          <w:tcPr>
            <w:tcW w:w="740"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515 (1.28)</w:t>
            </w:r>
          </w:p>
        </w:tc>
        <w:tc>
          <w:tcPr>
            <w:tcW w:w="740"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449 (1.10)</w:t>
            </w:r>
          </w:p>
        </w:tc>
        <w:tc>
          <w:tcPr>
            <w:tcW w:w="740"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452 (1.10)</w:t>
            </w:r>
          </w:p>
        </w:tc>
        <w:tc>
          <w:tcPr>
            <w:tcW w:w="899"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452 (1.09)</w:t>
            </w:r>
          </w:p>
        </w:tc>
        <w:tc>
          <w:tcPr>
            <w:tcW w:w="850"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424 (1.01)</w:t>
            </w:r>
          </w:p>
        </w:tc>
        <w:tc>
          <w:tcPr>
            <w:tcW w:w="851"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482 (1.14)</w:t>
            </w:r>
          </w:p>
        </w:tc>
        <w:tc>
          <w:tcPr>
            <w:tcW w:w="850" w:type="dxa"/>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473 (1.15)</w:t>
            </w:r>
          </w:p>
        </w:tc>
      </w:tr>
      <w:tr w:rsidR="003D1A53" w:rsidRPr="00992A24" w:rsidTr="001F42C9">
        <w:trPr>
          <w:trHeight w:val="300"/>
        </w:trPr>
        <w:tc>
          <w:tcPr>
            <w:tcW w:w="9215" w:type="dxa"/>
            <w:gridSpan w:val="9"/>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rPr>
                <w:sz w:val="18"/>
                <w:szCs w:val="18"/>
                <w:vertAlign w:val="superscript"/>
              </w:rPr>
            </w:pPr>
            <w:r w:rsidRPr="00992A24">
              <w:rPr>
                <w:i/>
                <w:color w:val="000000"/>
                <w:sz w:val="18"/>
                <w:szCs w:val="18"/>
              </w:rPr>
              <w:t>Adjusted by coverage</w:t>
            </w:r>
          </w:p>
        </w:tc>
      </w:tr>
      <w:tr w:rsidR="003D1A53" w:rsidRPr="00992A24" w:rsidTr="001F42C9">
        <w:trPr>
          <w:trHeight w:val="300"/>
        </w:trPr>
        <w:tc>
          <w:tcPr>
            <w:tcW w:w="2694"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 xml:space="preserve">Adjusted </w:t>
            </w:r>
            <w:r w:rsidR="00FA4576">
              <w:rPr>
                <w:color w:val="000000"/>
                <w:sz w:val="18"/>
                <w:szCs w:val="18"/>
              </w:rPr>
              <w:t>NM</w:t>
            </w:r>
            <w:r w:rsidRPr="00992A24">
              <w:rPr>
                <w:color w:val="000000"/>
                <w:sz w:val="18"/>
                <w:szCs w:val="18"/>
              </w:rPr>
              <w:t>BM</w:t>
            </w:r>
            <w:r w:rsidR="00EC2FE5">
              <w:rPr>
                <w:i/>
                <w:color w:val="000000"/>
                <w:sz w:val="18"/>
                <w:szCs w:val="18"/>
                <w:vertAlign w:val="superscript"/>
              </w:rPr>
              <w:t>a</w:t>
            </w:r>
          </w:p>
        </w:tc>
        <w:tc>
          <w:tcPr>
            <w:tcW w:w="851"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1,272 (3.19)</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1,227 (3.05)</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1,070 (2.63)</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1,077 (2.62)</w:t>
            </w:r>
          </w:p>
        </w:tc>
        <w:tc>
          <w:tcPr>
            <w:tcW w:w="899"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1,077 (2.59)</w:t>
            </w:r>
          </w:p>
        </w:tc>
        <w:tc>
          <w:tcPr>
            <w:tcW w:w="85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1,010 (2.41)</w:t>
            </w:r>
          </w:p>
        </w:tc>
        <w:tc>
          <w:tcPr>
            <w:tcW w:w="851"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1,149 (2.71)</w:t>
            </w:r>
          </w:p>
        </w:tc>
        <w:tc>
          <w:tcPr>
            <w:tcW w:w="85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1,126 (2.74)</w:t>
            </w:r>
          </w:p>
        </w:tc>
      </w:tr>
      <w:tr w:rsidR="003D1A53" w:rsidRPr="00992A24" w:rsidTr="001F42C9">
        <w:trPr>
          <w:trHeight w:val="300"/>
        </w:trPr>
        <w:tc>
          <w:tcPr>
            <w:tcW w:w="2694"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ind w:left="178"/>
              <w:rPr>
                <w:color w:val="000000"/>
                <w:sz w:val="18"/>
                <w:szCs w:val="18"/>
                <w:vertAlign w:val="superscript"/>
              </w:rPr>
            </w:pPr>
            <w:r w:rsidRPr="00992A24">
              <w:rPr>
                <w:color w:val="000000"/>
                <w:sz w:val="18"/>
                <w:szCs w:val="18"/>
              </w:rPr>
              <w:t>Adjusted IMD</w:t>
            </w:r>
            <w:r>
              <w:rPr>
                <w:color w:val="000000"/>
                <w:sz w:val="18"/>
                <w:szCs w:val="18"/>
                <w:vertAlign w:val="superscript"/>
              </w:rPr>
              <w:t>b</w:t>
            </w:r>
          </w:p>
        </w:tc>
        <w:tc>
          <w:tcPr>
            <w:tcW w:w="851"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282 (0.71)</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272 (0.68)</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237 (0.58)</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239 (0.58)</w:t>
            </w:r>
          </w:p>
        </w:tc>
        <w:tc>
          <w:tcPr>
            <w:tcW w:w="899"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239 (0.57)</w:t>
            </w:r>
          </w:p>
        </w:tc>
        <w:tc>
          <w:tcPr>
            <w:tcW w:w="85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224 (0.53)</w:t>
            </w:r>
          </w:p>
        </w:tc>
        <w:tc>
          <w:tcPr>
            <w:tcW w:w="851"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255 (0.60)</w:t>
            </w:r>
          </w:p>
        </w:tc>
        <w:tc>
          <w:tcPr>
            <w:tcW w:w="85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250 (0.61)</w:t>
            </w:r>
          </w:p>
        </w:tc>
      </w:tr>
      <w:tr w:rsidR="003D1A53" w:rsidRPr="00992A24" w:rsidTr="001F42C9">
        <w:trPr>
          <w:trHeight w:val="300"/>
        </w:trPr>
        <w:tc>
          <w:tcPr>
            <w:tcW w:w="9215" w:type="dxa"/>
            <w:gridSpan w:val="9"/>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rPr>
                <w:sz w:val="18"/>
                <w:szCs w:val="18"/>
                <w:vertAlign w:val="superscript"/>
              </w:rPr>
            </w:pPr>
            <w:r w:rsidRPr="00992A24">
              <w:rPr>
                <w:i/>
                <w:color w:val="000000"/>
                <w:sz w:val="18"/>
                <w:szCs w:val="18"/>
              </w:rPr>
              <w:t>Adjusted by culture diagnosis</w:t>
            </w:r>
            <w:r>
              <w:rPr>
                <w:i/>
                <w:color w:val="000000"/>
                <w:sz w:val="18"/>
                <w:szCs w:val="18"/>
                <w:vertAlign w:val="superscript"/>
              </w:rPr>
              <w:t>c</w:t>
            </w:r>
          </w:p>
        </w:tc>
      </w:tr>
      <w:tr w:rsidR="003D1A53" w:rsidRPr="00992A24" w:rsidTr="001F42C9">
        <w:trPr>
          <w:trHeight w:val="300"/>
        </w:trPr>
        <w:tc>
          <w:tcPr>
            <w:tcW w:w="2694"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 xml:space="preserve">Additional </w:t>
            </w:r>
            <w:r w:rsidRPr="00992A24">
              <w:rPr>
                <w:i/>
                <w:color w:val="000000"/>
                <w:sz w:val="18"/>
                <w:szCs w:val="18"/>
              </w:rPr>
              <w:t>Nm</w:t>
            </w:r>
            <w:r w:rsidRPr="00992A24">
              <w:rPr>
                <w:color w:val="000000"/>
                <w:sz w:val="18"/>
                <w:szCs w:val="18"/>
              </w:rPr>
              <w:t xml:space="preserve"> identified</w:t>
            </w:r>
          </w:p>
        </w:tc>
        <w:tc>
          <w:tcPr>
            <w:tcW w:w="851"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72 (0.18)</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69 (0.17)</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61 (0.15)</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61 (0.15)</w:t>
            </w:r>
          </w:p>
        </w:tc>
        <w:tc>
          <w:tcPr>
            <w:tcW w:w="899"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61 (0.15)</w:t>
            </w:r>
          </w:p>
        </w:tc>
        <w:tc>
          <w:tcPr>
            <w:tcW w:w="85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57 (0.14)</w:t>
            </w:r>
          </w:p>
        </w:tc>
        <w:tc>
          <w:tcPr>
            <w:tcW w:w="851"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65 (0.15)</w:t>
            </w:r>
          </w:p>
        </w:tc>
        <w:tc>
          <w:tcPr>
            <w:tcW w:w="85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64 (0.16)</w:t>
            </w:r>
          </w:p>
        </w:tc>
      </w:tr>
      <w:tr w:rsidR="003D1A53" w:rsidRPr="00992A24" w:rsidTr="001F42C9">
        <w:trPr>
          <w:trHeight w:val="300"/>
        </w:trPr>
        <w:tc>
          <w:tcPr>
            <w:tcW w:w="2694" w:type="dxa"/>
            <w:tcBorders>
              <w:top w:val="nil"/>
              <w:left w:val="nil"/>
              <w:bottom w:val="nil"/>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 xml:space="preserve">Adjusted </w:t>
            </w:r>
            <w:r w:rsidR="00FA4576">
              <w:rPr>
                <w:color w:val="000000"/>
                <w:sz w:val="18"/>
                <w:szCs w:val="18"/>
              </w:rPr>
              <w:t>NM</w:t>
            </w:r>
            <w:r w:rsidRPr="00992A24">
              <w:rPr>
                <w:color w:val="000000"/>
                <w:sz w:val="18"/>
                <w:szCs w:val="18"/>
              </w:rPr>
              <w:t>BM</w:t>
            </w:r>
          </w:p>
        </w:tc>
        <w:tc>
          <w:tcPr>
            <w:tcW w:w="851"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1,201 (3.01)</w:t>
            </w:r>
          </w:p>
        </w:tc>
        <w:tc>
          <w:tcPr>
            <w:tcW w:w="740"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1,158 (2.87)</w:t>
            </w:r>
          </w:p>
        </w:tc>
        <w:tc>
          <w:tcPr>
            <w:tcW w:w="740"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1,009 (2.48)</w:t>
            </w:r>
          </w:p>
        </w:tc>
        <w:tc>
          <w:tcPr>
            <w:tcW w:w="740"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1,016 (2.47)</w:t>
            </w:r>
          </w:p>
        </w:tc>
        <w:tc>
          <w:tcPr>
            <w:tcW w:w="899"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1,016 (2.44)</w:t>
            </w:r>
          </w:p>
        </w:tc>
        <w:tc>
          <w:tcPr>
            <w:tcW w:w="850"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953 (2.27)</w:t>
            </w:r>
          </w:p>
        </w:tc>
        <w:tc>
          <w:tcPr>
            <w:tcW w:w="851"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1,084 (2.55)</w:t>
            </w:r>
          </w:p>
        </w:tc>
        <w:tc>
          <w:tcPr>
            <w:tcW w:w="850" w:type="dxa"/>
            <w:tcBorders>
              <w:top w:val="nil"/>
              <w:left w:val="nil"/>
              <w:bottom w:val="nil"/>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1,062 (2.59)</w:t>
            </w:r>
          </w:p>
        </w:tc>
      </w:tr>
      <w:tr w:rsidR="003D1A53" w:rsidRPr="00992A24" w:rsidTr="001F42C9">
        <w:trPr>
          <w:trHeight w:val="300"/>
        </w:trPr>
        <w:tc>
          <w:tcPr>
            <w:tcW w:w="2694"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Adjusted IMD</w:t>
            </w:r>
          </w:p>
        </w:tc>
        <w:tc>
          <w:tcPr>
            <w:tcW w:w="851"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354 (0.89)</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341 (0.85)</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298 (0.73)</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300 (0.73)</w:t>
            </w:r>
          </w:p>
        </w:tc>
        <w:tc>
          <w:tcPr>
            <w:tcW w:w="899"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300 (0.72)</w:t>
            </w:r>
          </w:p>
        </w:tc>
        <w:tc>
          <w:tcPr>
            <w:tcW w:w="85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281 (0.67)</w:t>
            </w:r>
          </w:p>
        </w:tc>
        <w:tc>
          <w:tcPr>
            <w:tcW w:w="851"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320 (0.75)</w:t>
            </w:r>
          </w:p>
        </w:tc>
        <w:tc>
          <w:tcPr>
            <w:tcW w:w="85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313 (0.76)</w:t>
            </w:r>
          </w:p>
        </w:tc>
      </w:tr>
      <w:tr w:rsidR="003D1A53" w:rsidRPr="00992A24" w:rsidTr="001F42C9">
        <w:trPr>
          <w:trHeight w:val="300"/>
        </w:trPr>
        <w:tc>
          <w:tcPr>
            <w:tcW w:w="9215" w:type="dxa"/>
            <w:gridSpan w:val="9"/>
            <w:tcBorders>
              <w:top w:val="single" w:sz="4" w:space="0" w:color="4F81BD" w:themeColor="accent1"/>
              <w:left w:val="nil"/>
              <w:bottom w:val="single" w:sz="4" w:space="0" w:color="4F81BD" w:themeColor="accent1"/>
              <w:right w:val="nil"/>
            </w:tcBorders>
            <w:shd w:val="clear" w:color="auto" w:fill="auto"/>
            <w:noWrap/>
            <w:hideMark/>
          </w:tcPr>
          <w:p w:rsidR="003D1A53" w:rsidRPr="00992A24" w:rsidRDefault="003D1A53" w:rsidP="001F42C9">
            <w:pPr>
              <w:spacing w:line="360" w:lineRule="auto"/>
              <w:rPr>
                <w:sz w:val="18"/>
                <w:szCs w:val="18"/>
                <w:vertAlign w:val="superscript"/>
              </w:rPr>
            </w:pPr>
            <w:r w:rsidRPr="00992A24">
              <w:rPr>
                <w:i/>
                <w:color w:val="000000"/>
                <w:sz w:val="18"/>
                <w:szCs w:val="18"/>
              </w:rPr>
              <w:t>Adjusted by PCR diagnosis</w:t>
            </w:r>
            <w:r>
              <w:rPr>
                <w:i/>
                <w:color w:val="000000"/>
                <w:sz w:val="18"/>
                <w:szCs w:val="18"/>
                <w:vertAlign w:val="superscript"/>
              </w:rPr>
              <w:t>c</w:t>
            </w:r>
          </w:p>
        </w:tc>
      </w:tr>
      <w:tr w:rsidR="003D1A53" w:rsidRPr="00992A24" w:rsidTr="001F42C9">
        <w:trPr>
          <w:trHeight w:val="300"/>
        </w:trPr>
        <w:tc>
          <w:tcPr>
            <w:tcW w:w="2694"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 xml:space="preserve">Additional </w:t>
            </w:r>
            <w:r w:rsidRPr="00992A24">
              <w:rPr>
                <w:i/>
                <w:color w:val="000000"/>
                <w:sz w:val="18"/>
                <w:szCs w:val="18"/>
              </w:rPr>
              <w:t>Nm</w:t>
            </w:r>
            <w:r w:rsidRPr="00992A24">
              <w:rPr>
                <w:color w:val="000000"/>
                <w:sz w:val="18"/>
                <w:szCs w:val="18"/>
              </w:rPr>
              <w:t xml:space="preserve"> identified</w:t>
            </w:r>
          </w:p>
        </w:tc>
        <w:tc>
          <w:tcPr>
            <w:tcW w:w="851"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238 (0.60)</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229 (0.57)</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200 (0.49)</w:t>
            </w:r>
          </w:p>
        </w:tc>
        <w:tc>
          <w:tcPr>
            <w:tcW w:w="74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201 (0.49)</w:t>
            </w:r>
          </w:p>
        </w:tc>
        <w:tc>
          <w:tcPr>
            <w:tcW w:w="899"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201 (0.48)</w:t>
            </w:r>
          </w:p>
        </w:tc>
        <w:tc>
          <w:tcPr>
            <w:tcW w:w="85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189 (0.45)</w:t>
            </w:r>
          </w:p>
        </w:tc>
        <w:tc>
          <w:tcPr>
            <w:tcW w:w="851"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215 (0.51)</w:t>
            </w:r>
          </w:p>
        </w:tc>
        <w:tc>
          <w:tcPr>
            <w:tcW w:w="850" w:type="dxa"/>
            <w:tcBorders>
              <w:top w:val="single" w:sz="4" w:space="0" w:color="4F81BD" w:themeColor="accent1"/>
              <w:left w:val="nil"/>
              <w:bottom w:val="nil"/>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211 (0.51)</w:t>
            </w:r>
          </w:p>
        </w:tc>
      </w:tr>
      <w:tr w:rsidR="003D1A53" w:rsidRPr="00992A24" w:rsidTr="001F42C9">
        <w:trPr>
          <w:trHeight w:val="300"/>
        </w:trPr>
        <w:tc>
          <w:tcPr>
            <w:tcW w:w="2694" w:type="dxa"/>
            <w:tcBorders>
              <w:top w:val="nil"/>
              <w:left w:val="nil"/>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 xml:space="preserve">Adjusted </w:t>
            </w:r>
            <w:r w:rsidR="00FA4576">
              <w:rPr>
                <w:color w:val="000000"/>
                <w:sz w:val="18"/>
                <w:szCs w:val="18"/>
              </w:rPr>
              <w:t>NM</w:t>
            </w:r>
            <w:r w:rsidRPr="00992A24">
              <w:rPr>
                <w:color w:val="000000"/>
                <w:sz w:val="18"/>
                <w:szCs w:val="18"/>
              </w:rPr>
              <w:t>BM</w:t>
            </w:r>
          </w:p>
        </w:tc>
        <w:tc>
          <w:tcPr>
            <w:tcW w:w="851"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1,035 (2.59)</w:t>
            </w:r>
          </w:p>
        </w:tc>
        <w:tc>
          <w:tcPr>
            <w:tcW w:w="740"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998 (2.48)</w:t>
            </w:r>
          </w:p>
        </w:tc>
        <w:tc>
          <w:tcPr>
            <w:tcW w:w="740"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870 (2.14)</w:t>
            </w:r>
          </w:p>
        </w:tc>
        <w:tc>
          <w:tcPr>
            <w:tcW w:w="740"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876 (2.13)</w:t>
            </w:r>
          </w:p>
        </w:tc>
        <w:tc>
          <w:tcPr>
            <w:tcW w:w="899"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876 (2.11)</w:t>
            </w:r>
          </w:p>
        </w:tc>
        <w:tc>
          <w:tcPr>
            <w:tcW w:w="850"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821 (1.96)</w:t>
            </w:r>
          </w:p>
        </w:tc>
        <w:tc>
          <w:tcPr>
            <w:tcW w:w="851" w:type="dxa"/>
            <w:tcBorders>
              <w:top w:val="nil"/>
              <w:left w:val="nil"/>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934 (2.20)</w:t>
            </w:r>
          </w:p>
        </w:tc>
        <w:tc>
          <w:tcPr>
            <w:tcW w:w="850" w:type="dxa"/>
            <w:tcBorders>
              <w:top w:val="nil"/>
              <w:left w:val="nil"/>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916 (2.23)</w:t>
            </w:r>
          </w:p>
        </w:tc>
      </w:tr>
      <w:tr w:rsidR="003D1A53" w:rsidRPr="00992A24" w:rsidTr="001F42C9">
        <w:trPr>
          <w:trHeight w:val="300"/>
        </w:trPr>
        <w:tc>
          <w:tcPr>
            <w:tcW w:w="2694"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ind w:left="178"/>
              <w:rPr>
                <w:color w:val="000000"/>
                <w:sz w:val="18"/>
                <w:szCs w:val="18"/>
              </w:rPr>
            </w:pPr>
            <w:r w:rsidRPr="00992A24">
              <w:rPr>
                <w:color w:val="000000"/>
                <w:sz w:val="18"/>
                <w:szCs w:val="18"/>
              </w:rPr>
              <w:t>Adjusted IMD</w:t>
            </w:r>
          </w:p>
        </w:tc>
        <w:tc>
          <w:tcPr>
            <w:tcW w:w="851"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520 (1.30)</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502 (1.24)</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437 (1.07)</w:t>
            </w:r>
          </w:p>
        </w:tc>
        <w:tc>
          <w:tcPr>
            <w:tcW w:w="74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440 (1.07)</w:t>
            </w:r>
          </w:p>
        </w:tc>
        <w:tc>
          <w:tcPr>
            <w:tcW w:w="899"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440 (1.06)</w:t>
            </w:r>
          </w:p>
        </w:tc>
        <w:tc>
          <w:tcPr>
            <w:tcW w:w="85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413 (0.98)</w:t>
            </w:r>
          </w:p>
        </w:tc>
        <w:tc>
          <w:tcPr>
            <w:tcW w:w="851"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color w:val="000000"/>
                <w:sz w:val="18"/>
                <w:szCs w:val="18"/>
              </w:rPr>
            </w:pPr>
            <w:r w:rsidRPr="00992A24">
              <w:rPr>
                <w:color w:val="000000"/>
                <w:sz w:val="18"/>
                <w:szCs w:val="18"/>
              </w:rPr>
              <w:t>469 (1.11)</w:t>
            </w:r>
          </w:p>
        </w:tc>
        <w:tc>
          <w:tcPr>
            <w:tcW w:w="850" w:type="dxa"/>
            <w:tcBorders>
              <w:top w:val="nil"/>
              <w:left w:val="nil"/>
              <w:bottom w:val="single" w:sz="4" w:space="0" w:color="4F81BD" w:themeColor="accent1"/>
              <w:right w:val="nil"/>
            </w:tcBorders>
            <w:shd w:val="clear" w:color="auto" w:fill="auto"/>
            <w:noWrap/>
            <w:hideMark/>
          </w:tcPr>
          <w:p w:rsidR="003D1A53" w:rsidRPr="00992A24" w:rsidRDefault="003D1A53" w:rsidP="001F42C9">
            <w:pPr>
              <w:spacing w:line="360" w:lineRule="auto"/>
              <w:jc w:val="center"/>
              <w:rPr>
                <w:b/>
                <w:color w:val="000000"/>
                <w:sz w:val="18"/>
                <w:szCs w:val="18"/>
              </w:rPr>
            </w:pPr>
            <w:r w:rsidRPr="00992A24">
              <w:rPr>
                <w:b/>
                <w:color w:val="000000"/>
                <w:sz w:val="18"/>
                <w:szCs w:val="18"/>
              </w:rPr>
              <w:t>460 (1.12)</w:t>
            </w:r>
          </w:p>
        </w:tc>
      </w:tr>
    </w:tbl>
    <w:p w:rsidR="003D1A53" w:rsidRPr="00E4131E" w:rsidRDefault="003D1A53" w:rsidP="003D1A53">
      <w:pPr>
        <w:pStyle w:val="Footnotetable"/>
      </w:pPr>
      <w:r>
        <w:rPr>
          <w:vertAlign w:val="superscript"/>
        </w:rPr>
        <w:t>a</w:t>
      </w:r>
      <w:r w:rsidRPr="00E4131E">
        <w:t xml:space="preserve"> </w:t>
      </w:r>
      <w:r>
        <w:t>Reported</w:t>
      </w:r>
      <w:r w:rsidRPr="00E4131E">
        <w:t xml:space="preserve"> </w:t>
      </w:r>
      <w:r w:rsidR="00FA4576">
        <w:t>NM</w:t>
      </w:r>
      <w:r>
        <w:t>BM</w:t>
      </w:r>
      <w:r w:rsidRPr="00E4131E">
        <w:t xml:space="preserve"> </w:t>
      </w:r>
      <w:r>
        <w:t xml:space="preserve">cases </w:t>
      </w:r>
      <w:r w:rsidRPr="00E4131E">
        <w:t xml:space="preserve">(G00) </w:t>
      </w:r>
      <w:r>
        <w:t xml:space="preserve">were adjusted </w:t>
      </w:r>
      <w:r w:rsidRPr="00E4131E">
        <w:t xml:space="preserve">considering </w:t>
      </w:r>
      <w:r>
        <w:t>that</w:t>
      </w:r>
      <w:r w:rsidRPr="00E4131E">
        <w:t xml:space="preserve"> 42.0% of the </w:t>
      </w:r>
      <w:r>
        <w:t>Argentinian</w:t>
      </w:r>
      <w:r w:rsidRPr="00E4131E">
        <w:t xml:space="preserve"> population </w:t>
      </w:r>
      <w:r>
        <w:t>was</w:t>
      </w:r>
      <w:r w:rsidRPr="00E4131E">
        <w:t xml:space="preserve"> covered by </w:t>
      </w:r>
      <w:r>
        <w:t>the HDS.</w:t>
      </w:r>
    </w:p>
    <w:p w:rsidR="003D1A53" w:rsidRDefault="003D1A53" w:rsidP="003D1A53">
      <w:pPr>
        <w:pStyle w:val="Footnotetable"/>
      </w:pPr>
      <w:r>
        <w:rPr>
          <w:vertAlign w:val="superscript"/>
        </w:rPr>
        <w:t>b</w:t>
      </w:r>
      <w:r w:rsidRPr="00E4131E">
        <w:t xml:space="preserve"> </w:t>
      </w:r>
      <w:r>
        <w:t>T</w:t>
      </w:r>
      <w:r w:rsidRPr="00E4131E">
        <w:t xml:space="preserve">he number of </w:t>
      </w:r>
      <w:r>
        <w:t xml:space="preserve">IMD </w:t>
      </w:r>
      <w:r w:rsidRPr="00E4131E">
        <w:t xml:space="preserve">hospital discharges </w:t>
      </w:r>
      <w:r>
        <w:t>was calculated using</w:t>
      </w:r>
      <w:r w:rsidRPr="00E4131E">
        <w:t xml:space="preserve"> a </w:t>
      </w:r>
      <w:r>
        <w:t>IMD/</w:t>
      </w:r>
      <w:r w:rsidR="00FA4576">
        <w:t>NM</w:t>
      </w:r>
      <w:r>
        <w:t xml:space="preserve">BM </w:t>
      </w:r>
      <w:r w:rsidRPr="00E4131E">
        <w:t xml:space="preserve">ratio of </w:t>
      </w:r>
      <w:r w:rsidR="00677A95">
        <w:t>0.222</w:t>
      </w:r>
      <w:r>
        <w:t xml:space="preserve">, corresponding to the </w:t>
      </w:r>
      <w:r w:rsidR="009847E8">
        <w:t xml:space="preserve">average </w:t>
      </w:r>
      <w:r>
        <w:t>ratio of IMD/</w:t>
      </w:r>
      <w:r w:rsidR="00FA4576">
        <w:t>NM</w:t>
      </w:r>
      <w:r>
        <w:t xml:space="preserve">BM cases reported to the SNVS database </w:t>
      </w:r>
      <w:r w:rsidR="009847E8">
        <w:t xml:space="preserve">between </w:t>
      </w:r>
      <w:r>
        <w:t>2007-2013.</w:t>
      </w:r>
    </w:p>
    <w:p w:rsidR="003D1A53" w:rsidRPr="00E4131E" w:rsidRDefault="003D1A53" w:rsidP="003D1A53">
      <w:pPr>
        <w:pStyle w:val="Footnotetable"/>
        <w:rPr>
          <w:color w:val="auto"/>
          <w:szCs w:val="20"/>
          <w:lang w:val="en-GB"/>
        </w:rPr>
      </w:pPr>
      <w:r>
        <w:rPr>
          <w:vertAlign w:val="superscript"/>
        </w:rPr>
        <w:t>c</w:t>
      </w:r>
      <w:r w:rsidRPr="00E4131E">
        <w:rPr>
          <w:vertAlign w:val="superscript"/>
        </w:rPr>
        <w:t xml:space="preserve"> </w:t>
      </w:r>
      <w:r>
        <w:t>Adjusted</w:t>
      </w:r>
      <w:r w:rsidRPr="00A00D3D">
        <w:t xml:space="preserve"> according to the diagnostic methods with a ratio of </w:t>
      </w:r>
      <w:r w:rsidR="004C640B">
        <w:t>0.295</w:t>
      </w:r>
      <w:r w:rsidRPr="00A00D3D">
        <w:t xml:space="preserve"> (for classical culture diagnosis) and </w:t>
      </w:r>
      <w:r w:rsidR="004C640B">
        <w:t>0.503</w:t>
      </w:r>
      <w:r w:rsidRPr="00A00D3D">
        <w:t xml:space="preserve"> (for diagnosis including PCR) was used based on the reported data from Gentile et al. (2017)</w:t>
      </w:r>
      <w:r w:rsidR="00BA48DE">
        <w:t xml:space="preserve"> [20].</w:t>
      </w:r>
    </w:p>
    <w:p w:rsidR="00BE1A3E" w:rsidRDefault="00F06AFD" w:rsidP="003D1A53">
      <w:pPr>
        <w:pStyle w:val="Footnotetable"/>
      </w:pPr>
      <w:r>
        <w:t>NM</w:t>
      </w:r>
      <w:r w:rsidR="003D1A53">
        <w:t xml:space="preserve">BM: </w:t>
      </w:r>
      <w:r>
        <w:t xml:space="preserve">non-meningococcal </w:t>
      </w:r>
      <w:r w:rsidR="003D1A53">
        <w:t xml:space="preserve">bacterial meningitis; HDS: </w:t>
      </w:r>
      <w:r w:rsidR="003D1A53" w:rsidRPr="00E4131E">
        <w:t>Hospital Discharge System</w:t>
      </w:r>
      <w:r w:rsidR="003D1A53">
        <w:t>;</w:t>
      </w:r>
      <w:r w:rsidR="003D1A53" w:rsidRPr="00E4131E">
        <w:t xml:space="preserve"> </w:t>
      </w:r>
      <w:r w:rsidR="003D1A53" w:rsidRPr="00A00D3D">
        <w:t xml:space="preserve">ICD-10: </w:t>
      </w:r>
      <w:r w:rsidR="003D1A53" w:rsidRPr="00A00D3D">
        <w:rPr>
          <w:lang w:val="en-GB"/>
        </w:rPr>
        <w:t>International Classification of Diseases, 10</w:t>
      </w:r>
      <w:r w:rsidR="003D1A53" w:rsidRPr="00D762A4">
        <w:rPr>
          <w:vertAlign w:val="superscript"/>
          <w:lang w:val="en-GB"/>
        </w:rPr>
        <w:t>th</w:t>
      </w:r>
      <w:r w:rsidR="003D1A53" w:rsidRPr="00A00D3D">
        <w:rPr>
          <w:lang w:val="en-GB"/>
        </w:rPr>
        <w:t xml:space="preserve"> Revision</w:t>
      </w:r>
      <w:r w:rsidR="003D1A53">
        <w:rPr>
          <w:lang w:val="en-GB"/>
        </w:rPr>
        <w:t xml:space="preserve"> codes</w:t>
      </w:r>
      <w:r w:rsidR="003D1A53" w:rsidRPr="00A00D3D">
        <w:rPr>
          <w:lang w:val="en-GB"/>
        </w:rPr>
        <w:t xml:space="preserve">; </w:t>
      </w:r>
      <w:r w:rsidR="003D1A53">
        <w:t xml:space="preserve">IMD: invasive meningococcal disease; IRs: incidence rates; </w:t>
      </w:r>
      <w:r w:rsidR="003D1A53" w:rsidRPr="00A00D3D">
        <w:rPr>
          <w:i/>
        </w:rPr>
        <w:t>Nm</w:t>
      </w:r>
      <w:r w:rsidR="003D1A53">
        <w:t xml:space="preserve">: </w:t>
      </w:r>
      <w:r w:rsidR="003D1A53" w:rsidRPr="00A00D3D">
        <w:rPr>
          <w:i/>
        </w:rPr>
        <w:t>Neisseria meningitidis</w:t>
      </w:r>
      <w:r w:rsidR="003D1A53">
        <w:t>; PCR: polymerase chain reaction</w:t>
      </w:r>
      <w:r w:rsidR="00BA48DE">
        <w:t>.</w:t>
      </w:r>
    </w:p>
    <w:p w:rsidR="009F33F4" w:rsidRDefault="009F33F4" w:rsidP="003D1A53">
      <w:pPr>
        <w:pStyle w:val="Footnotetable"/>
      </w:pPr>
    </w:p>
    <w:p w:rsidR="009F33F4" w:rsidRDefault="009F33F4">
      <w:pPr>
        <w:spacing w:after="200" w:line="276" w:lineRule="auto"/>
        <w:rPr>
          <w:color w:val="000000" w:themeColor="text1"/>
          <w:sz w:val="18"/>
          <w:lang w:val="en-US" w:eastAsia="en-US"/>
        </w:rPr>
      </w:pPr>
      <w:r>
        <w:br w:type="page"/>
      </w:r>
    </w:p>
    <w:p w:rsidR="009F33F4" w:rsidRPr="00206BFE" w:rsidRDefault="009F33F4" w:rsidP="009F33F4">
      <w:pPr>
        <w:pStyle w:val="Heading2"/>
      </w:pPr>
      <w:r>
        <w:lastRenderedPageBreak/>
        <w:t xml:space="preserve">Supplementary material </w:t>
      </w:r>
      <w:r>
        <w:rPr>
          <w:noProof/>
        </w:rPr>
        <w:t>3</w:t>
      </w:r>
      <w:r>
        <w:t xml:space="preserve">. </w:t>
      </w:r>
      <w:r w:rsidR="00F60DB1">
        <w:t>Adjustment performed for Good Diagnostic Methods</w:t>
      </w:r>
    </w:p>
    <w:p w:rsidR="00CD38DA" w:rsidRDefault="00F43BAC" w:rsidP="00F43BAC">
      <w:pPr>
        <w:pStyle w:val="Footnotetable"/>
        <w:rPr>
          <w:sz w:val="24"/>
          <w:lang w:val="en-GB"/>
        </w:rPr>
      </w:pPr>
      <w:r w:rsidRPr="00F43BAC">
        <w:rPr>
          <w:sz w:val="24"/>
          <w:lang w:val="en-GB"/>
        </w:rPr>
        <w:t xml:space="preserve">Our second adjustment </w:t>
      </w:r>
      <w:r w:rsidR="00677A95">
        <w:rPr>
          <w:sz w:val="24"/>
          <w:lang w:val="en-GB"/>
        </w:rPr>
        <w:t xml:space="preserve">is </w:t>
      </w:r>
      <w:r w:rsidRPr="00F43BAC">
        <w:rPr>
          <w:sz w:val="24"/>
          <w:lang w:val="en-GB"/>
        </w:rPr>
        <w:t xml:space="preserve">aimed to mitigate the limitations related to sample processing and </w:t>
      </w:r>
      <w:r w:rsidR="00677A95">
        <w:rPr>
          <w:sz w:val="24"/>
          <w:lang w:val="en-GB"/>
        </w:rPr>
        <w:t xml:space="preserve">the </w:t>
      </w:r>
      <w:r w:rsidRPr="00F43BAC">
        <w:rPr>
          <w:sz w:val="24"/>
          <w:lang w:val="en-GB"/>
        </w:rPr>
        <w:t xml:space="preserve">quality of the IMD diagnosis methods currently used in Argentina. </w:t>
      </w:r>
      <w:r>
        <w:rPr>
          <w:sz w:val="24"/>
          <w:lang w:val="en-GB"/>
        </w:rPr>
        <w:t>T</w:t>
      </w:r>
      <w:r w:rsidRPr="00F43BAC">
        <w:rPr>
          <w:sz w:val="24"/>
          <w:lang w:val="en-GB"/>
        </w:rPr>
        <w:t xml:space="preserve">he adjustment was based on a recent three-year active surveillance study from Gentile et al., 2017 reporting the burden of </w:t>
      </w:r>
      <w:r w:rsidRPr="00747719">
        <w:rPr>
          <w:i/>
          <w:sz w:val="24"/>
          <w:lang w:val="en-GB"/>
        </w:rPr>
        <w:t>N. meningitidis</w:t>
      </w:r>
      <w:r w:rsidRPr="00F43BAC">
        <w:rPr>
          <w:sz w:val="24"/>
          <w:lang w:val="en-GB"/>
        </w:rPr>
        <w:t xml:space="preserve"> and then producing reliable data using bacterial culture vs. culture plus PCR methods to confirm </w:t>
      </w:r>
      <w:r w:rsidRPr="00747719">
        <w:rPr>
          <w:i/>
          <w:sz w:val="24"/>
          <w:lang w:val="en-GB"/>
        </w:rPr>
        <w:t>N. meningitidis</w:t>
      </w:r>
      <w:r w:rsidRPr="00F43BAC">
        <w:rPr>
          <w:sz w:val="24"/>
          <w:lang w:val="en-GB"/>
        </w:rPr>
        <w:t xml:space="preserve"> infection and then the burden of IMD.[20] The data from this active surveillance study in 6 pediatric sentinel hospital sites across Argentina were used as a reference to calculate the ratio of IMD-confirmed cases and </w:t>
      </w:r>
      <w:r w:rsidR="00747719">
        <w:rPr>
          <w:sz w:val="24"/>
          <w:lang w:val="en-GB"/>
        </w:rPr>
        <w:t>the</w:t>
      </w:r>
      <w:r w:rsidRPr="00F43BAC">
        <w:rPr>
          <w:sz w:val="24"/>
          <w:lang w:val="en-GB"/>
        </w:rPr>
        <w:t xml:space="preserve"> acute </w:t>
      </w:r>
      <w:r w:rsidR="00F06AFD">
        <w:rPr>
          <w:sz w:val="24"/>
          <w:lang w:val="en-GB"/>
        </w:rPr>
        <w:t>NM</w:t>
      </w:r>
      <w:r w:rsidRPr="00F43BAC">
        <w:rPr>
          <w:sz w:val="24"/>
          <w:lang w:val="en-GB"/>
        </w:rPr>
        <w:t xml:space="preserve">BM cases identified in a study with good classic diagnosis methods </w:t>
      </w:r>
      <w:r w:rsidR="00747719">
        <w:rPr>
          <w:sz w:val="24"/>
          <w:lang w:val="en-GB"/>
        </w:rPr>
        <w:t>(</w:t>
      </w:r>
      <w:r w:rsidRPr="00F43BAC">
        <w:rPr>
          <w:sz w:val="24"/>
          <w:lang w:val="en-GB"/>
        </w:rPr>
        <w:t>with and without PCR</w:t>
      </w:r>
      <w:r w:rsidR="00747719">
        <w:rPr>
          <w:sz w:val="24"/>
          <w:lang w:val="en-GB"/>
        </w:rPr>
        <w:t>)</w:t>
      </w:r>
      <w:r w:rsidRPr="00F43BAC">
        <w:rPr>
          <w:sz w:val="24"/>
          <w:lang w:val="en-GB"/>
        </w:rPr>
        <w:t xml:space="preserve"> for </w:t>
      </w:r>
      <w:r w:rsidRPr="00747719">
        <w:rPr>
          <w:i/>
          <w:sz w:val="24"/>
          <w:lang w:val="en-GB"/>
        </w:rPr>
        <w:t>N. meningitidis</w:t>
      </w:r>
      <w:r w:rsidRPr="00F43BAC">
        <w:rPr>
          <w:sz w:val="24"/>
          <w:lang w:val="en-GB"/>
        </w:rPr>
        <w:t xml:space="preserve"> identification. The study identified 268 probable cases of acute BM. Of them, 168 cases had positive bacterial culture results, and </w:t>
      </w:r>
      <w:r w:rsidRPr="00B5602F">
        <w:rPr>
          <w:i/>
          <w:sz w:val="24"/>
          <w:lang w:val="en-GB"/>
        </w:rPr>
        <w:t>N. meningitidis</w:t>
      </w:r>
      <w:r w:rsidRPr="00F43BAC">
        <w:rPr>
          <w:sz w:val="24"/>
          <w:lang w:val="en-GB"/>
        </w:rPr>
        <w:t xml:space="preserve"> was isolated in 51 cultures. Of the 100 cases with negative culture results, 30 were positive by PCR for </w:t>
      </w:r>
      <w:r w:rsidRPr="00B5602F">
        <w:rPr>
          <w:i/>
          <w:sz w:val="24"/>
          <w:lang w:val="en-GB"/>
        </w:rPr>
        <w:t>N. meningitidis</w:t>
      </w:r>
      <w:r w:rsidRPr="00F43BAC">
        <w:rPr>
          <w:sz w:val="24"/>
          <w:lang w:val="en-GB"/>
        </w:rPr>
        <w:t>. The microbiology laboratory alerts identified another 13 patients presenting unusual clinical manifestations of meningococcal disease (7 arthritis, 5 bacteremia, and 1 pneumonia). In total, 94 children with meningococcal disease were confirmed.</w:t>
      </w:r>
      <w:r w:rsidR="00295EB2">
        <w:rPr>
          <w:sz w:val="24"/>
          <w:lang w:val="en-GB"/>
        </w:rPr>
        <w:t xml:space="preserve"> </w:t>
      </w:r>
      <w:r w:rsidRPr="00F43BAC">
        <w:rPr>
          <w:sz w:val="24"/>
          <w:lang w:val="en-GB"/>
        </w:rPr>
        <w:t xml:space="preserve">[20] </w:t>
      </w:r>
    </w:p>
    <w:p w:rsidR="00F43BAC" w:rsidRDefault="00F43BAC" w:rsidP="00F43BAC">
      <w:pPr>
        <w:pStyle w:val="Footnotetable"/>
        <w:rPr>
          <w:sz w:val="24"/>
          <w:lang w:val="en-GB"/>
        </w:rPr>
      </w:pPr>
      <w:r w:rsidRPr="00F43BAC">
        <w:rPr>
          <w:sz w:val="24"/>
          <w:lang w:val="en-GB"/>
        </w:rPr>
        <w:t>Therefore, the ratio of IMD/</w:t>
      </w:r>
      <w:r w:rsidR="00F06AFD">
        <w:rPr>
          <w:sz w:val="24"/>
          <w:lang w:val="en-GB"/>
        </w:rPr>
        <w:t>NM</w:t>
      </w:r>
      <w:r w:rsidRPr="00F43BAC">
        <w:rPr>
          <w:sz w:val="24"/>
          <w:lang w:val="en-GB"/>
        </w:rPr>
        <w:t>BM cases in the study, using only classical methods (ratio of 0.295) or including PCR (ratio of 0.503) was calculated using equations (1) and (2), respectively:</w:t>
      </w:r>
    </w:p>
    <w:p w:rsidR="00F43BAC" w:rsidRPr="00FF05D6" w:rsidRDefault="00F43BAC" w:rsidP="00F43BAC">
      <w:pPr>
        <w:ind w:left="720"/>
        <w:rPr>
          <w:i/>
          <w:sz w:val="20"/>
        </w:rPr>
      </w:pPr>
      <w:r>
        <w:rPr>
          <w:i/>
        </w:rPr>
        <w:t>(</w:t>
      </w:r>
      <w:r w:rsidRPr="00106D35">
        <w:rPr>
          <w:i/>
        </w:rPr>
        <w:t>1</w:t>
      </w:r>
      <w:r>
        <w:rPr>
          <w:i/>
        </w:rPr>
        <w:t>)</w:t>
      </w:r>
      <m:oMath>
        <m:r>
          <w:rPr>
            <w:rFonts w:ascii="Cambria Math" w:hAnsi="Cambria Math"/>
          </w:rPr>
          <m:t xml:space="preserve"> </m:t>
        </m:r>
        <m:sSub>
          <m:sSubPr>
            <m:ctrlPr>
              <w:rPr>
                <w:rFonts w:ascii="Cambria Math" w:hAnsi="Cambria Math"/>
                <w:i/>
              </w:rPr>
            </m:ctrlPr>
          </m:sSubPr>
          <m:e>
            <m:r>
              <w:rPr>
                <w:rFonts w:ascii="Cambria Math" w:hAnsi="Cambria Math"/>
              </w:rPr>
              <m:t>Ratio</m:t>
            </m:r>
          </m:e>
          <m:sub>
            <m:r>
              <w:rPr>
                <w:rFonts w:ascii="Cambria Math" w:hAnsi="Cambria Math"/>
              </w:rPr>
              <m:t>culture</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51+13</m:t>
                </m:r>
              </m:e>
            </m:d>
            <m:r>
              <w:rPr>
                <w:rFonts w:ascii="Cambria Math" w:hAnsi="Cambria Math"/>
              </w:rPr>
              <m:t>IMD cases</m:t>
            </m:r>
          </m:num>
          <m:den>
            <m:d>
              <m:dPr>
                <m:ctrlPr>
                  <w:rPr>
                    <w:rFonts w:ascii="Cambria Math" w:hAnsi="Cambria Math"/>
                    <w:i/>
                  </w:rPr>
                </m:ctrlPr>
              </m:dPr>
              <m:e>
                <m:r>
                  <w:rPr>
                    <w:rFonts w:ascii="Cambria Math" w:hAnsi="Cambria Math"/>
                  </w:rPr>
                  <m:t>268-51</m:t>
                </m:r>
              </m:e>
            </m:d>
            <m:r>
              <w:rPr>
                <w:rFonts w:ascii="Cambria Math" w:hAnsi="Cambria Math"/>
              </w:rPr>
              <m:t>NMBM cases</m:t>
            </m:r>
          </m:den>
        </m:f>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217</m:t>
            </m:r>
          </m:den>
        </m:f>
        <m:r>
          <w:rPr>
            <w:rFonts w:ascii="Cambria Math" w:hAnsi="Cambria Math"/>
          </w:rPr>
          <m:t>=1:3.39=0.295</m:t>
        </m:r>
      </m:oMath>
    </w:p>
    <w:p w:rsidR="00F43BAC" w:rsidRDefault="00F43BAC" w:rsidP="00F43BAC">
      <w:pPr>
        <w:ind w:left="720"/>
        <w:rPr>
          <w:i/>
        </w:rPr>
      </w:pPr>
      <w:r>
        <w:rPr>
          <w:i/>
        </w:rPr>
        <w:t xml:space="preserve">(2) </w:t>
      </w:r>
      <m:oMath>
        <m:sSub>
          <m:sSubPr>
            <m:ctrlPr>
              <w:rPr>
                <w:rFonts w:ascii="Cambria Math" w:hAnsi="Cambria Math"/>
                <w:i/>
              </w:rPr>
            </m:ctrlPr>
          </m:sSubPr>
          <m:e>
            <m:r>
              <w:rPr>
                <w:rFonts w:ascii="Cambria Math" w:hAnsi="Cambria Math"/>
              </w:rPr>
              <m:t>Ratio</m:t>
            </m:r>
          </m:e>
          <m:sub>
            <m:r>
              <w:rPr>
                <w:rFonts w:ascii="Cambria Math" w:hAnsi="Cambria Math"/>
              </w:rPr>
              <m:t>culture+PCR</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r>
                  <w:rPr>
                    <w:rFonts w:ascii="Cambria Math" w:hAnsi="Cambria Math"/>
                  </w:rPr>
                  <m:t>51+13+30</m:t>
                </m:r>
              </m:e>
            </m:d>
            <m:r>
              <w:rPr>
                <w:rFonts w:ascii="Cambria Math" w:hAnsi="Cambria Math"/>
              </w:rPr>
              <m:t>IMD cases</m:t>
            </m:r>
          </m:num>
          <m:den>
            <m:d>
              <m:dPr>
                <m:ctrlPr>
                  <w:rPr>
                    <w:rFonts w:ascii="Cambria Math" w:hAnsi="Cambria Math"/>
                    <w:i/>
                  </w:rPr>
                </m:ctrlPr>
              </m:dPr>
              <m:e>
                <m:r>
                  <w:rPr>
                    <w:rFonts w:ascii="Cambria Math" w:hAnsi="Cambria Math"/>
                  </w:rPr>
                  <m:t>268-51-30</m:t>
                </m:r>
              </m:e>
            </m:d>
            <m:r>
              <w:rPr>
                <w:rFonts w:ascii="Cambria Math" w:hAnsi="Cambria Math"/>
              </w:rPr>
              <m:t>NMBM cases</m:t>
            </m:r>
          </m:den>
        </m:f>
        <m:r>
          <w:rPr>
            <w:rFonts w:ascii="Cambria Math" w:hAnsi="Cambria Math"/>
          </w:rPr>
          <m:t>=</m:t>
        </m:r>
        <m:f>
          <m:fPr>
            <m:ctrlPr>
              <w:rPr>
                <w:rFonts w:ascii="Cambria Math" w:hAnsi="Cambria Math"/>
                <w:i/>
              </w:rPr>
            </m:ctrlPr>
          </m:fPr>
          <m:num>
            <m:r>
              <w:rPr>
                <w:rFonts w:ascii="Cambria Math" w:hAnsi="Cambria Math"/>
              </w:rPr>
              <m:t>94</m:t>
            </m:r>
          </m:num>
          <m:den>
            <m:r>
              <w:rPr>
                <w:rFonts w:ascii="Cambria Math" w:hAnsi="Cambria Math"/>
              </w:rPr>
              <m:t>187</m:t>
            </m:r>
          </m:den>
        </m:f>
        <m:r>
          <w:rPr>
            <w:rFonts w:ascii="Cambria Math" w:hAnsi="Cambria Math"/>
          </w:rPr>
          <m:t>=1:1.99=0.503</m:t>
        </m:r>
      </m:oMath>
    </w:p>
    <w:p w:rsidR="00F43BAC" w:rsidRDefault="00CD38DA" w:rsidP="00F43BAC">
      <w:pPr>
        <w:pStyle w:val="Footnotetable"/>
        <w:rPr>
          <w:sz w:val="24"/>
          <w:lang w:val="en-GB"/>
        </w:rPr>
      </w:pPr>
      <w:r w:rsidRPr="00CD38DA">
        <w:rPr>
          <w:sz w:val="24"/>
          <w:lang w:val="en-GB"/>
        </w:rPr>
        <w:t>We used these ratios to estimate the potential number of IMD-confirmed cases that c</w:t>
      </w:r>
      <w:r w:rsidR="00B5602F">
        <w:rPr>
          <w:sz w:val="24"/>
          <w:lang w:val="en-GB"/>
        </w:rPr>
        <w:t>ould</w:t>
      </w:r>
      <w:r w:rsidRPr="00CD38DA">
        <w:rPr>
          <w:sz w:val="24"/>
          <w:lang w:val="en-GB"/>
        </w:rPr>
        <w:t xml:space="preserve"> be identified in the SNVS if ideal diagnostic methods were used in the whole country.</w:t>
      </w:r>
      <w:r>
        <w:rPr>
          <w:sz w:val="24"/>
          <w:lang w:val="en-GB"/>
        </w:rPr>
        <w:t xml:space="preserve"> </w:t>
      </w:r>
      <w:r w:rsidRPr="00CD38DA">
        <w:rPr>
          <w:sz w:val="24"/>
          <w:lang w:val="en-GB"/>
        </w:rPr>
        <w:t xml:space="preserve">Therefore, the data of the SNVS previously adjusted by system coverage were consecutively adjusted by diagnostic methods using these ratios. This adjustment, for improved classical methods, with or without PCR, allows the detection of additional </w:t>
      </w:r>
      <w:r w:rsidRPr="00F60DB1">
        <w:rPr>
          <w:i/>
          <w:sz w:val="24"/>
          <w:lang w:val="en-GB"/>
        </w:rPr>
        <w:t>N. meningitidis</w:t>
      </w:r>
      <w:r w:rsidRPr="00CD38DA">
        <w:rPr>
          <w:sz w:val="24"/>
          <w:lang w:val="en-GB"/>
        </w:rPr>
        <w:t xml:space="preserve"> (i.e. IMD cases). This additional number of IMD cases estimated for a scenario with improved methods in the country, was subtracted from the previously estimated coverage-adjusted </w:t>
      </w:r>
      <w:r w:rsidR="00F06AFD">
        <w:rPr>
          <w:sz w:val="24"/>
          <w:lang w:val="en-GB"/>
        </w:rPr>
        <w:t>NM</w:t>
      </w:r>
      <w:r w:rsidRPr="00CD38DA">
        <w:rPr>
          <w:sz w:val="24"/>
          <w:lang w:val="en-GB"/>
        </w:rPr>
        <w:t>BM cases</w:t>
      </w:r>
      <w:r w:rsidR="00F43BAC" w:rsidRPr="00F43BAC">
        <w:rPr>
          <w:sz w:val="24"/>
          <w:lang w:val="en-GB"/>
        </w:rPr>
        <w:t xml:space="preserve"> to obtain the IMD/</w:t>
      </w:r>
      <w:r w:rsidR="00F06AFD">
        <w:rPr>
          <w:sz w:val="24"/>
          <w:lang w:val="en-GB"/>
        </w:rPr>
        <w:t>NM</w:t>
      </w:r>
      <w:r w:rsidR="00F43BAC" w:rsidRPr="00F43BAC">
        <w:rPr>
          <w:sz w:val="24"/>
          <w:lang w:val="en-GB"/>
        </w:rPr>
        <w:t xml:space="preserve">BM ratio corresponding to the diagnostic method: </w:t>
      </w:r>
    </w:p>
    <w:p w:rsidR="00CD38DA" w:rsidRDefault="00CD38DA" w:rsidP="00F43BAC">
      <w:pPr>
        <w:pStyle w:val="Footnotetable"/>
        <w:rPr>
          <w:sz w:val="24"/>
          <w:lang w:val="en-GB"/>
        </w:rPr>
      </w:pPr>
    </w:p>
    <w:p w:rsidR="00CD38DA" w:rsidRDefault="00CD38DA" w:rsidP="00CD38DA">
      <w:pPr>
        <w:ind w:left="720"/>
      </w:pPr>
      <m:oMath>
        <m:r>
          <w:rPr>
            <w:rFonts w:ascii="Cambria Math" w:hAnsi="Cambria Math"/>
            <w:sz w:val="28"/>
          </w:rPr>
          <m:t xml:space="preserve">x= </m:t>
        </m:r>
        <m:f>
          <m:fPr>
            <m:ctrlPr>
              <w:rPr>
                <w:rFonts w:ascii="Cambria Math" w:hAnsi="Cambria Math"/>
                <w:i/>
                <w:sz w:val="28"/>
              </w:rPr>
            </m:ctrlPr>
          </m:fPr>
          <m:num>
            <m:r>
              <w:rPr>
                <w:rFonts w:ascii="Cambria Math" w:hAnsi="Cambria Math"/>
                <w:sz w:val="28"/>
              </w:rPr>
              <m:t>ratio*NM</m:t>
            </m:r>
            <m:sSub>
              <m:sSubPr>
                <m:ctrlPr>
                  <w:rPr>
                    <w:rFonts w:ascii="Cambria Math" w:hAnsi="Cambria Math"/>
                    <w:i/>
                    <w:sz w:val="28"/>
                  </w:rPr>
                </m:ctrlPr>
              </m:sSubPr>
              <m:e>
                <m:r>
                  <w:rPr>
                    <w:rFonts w:ascii="Cambria Math" w:hAnsi="Cambria Math"/>
                    <w:sz w:val="28"/>
                  </w:rPr>
                  <m:t>BM</m:t>
                </m:r>
              </m:e>
              <m:sub>
                <m:r>
                  <w:rPr>
                    <w:rFonts w:ascii="Cambria Math" w:hAnsi="Cambria Math"/>
                    <w:sz w:val="28"/>
                  </w:rPr>
                  <m:t>cov</m:t>
                </m:r>
              </m:sub>
            </m:sSub>
            <m:r>
              <w:rPr>
                <w:rFonts w:ascii="Cambria Math" w:hAnsi="Cambria Math"/>
                <w:sz w:val="28"/>
              </w:rPr>
              <m:t>-</m:t>
            </m:r>
            <m:sSub>
              <m:sSubPr>
                <m:ctrlPr>
                  <w:rPr>
                    <w:rFonts w:ascii="Cambria Math" w:hAnsi="Cambria Math"/>
                    <w:i/>
                    <w:sz w:val="28"/>
                  </w:rPr>
                </m:ctrlPr>
              </m:sSubPr>
              <m:e>
                <m:r>
                  <w:rPr>
                    <w:rFonts w:ascii="Cambria Math" w:hAnsi="Cambria Math"/>
                    <w:sz w:val="28"/>
                  </w:rPr>
                  <m:t>IMD</m:t>
                </m:r>
              </m:e>
              <m:sub>
                <m:r>
                  <w:rPr>
                    <w:rFonts w:ascii="Cambria Math" w:hAnsi="Cambria Math"/>
                    <w:sz w:val="28"/>
                  </w:rPr>
                  <m:t>cov</m:t>
                </m:r>
              </m:sub>
            </m:sSub>
          </m:num>
          <m:den>
            <m:r>
              <w:rPr>
                <w:rFonts w:ascii="Cambria Math" w:hAnsi="Cambria Math"/>
                <w:sz w:val="28"/>
              </w:rPr>
              <m:t>1+ratio</m:t>
            </m:r>
          </m:den>
        </m:f>
      </m:oMath>
      <w:r>
        <w:rPr>
          <w:sz w:val="28"/>
        </w:rPr>
        <w:t xml:space="preserve">,    </w:t>
      </w:r>
      <w:r>
        <w:t xml:space="preserve">where: </w:t>
      </w:r>
    </w:p>
    <w:p w:rsidR="00CD38DA" w:rsidRPr="00217CDA" w:rsidRDefault="00CD38DA" w:rsidP="00CD38DA">
      <w:pPr>
        <w:ind w:left="1287" w:hanging="567"/>
      </w:pPr>
      <w:r>
        <w:lastRenderedPageBreak/>
        <w:t xml:space="preserve">x: number of newly </w:t>
      </w:r>
      <w:r>
        <w:rPr>
          <w:i/>
        </w:rPr>
        <w:t>N. meningitidis</w:t>
      </w:r>
      <w:r>
        <w:t xml:space="preserve"> (i.e. IMD) detected via the diagnostic method.</w:t>
      </w:r>
    </w:p>
    <w:p w:rsidR="00CD38DA" w:rsidRDefault="00CD38DA" w:rsidP="00CD38DA">
      <w:pPr>
        <w:ind w:left="1287" w:hanging="567"/>
      </w:pPr>
      <w:r>
        <w:t>ratio: IMD/</w:t>
      </w:r>
      <w:r w:rsidR="00F06AFD">
        <w:t>NM</w:t>
      </w:r>
      <w:r>
        <w:t>BM cases ratio corresponding to the diagnostic method (0.295 for bacterial culture or 0.503 for bacterial culture with PCR)</w:t>
      </w:r>
    </w:p>
    <w:p w:rsidR="00CD38DA" w:rsidRDefault="00F06AFD" w:rsidP="00CD38DA">
      <w:pPr>
        <w:ind w:left="1287" w:hanging="567"/>
      </w:pPr>
      <w:r>
        <w:t>NM</w:t>
      </w:r>
      <w:r w:rsidR="00CD38DA">
        <w:t>BM</w:t>
      </w:r>
      <w:r w:rsidR="00CD38DA">
        <w:rPr>
          <w:vertAlign w:val="subscript"/>
        </w:rPr>
        <w:t>cov</w:t>
      </w:r>
      <w:r w:rsidR="00CD38DA">
        <w:t xml:space="preserve">: number of </w:t>
      </w:r>
      <w:r>
        <w:t>NM</w:t>
      </w:r>
      <w:r w:rsidR="00CD38DA">
        <w:t>BM cases adjusted after surveillance system coverage</w:t>
      </w:r>
    </w:p>
    <w:p w:rsidR="00CD38DA" w:rsidRPr="00217CDA" w:rsidRDefault="00CD38DA" w:rsidP="00CD38DA">
      <w:pPr>
        <w:ind w:left="1287" w:hanging="567"/>
      </w:pPr>
      <w:r>
        <w:t>IMD</w:t>
      </w:r>
      <w:r>
        <w:rPr>
          <w:vertAlign w:val="subscript"/>
        </w:rPr>
        <w:t>cov</w:t>
      </w:r>
      <w:r>
        <w:t>: number of IMD cases adjusted after surveillance system coverage</w:t>
      </w:r>
    </w:p>
    <w:p w:rsidR="00CD38DA" w:rsidRPr="00F43BAC" w:rsidRDefault="00CD38DA" w:rsidP="00F43BAC">
      <w:pPr>
        <w:pStyle w:val="Footnotetable"/>
        <w:rPr>
          <w:sz w:val="24"/>
          <w:lang w:val="en-GB"/>
        </w:rPr>
      </w:pPr>
    </w:p>
    <w:p w:rsidR="009F33F4" w:rsidRPr="00F60DB1" w:rsidRDefault="009F33F4" w:rsidP="00F43BAC">
      <w:pPr>
        <w:pStyle w:val="Footnotetable"/>
        <w:rPr>
          <w:sz w:val="24"/>
          <w:lang w:val="en-GB"/>
        </w:rPr>
      </w:pPr>
    </w:p>
    <w:sectPr w:rsidR="009F33F4" w:rsidRPr="00F60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3D1A53"/>
    <w:rsid w:val="000004E4"/>
    <w:rsid w:val="00001D27"/>
    <w:rsid w:val="00002F75"/>
    <w:rsid w:val="00003F6F"/>
    <w:rsid w:val="00010330"/>
    <w:rsid w:val="00011329"/>
    <w:rsid w:val="0001225A"/>
    <w:rsid w:val="00015AF1"/>
    <w:rsid w:val="00020045"/>
    <w:rsid w:val="00020095"/>
    <w:rsid w:val="00020326"/>
    <w:rsid w:val="00020B62"/>
    <w:rsid w:val="00020F26"/>
    <w:rsid w:val="0002318B"/>
    <w:rsid w:val="00023389"/>
    <w:rsid w:val="00023CDB"/>
    <w:rsid w:val="00025902"/>
    <w:rsid w:val="00026B7A"/>
    <w:rsid w:val="00026BEA"/>
    <w:rsid w:val="00032A19"/>
    <w:rsid w:val="00035B97"/>
    <w:rsid w:val="000368B0"/>
    <w:rsid w:val="00040764"/>
    <w:rsid w:val="000464AF"/>
    <w:rsid w:val="00050052"/>
    <w:rsid w:val="000505BF"/>
    <w:rsid w:val="00061684"/>
    <w:rsid w:val="0006288C"/>
    <w:rsid w:val="00063942"/>
    <w:rsid w:val="00065BED"/>
    <w:rsid w:val="00072D95"/>
    <w:rsid w:val="000743AD"/>
    <w:rsid w:val="00075390"/>
    <w:rsid w:val="000759B7"/>
    <w:rsid w:val="0008072C"/>
    <w:rsid w:val="00082FF5"/>
    <w:rsid w:val="000833DD"/>
    <w:rsid w:val="00084EAC"/>
    <w:rsid w:val="00085F5E"/>
    <w:rsid w:val="0008636B"/>
    <w:rsid w:val="00086DF7"/>
    <w:rsid w:val="000877BB"/>
    <w:rsid w:val="00090435"/>
    <w:rsid w:val="00090DCB"/>
    <w:rsid w:val="00090E3A"/>
    <w:rsid w:val="0009503C"/>
    <w:rsid w:val="00095055"/>
    <w:rsid w:val="000952E0"/>
    <w:rsid w:val="00095A8C"/>
    <w:rsid w:val="000A1C81"/>
    <w:rsid w:val="000A67E1"/>
    <w:rsid w:val="000B0727"/>
    <w:rsid w:val="000B2600"/>
    <w:rsid w:val="000B2C55"/>
    <w:rsid w:val="000B4C7F"/>
    <w:rsid w:val="000B5C41"/>
    <w:rsid w:val="000B6BCE"/>
    <w:rsid w:val="000B7DF2"/>
    <w:rsid w:val="000C2D12"/>
    <w:rsid w:val="000C47C3"/>
    <w:rsid w:val="000C6BCF"/>
    <w:rsid w:val="000D1AAD"/>
    <w:rsid w:val="000D215D"/>
    <w:rsid w:val="000D410C"/>
    <w:rsid w:val="000D5D4B"/>
    <w:rsid w:val="000E02C7"/>
    <w:rsid w:val="000E14E9"/>
    <w:rsid w:val="000E385A"/>
    <w:rsid w:val="000E4CFE"/>
    <w:rsid w:val="000E667F"/>
    <w:rsid w:val="000E7916"/>
    <w:rsid w:val="000F29F2"/>
    <w:rsid w:val="000F2CC3"/>
    <w:rsid w:val="000F5851"/>
    <w:rsid w:val="000F6362"/>
    <w:rsid w:val="00100411"/>
    <w:rsid w:val="00105090"/>
    <w:rsid w:val="00110A22"/>
    <w:rsid w:val="00111485"/>
    <w:rsid w:val="00112946"/>
    <w:rsid w:val="001153E8"/>
    <w:rsid w:val="00123F7F"/>
    <w:rsid w:val="00125BA4"/>
    <w:rsid w:val="001306EA"/>
    <w:rsid w:val="001318C1"/>
    <w:rsid w:val="0013257C"/>
    <w:rsid w:val="001328C2"/>
    <w:rsid w:val="0013434E"/>
    <w:rsid w:val="00135BBE"/>
    <w:rsid w:val="001400F0"/>
    <w:rsid w:val="00143072"/>
    <w:rsid w:val="0014344A"/>
    <w:rsid w:val="001445FF"/>
    <w:rsid w:val="00147807"/>
    <w:rsid w:val="00151089"/>
    <w:rsid w:val="00152B05"/>
    <w:rsid w:val="00152C16"/>
    <w:rsid w:val="00153F83"/>
    <w:rsid w:val="0015462E"/>
    <w:rsid w:val="0015694E"/>
    <w:rsid w:val="00160045"/>
    <w:rsid w:val="001610BF"/>
    <w:rsid w:val="00170C2F"/>
    <w:rsid w:val="0017177B"/>
    <w:rsid w:val="00172313"/>
    <w:rsid w:val="00172507"/>
    <w:rsid w:val="00173DE4"/>
    <w:rsid w:val="00174D89"/>
    <w:rsid w:val="00174F03"/>
    <w:rsid w:val="001805D3"/>
    <w:rsid w:val="0018362B"/>
    <w:rsid w:val="001840D4"/>
    <w:rsid w:val="001856AA"/>
    <w:rsid w:val="0018675A"/>
    <w:rsid w:val="001901CC"/>
    <w:rsid w:val="00193455"/>
    <w:rsid w:val="00193DD4"/>
    <w:rsid w:val="00194C3B"/>
    <w:rsid w:val="001A0021"/>
    <w:rsid w:val="001A19DF"/>
    <w:rsid w:val="001A3FF5"/>
    <w:rsid w:val="001A4169"/>
    <w:rsid w:val="001A4233"/>
    <w:rsid w:val="001A5251"/>
    <w:rsid w:val="001B1C65"/>
    <w:rsid w:val="001B4000"/>
    <w:rsid w:val="001B6082"/>
    <w:rsid w:val="001C05BB"/>
    <w:rsid w:val="001C1178"/>
    <w:rsid w:val="001C2D7E"/>
    <w:rsid w:val="001C55E3"/>
    <w:rsid w:val="001C60EE"/>
    <w:rsid w:val="001D1EE4"/>
    <w:rsid w:val="001D5688"/>
    <w:rsid w:val="001E3FF4"/>
    <w:rsid w:val="001E47FB"/>
    <w:rsid w:val="001E677B"/>
    <w:rsid w:val="001E6ECB"/>
    <w:rsid w:val="001F167E"/>
    <w:rsid w:val="001F182F"/>
    <w:rsid w:val="001F5283"/>
    <w:rsid w:val="00201917"/>
    <w:rsid w:val="00201CA9"/>
    <w:rsid w:val="00204C16"/>
    <w:rsid w:val="00204D6C"/>
    <w:rsid w:val="00206878"/>
    <w:rsid w:val="00206CA2"/>
    <w:rsid w:val="00210A29"/>
    <w:rsid w:val="0021362B"/>
    <w:rsid w:val="002162B0"/>
    <w:rsid w:val="00217EF0"/>
    <w:rsid w:val="00220CF8"/>
    <w:rsid w:val="00220D08"/>
    <w:rsid w:val="00221C3B"/>
    <w:rsid w:val="0022429C"/>
    <w:rsid w:val="002245E2"/>
    <w:rsid w:val="00225276"/>
    <w:rsid w:val="00230090"/>
    <w:rsid w:val="002318E1"/>
    <w:rsid w:val="00231DED"/>
    <w:rsid w:val="00234A10"/>
    <w:rsid w:val="002353D3"/>
    <w:rsid w:val="0023745C"/>
    <w:rsid w:val="002409CB"/>
    <w:rsid w:val="00241897"/>
    <w:rsid w:val="002456EE"/>
    <w:rsid w:val="00245D8B"/>
    <w:rsid w:val="00247DE8"/>
    <w:rsid w:val="002502AF"/>
    <w:rsid w:val="002509D7"/>
    <w:rsid w:val="00254BF1"/>
    <w:rsid w:val="0025578C"/>
    <w:rsid w:val="002573F0"/>
    <w:rsid w:val="00264539"/>
    <w:rsid w:val="00267C1F"/>
    <w:rsid w:val="0027213B"/>
    <w:rsid w:val="00276D99"/>
    <w:rsid w:val="00277EAC"/>
    <w:rsid w:val="00281A58"/>
    <w:rsid w:val="002831A2"/>
    <w:rsid w:val="0028408E"/>
    <w:rsid w:val="00284F12"/>
    <w:rsid w:val="00286A1A"/>
    <w:rsid w:val="00290009"/>
    <w:rsid w:val="002905F9"/>
    <w:rsid w:val="00293E64"/>
    <w:rsid w:val="002951A5"/>
    <w:rsid w:val="002954D1"/>
    <w:rsid w:val="00295EB2"/>
    <w:rsid w:val="0029652E"/>
    <w:rsid w:val="00296558"/>
    <w:rsid w:val="00296EE8"/>
    <w:rsid w:val="0029755B"/>
    <w:rsid w:val="002A069E"/>
    <w:rsid w:val="002A2A44"/>
    <w:rsid w:val="002B1927"/>
    <w:rsid w:val="002B36EA"/>
    <w:rsid w:val="002B3A71"/>
    <w:rsid w:val="002B60F3"/>
    <w:rsid w:val="002B655E"/>
    <w:rsid w:val="002C05F7"/>
    <w:rsid w:val="002C071E"/>
    <w:rsid w:val="002C2066"/>
    <w:rsid w:val="002C3C89"/>
    <w:rsid w:val="002C67ED"/>
    <w:rsid w:val="002D2506"/>
    <w:rsid w:val="002D49CC"/>
    <w:rsid w:val="002D7112"/>
    <w:rsid w:val="002E118C"/>
    <w:rsid w:val="002F0E62"/>
    <w:rsid w:val="002F13B8"/>
    <w:rsid w:val="002F2320"/>
    <w:rsid w:val="002F3179"/>
    <w:rsid w:val="002F4EC5"/>
    <w:rsid w:val="002F5505"/>
    <w:rsid w:val="002F6B7B"/>
    <w:rsid w:val="002F78D8"/>
    <w:rsid w:val="0030033F"/>
    <w:rsid w:val="003026C1"/>
    <w:rsid w:val="00303812"/>
    <w:rsid w:val="0030442C"/>
    <w:rsid w:val="003056F2"/>
    <w:rsid w:val="00305BFB"/>
    <w:rsid w:val="00306BC5"/>
    <w:rsid w:val="00310AB1"/>
    <w:rsid w:val="00311777"/>
    <w:rsid w:val="0031448E"/>
    <w:rsid w:val="00314EB3"/>
    <w:rsid w:val="003153B0"/>
    <w:rsid w:val="003172A5"/>
    <w:rsid w:val="0032081C"/>
    <w:rsid w:val="00321D69"/>
    <w:rsid w:val="003233C5"/>
    <w:rsid w:val="003234BD"/>
    <w:rsid w:val="00327A2E"/>
    <w:rsid w:val="0033201C"/>
    <w:rsid w:val="0033228D"/>
    <w:rsid w:val="00334FC6"/>
    <w:rsid w:val="00335187"/>
    <w:rsid w:val="0033659B"/>
    <w:rsid w:val="00337662"/>
    <w:rsid w:val="003405F4"/>
    <w:rsid w:val="00341856"/>
    <w:rsid w:val="0034396D"/>
    <w:rsid w:val="003447E6"/>
    <w:rsid w:val="003508B6"/>
    <w:rsid w:val="0035156D"/>
    <w:rsid w:val="003603E3"/>
    <w:rsid w:val="003615E1"/>
    <w:rsid w:val="0036324D"/>
    <w:rsid w:val="003642B0"/>
    <w:rsid w:val="00364DD8"/>
    <w:rsid w:val="0036551E"/>
    <w:rsid w:val="003655D5"/>
    <w:rsid w:val="00366183"/>
    <w:rsid w:val="00372200"/>
    <w:rsid w:val="003736A4"/>
    <w:rsid w:val="00373F7D"/>
    <w:rsid w:val="00374C64"/>
    <w:rsid w:val="003755BF"/>
    <w:rsid w:val="003802A4"/>
    <w:rsid w:val="0038161D"/>
    <w:rsid w:val="0038673A"/>
    <w:rsid w:val="003956C7"/>
    <w:rsid w:val="00397742"/>
    <w:rsid w:val="003A13EA"/>
    <w:rsid w:val="003A3A27"/>
    <w:rsid w:val="003A4399"/>
    <w:rsid w:val="003A5AEE"/>
    <w:rsid w:val="003A635D"/>
    <w:rsid w:val="003A6710"/>
    <w:rsid w:val="003B07A7"/>
    <w:rsid w:val="003C2DF2"/>
    <w:rsid w:val="003C37BB"/>
    <w:rsid w:val="003C7C23"/>
    <w:rsid w:val="003D0677"/>
    <w:rsid w:val="003D0DB1"/>
    <w:rsid w:val="003D1808"/>
    <w:rsid w:val="003D1A53"/>
    <w:rsid w:val="003D2F69"/>
    <w:rsid w:val="003D3128"/>
    <w:rsid w:val="003D31E1"/>
    <w:rsid w:val="003D6313"/>
    <w:rsid w:val="003E0F94"/>
    <w:rsid w:val="003E1157"/>
    <w:rsid w:val="003E3ADE"/>
    <w:rsid w:val="003E3F23"/>
    <w:rsid w:val="003E530B"/>
    <w:rsid w:val="003E58ED"/>
    <w:rsid w:val="003E6C3D"/>
    <w:rsid w:val="003F033E"/>
    <w:rsid w:val="003F4CC3"/>
    <w:rsid w:val="003F66E2"/>
    <w:rsid w:val="00400E25"/>
    <w:rsid w:val="00404B6C"/>
    <w:rsid w:val="0040501A"/>
    <w:rsid w:val="00406AF9"/>
    <w:rsid w:val="00407CB3"/>
    <w:rsid w:val="00410E96"/>
    <w:rsid w:val="00412000"/>
    <w:rsid w:val="00413BB7"/>
    <w:rsid w:val="00415FA8"/>
    <w:rsid w:val="004160AE"/>
    <w:rsid w:val="004166FC"/>
    <w:rsid w:val="004167CF"/>
    <w:rsid w:val="00417AB0"/>
    <w:rsid w:val="00420059"/>
    <w:rsid w:val="00420509"/>
    <w:rsid w:val="004222B6"/>
    <w:rsid w:val="004234B3"/>
    <w:rsid w:val="00424306"/>
    <w:rsid w:val="00425554"/>
    <w:rsid w:val="00425F87"/>
    <w:rsid w:val="004269FB"/>
    <w:rsid w:val="00427712"/>
    <w:rsid w:val="00433D20"/>
    <w:rsid w:val="00434D92"/>
    <w:rsid w:val="00435D55"/>
    <w:rsid w:val="00437AA9"/>
    <w:rsid w:val="004449E6"/>
    <w:rsid w:val="004462CB"/>
    <w:rsid w:val="0045057C"/>
    <w:rsid w:val="00451110"/>
    <w:rsid w:val="0045301C"/>
    <w:rsid w:val="0045505F"/>
    <w:rsid w:val="00455DE6"/>
    <w:rsid w:val="0045751E"/>
    <w:rsid w:val="004575B3"/>
    <w:rsid w:val="00464DFD"/>
    <w:rsid w:val="00467949"/>
    <w:rsid w:val="00472236"/>
    <w:rsid w:val="00472633"/>
    <w:rsid w:val="00475922"/>
    <w:rsid w:val="00475D19"/>
    <w:rsid w:val="00477AC7"/>
    <w:rsid w:val="004831E7"/>
    <w:rsid w:val="00483832"/>
    <w:rsid w:val="00483B40"/>
    <w:rsid w:val="0048476E"/>
    <w:rsid w:val="004848E5"/>
    <w:rsid w:val="004853EF"/>
    <w:rsid w:val="00485694"/>
    <w:rsid w:val="00486B39"/>
    <w:rsid w:val="00486B93"/>
    <w:rsid w:val="0048708C"/>
    <w:rsid w:val="004875B8"/>
    <w:rsid w:val="00490897"/>
    <w:rsid w:val="004908C0"/>
    <w:rsid w:val="004916D9"/>
    <w:rsid w:val="004931E3"/>
    <w:rsid w:val="00493B67"/>
    <w:rsid w:val="00494809"/>
    <w:rsid w:val="004975AE"/>
    <w:rsid w:val="004A3315"/>
    <w:rsid w:val="004A3856"/>
    <w:rsid w:val="004A3945"/>
    <w:rsid w:val="004A3ABE"/>
    <w:rsid w:val="004A3D89"/>
    <w:rsid w:val="004A3EF9"/>
    <w:rsid w:val="004B379B"/>
    <w:rsid w:val="004B3CFF"/>
    <w:rsid w:val="004B57AD"/>
    <w:rsid w:val="004B6B91"/>
    <w:rsid w:val="004C143B"/>
    <w:rsid w:val="004C193A"/>
    <w:rsid w:val="004C2097"/>
    <w:rsid w:val="004C288C"/>
    <w:rsid w:val="004C32AB"/>
    <w:rsid w:val="004C5DEF"/>
    <w:rsid w:val="004C640B"/>
    <w:rsid w:val="004C7309"/>
    <w:rsid w:val="004C7E62"/>
    <w:rsid w:val="004D4ECE"/>
    <w:rsid w:val="004D61DD"/>
    <w:rsid w:val="004D6C3C"/>
    <w:rsid w:val="004E059F"/>
    <w:rsid w:val="004E19EC"/>
    <w:rsid w:val="004E2D31"/>
    <w:rsid w:val="004E460F"/>
    <w:rsid w:val="004E5FD8"/>
    <w:rsid w:val="004E60C0"/>
    <w:rsid w:val="004E6679"/>
    <w:rsid w:val="004F170C"/>
    <w:rsid w:val="004F347A"/>
    <w:rsid w:val="004F370B"/>
    <w:rsid w:val="004F4A8A"/>
    <w:rsid w:val="004F7FD2"/>
    <w:rsid w:val="00500E7A"/>
    <w:rsid w:val="0050294B"/>
    <w:rsid w:val="00503860"/>
    <w:rsid w:val="00510532"/>
    <w:rsid w:val="005109E7"/>
    <w:rsid w:val="005120D1"/>
    <w:rsid w:val="00514E25"/>
    <w:rsid w:val="00515768"/>
    <w:rsid w:val="00520256"/>
    <w:rsid w:val="005224BB"/>
    <w:rsid w:val="00523FE2"/>
    <w:rsid w:val="005322D0"/>
    <w:rsid w:val="00532A96"/>
    <w:rsid w:val="00533E89"/>
    <w:rsid w:val="005360FF"/>
    <w:rsid w:val="00536D15"/>
    <w:rsid w:val="00537865"/>
    <w:rsid w:val="00537C38"/>
    <w:rsid w:val="00541233"/>
    <w:rsid w:val="00542F25"/>
    <w:rsid w:val="00543207"/>
    <w:rsid w:val="005442CC"/>
    <w:rsid w:val="00544ACF"/>
    <w:rsid w:val="00550F01"/>
    <w:rsid w:val="00554464"/>
    <w:rsid w:val="00555DB8"/>
    <w:rsid w:val="00555E76"/>
    <w:rsid w:val="00557619"/>
    <w:rsid w:val="005623C9"/>
    <w:rsid w:val="00562BA0"/>
    <w:rsid w:val="005653AF"/>
    <w:rsid w:val="00566DB5"/>
    <w:rsid w:val="00567B10"/>
    <w:rsid w:val="0057186B"/>
    <w:rsid w:val="00572E5C"/>
    <w:rsid w:val="005759EE"/>
    <w:rsid w:val="00575DAB"/>
    <w:rsid w:val="00576422"/>
    <w:rsid w:val="00577F7A"/>
    <w:rsid w:val="0058067A"/>
    <w:rsid w:val="00580F34"/>
    <w:rsid w:val="0058746C"/>
    <w:rsid w:val="00590B14"/>
    <w:rsid w:val="0059720D"/>
    <w:rsid w:val="005978B5"/>
    <w:rsid w:val="005A2543"/>
    <w:rsid w:val="005A3424"/>
    <w:rsid w:val="005A43FB"/>
    <w:rsid w:val="005A7131"/>
    <w:rsid w:val="005B2477"/>
    <w:rsid w:val="005B4A0E"/>
    <w:rsid w:val="005B6117"/>
    <w:rsid w:val="005B78FF"/>
    <w:rsid w:val="005C19BA"/>
    <w:rsid w:val="005C4CAE"/>
    <w:rsid w:val="005C549E"/>
    <w:rsid w:val="005D2B35"/>
    <w:rsid w:val="005D48ED"/>
    <w:rsid w:val="005E1C5F"/>
    <w:rsid w:val="005E2DB4"/>
    <w:rsid w:val="005E405B"/>
    <w:rsid w:val="005E623C"/>
    <w:rsid w:val="005E6C38"/>
    <w:rsid w:val="005F2D3E"/>
    <w:rsid w:val="005F49EF"/>
    <w:rsid w:val="005F4F06"/>
    <w:rsid w:val="005F5208"/>
    <w:rsid w:val="00600AA9"/>
    <w:rsid w:val="00601B24"/>
    <w:rsid w:val="0060257B"/>
    <w:rsid w:val="00602592"/>
    <w:rsid w:val="006028C0"/>
    <w:rsid w:val="006029C5"/>
    <w:rsid w:val="00603D3A"/>
    <w:rsid w:val="00603EA4"/>
    <w:rsid w:val="00603F17"/>
    <w:rsid w:val="006071AF"/>
    <w:rsid w:val="00610AB8"/>
    <w:rsid w:val="00611BB7"/>
    <w:rsid w:val="00614D75"/>
    <w:rsid w:val="00621506"/>
    <w:rsid w:val="00624436"/>
    <w:rsid w:val="00626D6E"/>
    <w:rsid w:val="00627F44"/>
    <w:rsid w:val="0063095B"/>
    <w:rsid w:val="00631024"/>
    <w:rsid w:val="0063497F"/>
    <w:rsid w:val="00637B68"/>
    <w:rsid w:val="00640719"/>
    <w:rsid w:val="00641F0F"/>
    <w:rsid w:val="00642B4E"/>
    <w:rsid w:val="00642E49"/>
    <w:rsid w:val="00642F7E"/>
    <w:rsid w:val="0064361E"/>
    <w:rsid w:val="00643BAA"/>
    <w:rsid w:val="00650A06"/>
    <w:rsid w:val="0065286A"/>
    <w:rsid w:val="00652E78"/>
    <w:rsid w:val="006537A5"/>
    <w:rsid w:val="0065672F"/>
    <w:rsid w:val="006574A0"/>
    <w:rsid w:val="006603C2"/>
    <w:rsid w:val="00660D3E"/>
    <w:rsid w:val="0066113B"/>
    <w:rsid w:val="0066459E"/>
    <w:rsid w:val="00664D23"/>
    <w:rsid w:val="00667F59"/>
    <w:rsid w:val="00671D1C"/>
    <w:rsid w:val="00674EE6"/>
    <w:rsid w:val="0067784F"/>
    <w:rsid w:val="00677A95"/>
    <w:rsid w:val="00680A0C"/>
    <w:rsid w:val="00681AC6"/>
    <w:rsid w:val="00687284"/>
    <w:rsid w:val="00687B6E"/>
    <w:rsid w:val="00691A52"/>
    <w:rsid w:val="006942DB"/>
    <w:rsid w:val="0069507A"/>
    <w:rsid w:val="00695E4B"/>
    <w:rsid w:val="006A0DEE"/>
    <w:rsid w:val="006B35C3"/>
    <w:rsid w:val="006B3DEB"/>
    <w:rsid w:val="006B5E2A"/>
    <w:rsid w:val="006B5FF0"/>
    <w:rsid w:val="006B6B48"/>
    <w:rsid w:val="006C2C42"/>
    <w:rsid w:val="006C49BB"/>
    <w:rsid w:val="006C5AF4"/>
    <w:rsid w:val="006C6885"/>
    <w:rsid w:val="006C762D"/>
    <w:rsid w:val="006D0A82"/>
    <w:rsid w:val="006D40D8"/>
    <w:rsid w:val="006D44F1"/>
    <w:rsid w:val="006D6BD2"/>
    <w:rsid w:val="006E0D3D"/>
    <w:rsid w:val="006E1E86"/>
    <w:rsid w:val="006E2644"/>
    <w:rsid w:val="006E3536"/>
    <w:rsid w:val="006F09D9"/>
    <w:rsid w:val="006F1400"/>
    <w:rsid w:val="006F34D0"/>
    <w:rsid w:val="006F643C"/>
    <w:rsid w:val="006F793A"/>
    <w:rsid w:val="00702C7B"/>
    <w:rsid w:val="0070310F"/>
    <w:rsid w:val="00705963"/>
    <w:rsid w:val="007060AD"/>
    <w:rsid w:val="0070761A"/>
    <w:rsid w:val="00711431"/>
    <w:rsid w:val="00712458"/>
    <w:rsid w:val="00716E28"/>
    <w:rsid w:val="00722955"/>
    <w:rsid w:val="00722E06"/>
    <w:rsid w:val="0072306C"/>
    <w:rsid w:val="007234C8"/>
    <w:rsid w:val="00725832"/>
    <w:rsid w:val="007273C1"/>
    <w:rsid w:val="00727926"/>
    <w:rsid w:val="00732C7A"/>
    <w:rsid w:val="00736468"/>
    <w:rsid w:val="007405CB"/>
    <w:rsid w:val="0074115D"/>
    <w:rsid w:val="00742646"/>
    <w:rsid w:val="00742796"/>
    <w:rsid w:val="00744DC8"/>
    <w:rsid w:val="00745399"/>
    <w:rsid w:val="00746076"/>
    <w:rsid w:val="00746147"/>
    <w:rsid w:val="00746FCE"/>
    <w:rsid w:val="00747719"/>
    <w:rsid w:val="00750DF5"/>
    <w:rsid w:val="007529D5"/>
    <w:rsid w:val="007546C0"/>
    <w:rsid w:val="00754F60"/>
    <w:rsid w:val="007607FA"/>
    <w:rsid w:val="007616FC"/>
    <w:rsid w:val="00762074"/>
    <w:rsid w:val="00763768"/>
    <w:rsid w:val="00766A26"/>
    <w:rsid w:val="0077146F"/>
    <w:rsid w:val="00774326"/>
    <w:rsid w:val="00776ADF"/>
    <w:rsid w:val="00777A63"/>
    <w:rsid w:val="00783F7C"/>
    <w:rsid w:val="00784FE5"/>
    <w:rsid w:val="00786B97"/>
    <w:rsid w:val="00787071"/>
    <w:rsid w:val="00787867"/>
    <w:rsid w:val="00787C02"/>
    <w:rsid w:val="007923E2"/>
    <w:rsid w:val="0079256E"/>
    <w:rsid w:val="007936EF"/>
    <w:rsid w:val="007B00C3"/>
    <w:rsid w:val="007B015B"/>
    <w:rsid w:val="007B0C35"/>
    <w:rsid w:val="007B47BB"/>
    <w:rsid w:val="007B59E6"/>
    <w:rsid w:val="007B6D94"/>
    <w:rsid w:val="007B77EB"/>
    <w:rsid w:val="007B7F6C"/>
    <w:rsid w:val="007C0003"/>
    <w:rsid w:val="007C22A5"/>
    <w:rsid w:val="007D02AB"/>
    <w:rsid w:val="007D22D4"/>
    <w:rsid w:val="007D696A"/>
    <w:rsid w:val="007D7F01"/>
    <w:rsid w:val="007E0A37"/>
    <w:rsid w:val="007E11E2"/>
    <w:rsid w:val="007E127D"/>
    <w:rsid w:val="007E1A2D"/>
    <w:rsid w:val="007E2B9D"/>
    <w:rsid w:val="007E38A6"/>
    <w:rsid w:val="007F0667"/>
    <w:rsid w:val="007F564D"/>
    <w:rsid w:val="00800827"/>
    <w:rsid w:val="0080183F"/>
    <w:rsid w:val="00802B99"/>
    <w:rsid w:val="00802DFA"/>
    <w:rsid w:val="00804114"/>
    <w:rsid w:val="00804786"/>
    <w:rsid w:val="00804D07"/>
    <w:rsid w:val="00805AE0"/>
    <w:rsid w:val="00806879"/>
    <w:rsid w:val="008102E1"/>
    <w:rsid w:val="0081097C"/>
    <w:rsid w:val="008109A1"/>
    <w:rsid w:val="00810B2F"/>
    <w:rsid w:val="00811166"/>
    <w:rsid w:val="0081189E"/>
    <w:rsid w:val="00812BDB"/>
    <w:rsid w:val="0081527F"/>
    <w:rsid w:val="008158DA"/>
    <w:rsid w:val="00815C71"/>
    <w:rsid w:val="00820BB8"/>
    <w:rsid w:val="008233A6"/>
    <w:rsid w:val="00830523"/>
    <w:rsid w:val="00832B7C"/>
    <w:rsid w:val="0083304F"/>
    <w:rsid w:val="008336C4"/>
    <w:rsid w:val="0083674B"/>
    <w:rsid w:val="008368D2"/>
    <w:rsid w:val="00837AA6"/>
    <w:rsid w:val="00837F9C"/>
    <w:rsid w:val="00846B37"/>
    <w:rsid w:val="0084747A"/>
    <w:rsid w:val="0085219C"/>
    <w:rsid w:val="00856364"/>
    <w:rsid w:val="00857408"/>
    <w:rsid w:val="008628F8"/>
    <w:rsid w:val="00862FB1"/>
    <w:rsid w:val="0086356D"/>
    <w:rsid w:val="008643E4"/>
    <w:rsid w:val="0086772D"/>
    <w:rsid w:val="008735C7"/>
    <w:rsid w:val="0087576F"/>
    <w:rsid w:val="008759B0"/>
    <w:rsid w:val="00876CCB"/>
    <w:rsid w:val="008775E0"/>
    <w:rsid w:val="00881EB7"/>
    <w:rsid w:val="00886208"/>
    <w:rsid w:val="00894C78"/>
    <w:rsid w:val="00895FCC"/>
    <w:rsid w:val="00896D61"/>
    <w:rsid w:val="00897CDD"/>
    <w:rsid w:val="008A189C"/>
    <w:rsid w:val="008A4716"/>
    <w:rsid w:val="008A486F"/>
    <w:rsid w:val="008A6B6D"/>
    <w:rsid w:val="008B6546"/>
    <w:rsid w:val="008B6839"/>
    <w:rsid w:val="008B694A"/>
    <w:rsid w:val="008B6F0A"/>
    <w:rsid w:val="008C0ACD"/>
    <w:rsid w:val="008C1AC6"/>
    <w:rsid w:val="008C3E4F"/>
    <w:rsid w:val="008C5EF8"/>
    <w:rsid w:val="008C6782"/>
    <w:rsid w:val="008C7427"/>
    <w:rsid w:val="008D122C"/>
    <w:rsid w:val="008D32E2"/>
    <w:rsid w:val="008D5C40"/>
    <w:rsid w:val="008E11B1"/>
    <w:rsid w:val="008E3E86"/>
    <w:rsid w:val="008E4557"/>
    <w:rsid w:val="008E69E9"/>
    <w:rsid w:val="008F1E4B"/>
    <w:rsid w:val="008F3ACC"/>
    <w:rsid w:val="008F3D76"/>
    <w:rsid w:val="008F6B1B"/>
    <w:rsid w:val="0090006F"/>
    <w:rsid w:val="00900DAB"/>
    <w:rsid w:val="00901B0A"/>
    <w:rsid w:val="00901C9B"/>
    <w:rsid w:val="00903E5D"/>
    <w:rsid w:val="009040E8"/>
    <w:rsid w:val="00905202"/>
    <w:rsid w:val="00907A64"/>
    <w:rsid w:val="009105F8"/>
    <w:rsid w:val="00910DF8"/>
    <w:rsid w:val="00914227"/>
    <w:rsid w:val="00914C4B"/>
    <w:rsid w:val="0091605A"/>
    <w:rsid w:val="0092667A"/>
    <w:rsid w:val="00930C88"/>
    <w:rsid w:val="00932606"/>
    <w:rsid w:val="0093337E"/>
    <w:rsid w:val="009342AE"/>
    <w:rsid w:val="00936233"/>
    <w:rsid w:val="0093790F"/>
    <w:rsid w:val="009444C5"/>
    <w:rsid w:val="00944BA6"/>
    <w:rsid w:val="00950060"/>
    <w:rsid w:val="00951298"/>
    <w:rsid w:val="00951A9F"/>
    <w:rsid w:val="00954F87"/>
    <w:rsid w:val="00956F9A"/>
    <w:rsid w:val="009572F1"/>
    <w:rsid w:val="0095776F"/>
    <w:rsid w:val="0096117B"/>
    <w:rsid w:val="00962106"/>
    <w:rsid w:val="009651E1"/>
    <w:rsid w:val="00965F90"/>
    <w:rsid w:val="00972CB9"/>
    <w:rsid w:val="00974069"/>
    <w:rsid w:val="00976DEC"/>
    <w:rsid w:val="00981761"/>
    <w:rsid w:val="0098180A"/>
    <w:rsid w:val="009847E8"/>
    <w:rsid w:val="00986898"/>
    <w:rsid w:val="009870E0"/>
    <w:rsid w:val="00987918"/>
    <w:rsid w:val="00987E37"/>
    <w:rsid w:val="00991CC8"/>
    <w:rsid w:val="00993F5E"/>
    <w:rsid w:val="0099646D"/>
    <w:rsid w:val="00997AF4"/>
    <w:rsid w:val="009A074C"/>
    <w:rsid w:val="009A10D1"/>
    <w:rsid w:val="009A4D32"/>
    <w:rsid w:val="009A4EEF"/>
    <w:rsid w:val="009A61CE"/>
    <w:rsid w:val="009B3D6C"/>
    <w:rsid w:val="009B4AB7"/>
    <w:rsid w:val="009B6D87"/>
    <w:rsid w:val="009B6FF8"/>
    <w:rsid w:val="009C10AA"/>
    <w:rsid w:val="009C340B"/>
    <w:rsid w:val="009C3817"/>
    <w:rsid w:val="009C3D94"/>
    <w:rsid w:val="009C620E"/>
    <w:rsid w:val="009C6985"/>
    <w:rsid w:val="009D12EF"/>
    <w:rsid w:val="009D33FC"/>
    <w:rsid w:val="009D3696"/>
    <w:rsid w:val="009D425D"/>
    <w:rsid w:val="009D4FB7"/>
    <w:rsid w:val="009D6AAE"/>
    <w:rsid w:val="009E1F00"/>
    <w:rsid w:val="009E2520"/>
    <w:rsid w:val="009E32B1"/>
    <w:rsid w:val="009E3BF1"/>
    <w:rsid w:val="009E4D88"/>
    <w:rsid w:val="009E6697"/>
    <w:rsid w:val="009F33F4"/>
    <w:rsid w:val="009F5573"/>
    <w:rsid w:val="009F6204"/>
    <w:rsid w:val="009F7DD5"/>
    <w:rsid w:val="00A0211F"/>
    <w:rsid w:val="00A02E0F"/>
    <w:rsid w:val="00A032A3"/>
    <w:rsid w:val="00A03C74"/>
    <w:rsid w:val="00A11AD6"/>
    <w:rsid w:val="00A14431"/>
    <w:rsid w:val="00A152EB"/>
    <w:rsid w:val="00A169D6"/>
    <w:rsid w:val="00A25CB1"/>
    <w:rsid w:val="00A26B57"/>
    <w:rsid w:val="00A32653"/>
    <w:rsid w:val="00A3283A"/>
    <w:rsid w:val="00A32CA4"/>
    <w:rsid w:val="00A331C8"/>
    <w:rsid w:val="00A336EF"/>
    <w:rsid w:val="00A36823"/>
    <w:rsid w:val="00A404F2"/>
    <w:rsid w:val="00A40509"/>
    <w:rsid w:val="00A41A25"/>
    <w:rsid w:val="00A451C9"/>
    <w:rsid w:val="00A51129"/>
    <w:rsid w:val="00A53CC6"/>
    <w:rsid w:val="00A5578D"/>
    <w:rsid w:val="00A6056E"/>
    <w:rsid w:val="00A60D4F"/>
    <w:rsid w:val="00A616DC"/>
    <w:rsid w:val="00A657AA"/>
    <w:rsid w:val="00A678B6"/>
    <w:rsid w:val="00A70BB4"/>
    <w:rsid w:val="00A70D98"/>
    <w:rsid w:val="00A724E8"/>
    <w:rsid w:val="00A72D02"/>
    <w:rsid w:val="00A7385A"/>
    <w:rsid w:val="00A73E4F"/>
    <w:rsid w:val="00A74EE0"/>
    <w:rsid w:val="00A7536E"/>
    <w:rsid w:val="00A76253"/>
    <w:rsid w:val="00A7715B"/>
    <w:rsid w:val="00A77398"/>
    <w:rsid w:val="00A80EF0"/>
    <w:rsid w:val="00A81D46"/>
    <w:rsid w:val="00A83DAF"/>
    <w:rsid w:val="00A85C6E"/>
    <w:rsid w:val="00A90DC9"/>
    <w:rsid w:val="00A910ED"/>
    <w:rsid w:val="00A920CE"/>
    <w:rsid w:val="00A926C5"/>
    <w:rsid w:val="00A96E97"/>
    <w:rsid w:val="00A97471"/>
    <w:rsid w:val="00AA483E"/>
    <w:rsid w:val="00AA6B6A"/>
    <w:rsid w:val="00AB03F2"/>
    <w:rsid w:val="00AB1372"/>
    <w:rsid w:val="00AB62E3"/>
    <w:rsid w:val="00AC0305"/>
    <w:rsid w:val="00AC034A"/>
    <w:rsid w:val="00AC0B4B"/>
    <w:rsid w:val="00AC0C13"/>
    <w:rsid w:val="00AC4BDB"/>
    <w:rsid w:val="00AD12E3"/>
    <w:rsid w:val="00AD2DEE"/>
    <w:rsid w:val="00AD2FF7"/>
    <w:rsid w:val="00AD5078"/>
    <w:rsid w:val="00AE066A"/>
    <w:rsid w:val="00AE4009"/>
    <w:rsid w:val="00AF04A6"/>
    <w:rsid w:val="00AF3436"/>
    <w:rsid w:val="00AF6566"/>
    <w:rsid w:val="00AF7AAB"/>
    <w:rsid w:val="00AF7F04"/>
    <w:rsid w:val="00B00728"/>
    <w:rsid w:val="00B02351"/>
    <w:rsid w:val="00B024A4"/>
    <w:rsid w:val="00B02C4B"/>
    <w:rsid w:val="00B06ED7"/>
    <w:rsid w:val="00B1281C"/>
    <w:rsid w:val="00B1364D"/>
    <w:rsid w:val="00B152B0"/>
    <w:rsid w:val="00B1644E"/>
    <w:rsid w:val="00B2097A"/>
    <w:rsid w:val="00B20D88"/>
    <w:rsid w:val="00B21A6D"/>
    <w:rsid w:val="00B27E2D"/>
    <w:rsid w:val="00B27F42"/>
    <w:rsid w:val="00B36081"/>
    <w:rsid w:val="00B443E7"/>
    <w:rsid w:val="00B47368"/>
    <w:rsid w:val="00B476BB"/>
    <w:rsid w:val="00B50C8E"/>
    <w:rsid w:val="00B51D00"/>
    <w:rsid w:val="00B5236C"/>
    <w:rsid w:val="00B5340F"/>
    <w:rsid w:val="00B53AE1"/>
    <w:rsid w:val="00B53DBD"/>
    <w:rsid w:val="00B53E17"/>
    <w:rsid w:val="00B5429E"/>
    <w:rsid w:val="00B554BE"/>
    <w:rsid w:val="00B55CA2"/>
    <w:rsid w:val="00B5602F"/>
    <w:rsid w:val="00B61F25"/>
    <w:rsid w:val="00B63E16"/>
    <w:rsid w:val="00B65E78"/>
    <w:rsid w:val="00B738FE"/>
    <w:rsid w:val="00B73CB4"/>
    <w:rsid w:val="00B75F45"/>
    <w:rsid w:val="00B7653D"/>
    <w:rsid w:val="00B825C5"/>
    <w:rsid w:val="00B8467F"/>
    <w:rsid w:val="00B900D7"/>
    <w:rsid w:val="00B9037B"/>
    <w:rsid w:val="00B93056"/>
    <w:rsid w:val="00B939BA"/>
    <w:rsid w:val="00B95DE0"/>
    <w:rsid w:val="00BA1229"/>
    <w:rsid w:val="00BA168E"/>
    <w:rsid w:val="00BA3C8F"/>
    <w:rsid w:val="00BA48DE"/>
    <w:rsid w:val="00BA6B02"/>
    <w:rsid w:val="00BB17CF"/>
    <w:rsid w:val="00BB349B"/>
    <w:rsid w:val="00BB7126"/>
    <w:rsid w:val="00BC2D69"/>
    <w:rsid w:val="00BC72D4"/>
    <w:rsid w:val="00BD444C"/>
    <w:rsid w:val="00BD58ED"/>
    <w:rsid w:val="00BE0D82"/>
    <w:rsid w:val="00BE1A3E"/>
    <w:rsid w:val="00BE46CF"/>
    <w:rsid w:val="00BE4BDD"/>
    <w:rsid w:val="00BF3555"/>
    <w:rsid w:val="00BF5457"/>
    <w:rsid w:val="00BF5F6A"/>
    <w:rsid w:val="00C01E3F"/>
    <w:rsid w:val="00C021E0"/>
    <w:rsid w:val="00C05334"/>
    <w:rsid w:val="00C065CA"/>
    <w:rsid w:val="00C06F7F"/>
    <w:rsid w:val="00C1212A"/>
    <w:rsid w:val="00C128C7"/>
    <w:rsid w:val="00C12C72"/>
    <w:rsid w:val="00C13D39"/>
    <w:rsid w:val="00C16AF1"/>
    <w:rsid w:val="00C1708B"/>
    <w:rsid w:val="00C17AD2"/>
    <w:rsid w:val="00C206F9"/>
    <w:rsid w:val="00C21187"/>
    <w:rsid w:val="00C22052"/>
    <w:rsid w:val="00C22DCA"/>
    <w:rsid w:val="00C22E1B"/>
    <w:rsid w:val="00C249AF"/>
    <w:rsid w:val="00C276D5"/>
    <w:rsid w:val="00C31842"/>
    <w:rsid w:val="00C32002"/>
    <w:rsid w:val="00C32AD8"/>
    <w:rsid w:val="00C33FD2"/>
    <w:rsid w:val="00C347F6"/>
    <w:rsid w:val="00C34DFF"/>
    <w:rsid w:val="00C35D50"/>
    <w:rsid w:val="00C36B01"/>
    <w:rsid w:val="00C40D5A"/>
    <w:rsid w:val="00C41B9C"/>
    <w:rsid w:val="00C444FD"/>
    <w:rsid w:val="00C47582"/>
    <w:rsid w:val="00C47AB9"/>
    <w:rsid w:val="00C501AC"/>
    <w:rsid w:val="00C50F58"/>
    <w:rsid w:val="00C52933"/>
    <w:rsid w:val="00C538AA"/>
    <w:rsid w:val="00C54F13"/>
    <w:rsid w:val="00C54F76"/>
    <w:rsid w:val="00C57A15"/>
    <w:rsid w:val="00C57D7D"/>
    <w:rsid w:val="00C63EB9"/>
    <w:rsid w:val="00C657FE"/>
    <w:rsid w:val="00C66EF3"/>
    <w:rsid w:val="00C67605"/>
    <w:rsid w:val="00C7185B"/>
    <w:rsid w:val="00C814A2"/>
    <w:rsid w:val="00C86B26"/>
    <w:rsid w:val="00C90769"/>
    <w:rsid w:val="00C9360C"/>
    <w:rsid w:val="00C97A2C"/>
    <w:rsid w:val="00CA011A"/>
    <w:rsid w:val="00CA4509"/>
    <w:rsid w:val="00CA6D06"/>
    <w:rsid w:val="00CA74ED"/>
    <w:rsid w:val="00CB081E"/>
    <w:rsid w:val="00CB1F71"/>
    <w:rsid w:val="00CB2A8D"/>
    <w:rsid w:val="00CB447F"/>
    <w:rsid w:val="00CB511F"/>
    <w:rsid w:val="00CB5831"/>
    <w:rsid w:val="00CC1D15"/>
    <w:rsid w:val="00CC757A"/>
    <w:rsid w:val="00CC79DD"/>
    <w:rsid w:val="00CD20AE"/>
    <w:rsid w:val="00CD23C5"/>
    <w:rsid w:val="00CD3538"/>
    <w:rsid w:val="00CD38DA"/>
    <w:rsid w:val="00CD4AEC"/>
    <w:rsid w:val="00CD530C"/>
    <w:rsid w:val="00CD586B"/>
    <w:rsid w:val="00CD6EF9"/>
    <w:rsid w:val="00CD70A4"/>
    <w:rsid w:val="00CE0FA0"/>
    <w:rsid w:val="00CE2557"/>
    <w:rsid w:val="00CE2D6A"/>
    <w:rsid w:val="00CE5A59"/>
    <w:rsid w:val="00CF1D7F"/>
    <w:rsid w:val="00CF4175"/>
    <w:rsid w:val="00CF4865"/>
    <w:rsid w:val="00CF5278"/>
    <w:rsid w:val="00CF5901"/>
    <w:rsid w:val="00CF5958"/>
    <w:rsid w:val="00CF675D"/>
    <w:rsid w:val="00CF727F"/>
    <w:rsid w:val="00CF7A93"/>
    <w:rsid w:val="00CF7F24"/>
    <w:rsid w:val="00D00A07"/>
    <w:rsid w:val="00D064B0"/>
    <w:rsid w:val="00D10298"/>
    <w:rsid w:val="00D1108D"/>
    <w:rsid w:val="00D12C18"/>
    <w:rsid w:val="00D14E19"/>
    <w:rsid w:val="00D1637D"/>
    <w:rsid w:val="00D16537"/>
    <w:rsid w:val="00D17E04"/>
    <w:rsid w:val="00D20F23"/>
    <w:rsid w:val="00D25394"/>
    <w:rsid w:val="00D279B3"/>
    <w:rsid w:val="00D3138B"/>
    <w:rsid w:val="00D350D6"/>
    <w:rsid w:val="00D36264"/>
    <w:rsid w:val="00D54EFE"/>
    <w:rsid w:val="00D55DF8"/>
    <w:rsid w:val="00D57A5D"/>
    <w:rsid w:val="00D64AD5"/>
    <w:rsid w:val="00D66517"/>
    <w:rsid w:val="00D6690A"/>
    <w:rsid w:val="00D669DB"/>
    <w:rsid w:val="00D709A2"/>
    <w:rsid w:val="00D73AFF"/>
    <w:rsid w:val="00D745E2"/>
    <w:rsid w:val="00D77229"/>
    <w:rsid w:val="00D82352"/>
    <w:rsid w:val="00D8398E"/>
    <w:rsid w:val="00D84143"/>
    <w:rsid w:val="00D84B45"/>
    <w:rsid w:val="00D855CE"/>
    <w:rsid w:val="00D86666"/>
    <w:rsid w:val="00D8691E"/>
    <w:rsid w:val="00D9105D"/>
    <w:rsid w:val="00D920CF"/>
    <w:rsid w:val="00D923CE"/>
    <w:rsid w:val="00D92402"/>
    <w:rsid w:val="00D9541F"/>
    <w:rsid w:val="00D96AFD"/>
    <w:rsid w:val="00DA18E9"/>
    <w:rsid w:val="00DA1949"/>
    <w:rsid w:val="00DA2C8D"/>
    <w:rsid w:val="00DA37C3"/>
    <w:rsid w:val="00DA45A0"/>
    <w:rsid w:val="00DA5397"/>
    <w:rsid w:val="00DA59C1"/>
    <w:rsid w:val="00DA5CF7"/>
    <w:rsid w:val="00DA63A5"/>
    <w:rsid w:val="00DA6438"/>
    <w:rsid w:val="00DB0C95"/>
    <w:rsid w:val="00DB2049"/>
    <w:rsid w:val="00DC161B"/>
    <w:rsid w:val="00DC2405"/>
    <w:rsid w:val="00DC2C79"/>
    <w:rsid w:val="00DC72F4"/>
    <w:rsid w:val="00DC7C4A"/>
    <w:rsid w:val="00DD1154"/>
    <w:rsid w:val="00DD30E4"/>
    <w:rsid w:val="00DD30ED"/>
    <w:rsid w:val="00DD5777"/>
    <w:rsid w:val="00DD6B63"/>
    <w:rsid w:val="00DD75A9"/>
    <w:rsid w:val="00DE051B"/>
    <w:rsid w:val="00DE147E"/>
    <w:rsid w:val="00DE18BC"/>
    <w:rsid w:val="00DE18CF"/>
    <w:rsid w:val="00DE2A5E"/>
    <w:rsid w:val="00DE30F4"/>
    <w:rsid w:val="00DE37F0"/>
    <w:rsid w:val="00DE3DE5"/>
    <w:rsid w:val="00DE5144"/>
    <w:rsid w:val="00DE7201"/>
    <w:rsid w:val="00DF261E"/>
    <w:rsid w:val="00DF5EB6"/>
    <w:rsid w:val="00DF62EE"/>
    <w:rsid w:val="00DF6583"/>
    <w:rsid w:val="00DF7869"/>
    <w:rsid w:val="00DF79DF"/>
    <w:rsid w:val="00E03076"/>
    <w:rsid w:val="00E0373B"/>
    <w:rsid w:val="00E03BB3"/>
    <w:rsid w:val="00E03C79"/>
    <w:rsid w:val="00E03E4B"/>
    <w:rsid w:val="00E11867"/>
    <w:rsid w:val="00E11ADC"/>
    <w:rsid w:val="00E12C91"/>
    <w:rsid w:val="00E15B3D"/>
    <w:rsid w:val="00E16295"/>
    <w:rsid w:val="00E1667B"/>
    <w:rsid w:val="00E20DB4"/>
    <w:rsid w:val="00E232F2"/>
    <w:rsid w:val="00E25158"/>
    <w:rsid w:val="00E268EF"/>
    <w:rsid w:val="00E323F8"/>
    <w:rsid w:val="00E35023"/>
    <w:rsid w:val="00E3776D"/>
    <w:rsid w:val="00E37D88"/>
    <w:rsid w:val="00E42198"/>
    <w:rsid w:val="00E4332C"/>
    <w:rsid w:val="00E4366D"/>
    <w:rsid w:val="00E44C78"/>
    <w:rsid w:val="00E4562D"/>
    <w:rsid w:val="00E51402"/>
    <w:rsid w:val="00E52672"/>
    <w:rsid w:val="00E57A16"/>
    <w:rsid w:val="00E57A26"/>
    <w:rsid w:val="00E600A5"/>
    <w:rsid w:val="00E61603"/>
    <w:rsid w:val="00E6419D"/>
    <w:rsid w:val="00E64541"/>
    <w:rsid w:val="00E67159"/>
    <w:rsid w:val="00E705AD"/>
    <w:rsid w:val="00E7255C"/>
    <w:rsid w:val="00E73105"/>
    <w:rsid w:val="00E73943"/>
    <w:rsid w:val="00E75243"/>
    <w:rsid w:val="00E755F2"/>
    <w:rsid w:val="00E768FD"/>
    <w:rsid w:val="00E8779E"/>
    <w:rsid w:val="00EA1E8A"/>
    <w:rsid w:val="00EA1F25"/>
    <w:rsid w:val="00EA73DF"/>
    <w:rsid w:val="00EB0481"/>
    <w:rsid w:val="00EB1209"/>
    <w:rsid w:val="00EB2534"/>
    <w:rsid w:val="00EB2ED8"/>
    <w:rsid w:val="00EB46F9"/>
    <w:rsid w:val="00EB6D3A"/>
    <w:rsid w:val="00EB7195"/>
    <w:rsid w:val="00EB75EB"/>
    <w:rsid w:val="00EB7EAB"/>
    <w:rsid w:val="00EC0400"/>
    <w:rsid w:val="00EC0D8A"/>
    <w:rsid w:val="00EC2FE5"/>
    <w:rsid w:val="00EC5526"/>
    <w:rsid w:val="00EC7942"/>
    <w:rsid w:val="00ED30D9"/>
    <w:rsid w:val="00ED30F1"/>
    <w:rsid w:val="00ED42AD"/>
    <w:rsid w:val="00ED65E9"/>
    <w:rsid w:val="00EE025F"/>
    <w:rsid w:val="00EE17D3"/>
    <w:rsid w:val="00EE1A7D"/>
    <w:rsid w:val="00EE20DB"/>
    <w:rsid w:val="00EE2D0D"/>
    <w:rsid w:val="00EE3149"/>
    <w:rsid w:val="00EE4F98"/>
    <w:rsid w:val="00EF2662"/>
    <w:rsid w:val="00EF2772"/>
    <w:rsid w:val="00F011B6"/>
    <w:rsid w:val="00F019A8"/>
    <w:rsid w:val="00F02D3D"/>
    <w:rsid w:val="00F03BFC"/>
    <w:rsid w:val="00F068EA"/>
    <w:rsid w:val="00F06AFD"/>
    <w:rsid w:val="00F13C97"/>
    <w:rsid w:val="00F17655"/>
    <w:rsid w:val="00F1773D"/>
    <w:rsid w:val="00F22F0F"/>
    <w:rsid w:val="00F24475"/>
    <w:rsid w:val="00F24F04"/>
    <w:rsid w:val="00F2727F"/>
    <w:rsid w:val="00F31671"/>
    <w:rsid w:val="00F32417"/>
    <w:rsid w:val="00F331F3"/>
    <w:rsid w:val="00F34A98"/>
    <w:rsid w:val="00F360E1"/>
    <w:rsid w:val="00F3621D"/>
    <w:rsid w:val="00F40C5C"/>
    <w:rsid w:val="00F43B3B"/>
    <w:rsid w:val="00F43BAC"/>
    <w:rsid w:val="00F44C4A"/>
    <w:rsid w:val="00F44E22"/>
    <w:rsid w:val="00F47D48"/>
    <w:rsid w:val="00F52B26"/>
    <w:rsid w:val="00F60DB1"/>
    <w:rsid w:val="00F6155F"/>
    <w:rsid w:val="00F62C8B"/>
    <w:rsid w:val="00F666BC"/>
    <w:rsid w:val="00F6767D"/>
    <w:rsid w:val="00F67F3C"/>
    <w:rsid w:val="00F750E3"/>
    <w:rsid w:val="00F76FC6"/>
    <w:rsid w:val="00F80A59"/>
    <w:rsid w:val="00F83027"/>
    <w:rsid w:val="00F83B72"/>
    <w:rsid w:val="00F85080"/>
    <w:rsid w:val="00F9103F"/>
    <w:rsid w:val="00F91D7C"/>
    <w:rsid w:val="00FA28FC"/>
    <w:rsid w:val="00FA2ACB"/>
    <w:rsid w:val="00FA39CE"/>
    <w:rsid w:val="00FA4576"/>
    <w:rsid w:val="00FB3EBB"/>
    <w:rsid w:val="00FB4E41"/>
    <w:rsid w:val="00FB5357"/>
    <w:rsid w:val="00FB5705"/>
    <w:rsid w:val="00FB7125"/>
    <w:rsid w:val="00FC0B7C"/>
    <w:rsid w:val="00FC218D"/>
    <w:rsid w:val="00FC3789"/>
    <w:rsid w:val="00FC400B"/>
    <w:rsid w:val="00FC531B"/>
    <w:rsid w:val="00FC68B7"/>
    <w:rsid w:val="00FC6C42"/>
    <w:rsid w:val="00FD0295"/>
    <w:rsid w:val="00FD0D7A"/>
    <w:rsid w:val="00FD1AFB"/>
    <w:rsid w:val="00FD2727"/>
    <w:rsid w:val="00FD4409"/>
    <w:rsid w:val="00FD6162"/>
    <w:rsid w:val="00FE3FD8"/>
    <w:rsid w:val="00FE6857"/>
    <w:rsid w:val="00FF105F"/>
    <w:rsid w:val="00FF1756"/>
    <w:rsid w:val="00FF1E53"/>
    <w:rsid w:val="00FF4486"/>
    <w:rsid w:val="00FF50F5"/>
    <w:rsid w:val="00FF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E2B2-B8D5-47DA-89AC-6C30AC8F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53"/>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D1A53"/>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qFormat/>
    <w:rsid w:val="003D1A53"/>
    <w:pPr>
      <w:keepNext/>
      <w:spacing w:before="360" w:after="60" w:line="360" w:lineRule="auto"/>
      <w:ind w:right="567"/>
      <w:contextualSpacing/>
      <w:outlineLvl w:val="1"/>
    </w:pPr>
    <w:rPr>
      <w:rFonts w:cs="Arial"/>
      <w:b/>
      <w:bCs/>
      <w:i/>
      <w:iCs/>
      <w:szCs w:val="28"/>
    </w:rPr>
  </w:style>
  <w:style w:type="paragraph" w:styleId="Heading3">
    <w:name w:val="heading 3"/>
    <w:basedOn w:val="Normal"/>
    <w:next w:val="Normal"/>
    <w:link w:val="Heading3Char"/>
    <w:qFormat/>
    <w:rsid w:val="003D1A53"/>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A53"/>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3D1A53"/>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3D1A53"/>
    <w:rPr>
      <w:rFonts w:ascii="Times New Roman" w:eastAsia="Times New Roman" w:hAnsi="Times New Roman" w:cs="Arial"/>
      <w:bCs/>
      <w:i/>
      <w:sz w:val="24"/>
      <w:szCs w:val="26"/>
      <w:lang w:eastAsia="en-GB"/>
    </w:rPr>
  </w:style>
  <w:style w:type="paragraph" w:customStyle="1" w:styleId="Footnotetable">
    <w:name w:val="Footnote table"/>
    <w:basedOn w:val="Normal"/>
    <w:link w:val="FootnotetableChar"/>
    <w:qFormat/>
    <w:rsid w:val="003D1A53"/>
    <w:pPr>
      <w:widowControl w:val="0"/>
      <w:adjustRightInd w:val="0"/>
      <w:spacing w:before="120" w:line="360" w:lineRule="auto"/>
      <w:jc w:val="both"/>
      <w:textAlignment w:val="baseline"/>
    </w:pPr>
    <w:rPr>
      <w:color w:val="000000" w:themeColor="text1"/>
      <w:sz w:val="18"/>
      <w:lang w:val="en-US" w:eastAsia="en-US"/>
    </w:rPr>
  </w:style>
  <w:style w:type="character" w:customStyle="1" w:styleId="FootnotetableChar">
    <w:name w:val="Footnote table Char"/>
    <w:basedOn w:val="DefaultParagraphFont"/>
    <w:link w:val="Footnotetable"/>
    <w:rsid w:val="003D1A53"/>
    <w:rPr>
      <w:rFonts w:ascii="Times New Roman" w:eastAsia="Times New Roman" w:hAnsi="Times New Roman" w:cs="Times New Roman"/>
      <w:color w:val="000000" w:themeColor="text1"/>
      <w:sz w:val="18"/>
      <w:szCs w:val="24"/>
      <w:lang w:val="en-US"/>
    </w:rPr>
  </w:style>
  <w:style w:type="paragraph" w:styleId="BalloonText">
    <w:name w:val="Balloon Text"/>
    <w:basedOn w:val="Normal"/>
    <w:link w:val="BalloonTextChar"/>
    <w:uiPriority w:val="99"/>
    <w:semiHidden/>
    <w:unhideWhenUsed/>
    <w:rsid w:val="009F33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F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Fico</dc:creator>
  <cp:keywords/>
  <dc:description/>
  <cp:lastModifiedBy>Anouska Colledge</cp:lastModifiedBy>
  <cp:revision>2</cp:revision>
  <dcterms:created xsi:type="dcterms:W3CDTF">2019-11-06T18:31:00Z</dcterms:created>
  <dcterms:modified xsi:type="dcterms:W3CDTF">2019-11-06T18:31:00Z</dcterms:modified>
</cp:coreProperties>
</file>