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51D41" w14:textId="77777777" w:rsidR="00055053" w:rsidRDefault="00055053" w:rsidP="00055053">
      <w:pPr>
        <w:widowControl w:val="0"/>
        <w:autoSpaceDE w:val="0"/>
        <w:autoSpaceDN w:val="0"/>
        <w:adjustRightInd w:val="0"/>
        <w:spacing w:line="480" w:lineRule="auto"/>
      </w:pPr>
    </w:p>
    <w:p w14:paraId="595FFCA3" w14:textId="5EA033A6" w:rsidR="00055053" w:rsidRDefault="00055053" w:rsidP="00055053">
      <w:pPr>
        <w:widowControl w:val="0"/>
        <w:autoSpaceDE w:val="0"/>
        <w:autoSpaceDN w:val="0"/>
        <w:adjustRightInd w:val="0"/>
        <w:spacing w:line="480" w:lineRule="auto"/>
      </w:pPr>
      <w:r>
        <w:t>Supplementary Table S5: Sensitivity analysis for county models</w:t>
      </w:r>
      <w:r w:rsidR="00CB4AE7">
        <w:t>, utilising data from the five</w:t>
      </w:r>
      <w:r w:rsidR="00CB4AE7" w:rsidRPr="00CB4AE7">
        <w:t xml:space="preserve"> counties </w:t>
      </w:r>
      <w:r w:rsidR="00CB4AE7">
        <w:t xml:space="preserve">which </w:t>
      </w:r>
      <w:r w:rsidR="00743C30">
        <w:t>contributed</w:t>
      </w:r>
      <w:r w:rsidR="00CB4AE7">
        <w:t xml:space="preserve"> the</w:t>
      </w:r>
      <w:r w:rsidR="00CB4AE7" w:rsidRPr="00CB4AE7">
        <w:t xml:space="preserve"> most pigs (East Riding of Yorkshire, Lincolnshire, Norfolk, North Yorkshire, Suffolk) and </w:t>
      </w:r>
      <w:r w:rsidR="00CB4AE7">
        <w:t>two</w:t>
      </w:r>
      <w:r w:rsidR="00F176A4">
        <w:t xml:space="preserve"> of the</w:t>
      </w:r>
      <w:r w:rsidR="00CB4AE7" w:rsidRPr="00CB4AE7">
        <w:t xml:space="preserve"> counties </w:t>
      </w:r>
      <w:r w:rsidR="00CB4AE7">
        <w:t xml:space="preserve">that </w:t>
      </w:r>
      <w:r w:rsidR="00743C30">
        <w:t>contributed</w:t>
      </w:r>
      <w:r w:rsidR="00CB4AE7">
        <w:t xml:space="preserve"> </w:t>
      </w:r>
      <w:r w:rsidR="00F176A4">
        <w:t xml:space="preserve">some of </w:t>
      </w:r>
      <w:r w:rsidR="00CB4AE7" w:rsidRPr="00CB4AE7">
        <w:t>the least (Merseyside, East Sussex)</w:t>
      </w:r>
      <w:r w:rsidR="00CB4AE7">
        <w:t>.</w:t>
      </w:r>
    </w:p>
    <w:tbl>
      <w:tblPr>
        <w:tblW w:w="15735" w:type="dxa"/>
        <w:tblInd w:w="-10" w:type="dxa"/>
        <w:tblLook w:val="04A0" w:firstRow="1" w:lastRow="0" w:firstColumn="1" w:lastColumn="0" w:noHBand="0" w:noVBand="1"/>
      </w:tblPr>
      <w:tblGrid>
        <w:gridCol w:w="915"/>
        <w:gridCol w:w="2346"/>
        <w:gridCol w:w="3969"/>
        <w:gridCol w:w="3969"/>
        <w:gridCol w:w="4536"/>
      </w:tblGrid>
      <w:tr w:rsidR="00055053" w:rsidRPr="00F176A4" w14:paraId="7FB23223" w14:textId="77777777" w:rsidTr="00930D21">
        <w:trPr>
          <w:trHeight w:val="315"/>
        </w:trPr>
        <w:tc>
          <w:tcPr>
            <w:tcW w:w="91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BD1A1" w14:textId="77777777" w:rsidR="00055053" w:rsidRPr="00F176A4" w:rsidRDefault="00055053" w:rsidP="00930D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Dataset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5FFAF" w14:textId="09D1CEFE" w:rsidR="00055053" w:rsidRPr="00F176A4" w:rsidRDefault="00055053" w:rsidP="00930D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County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8928" w14:textId="77777777" w:rsidR="00055053" w:rsidRPr="00F176A4" w:rsidRDefault="00055053" w:rsidP="00930D21">
            <w:pPr>
              <w:spacing w:after="0"/>
              <w:ind w:right="-24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Respiratory conditions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A04A" w14:textId="24805F19" w:rsidR="00055053" w:rsidRPr="00F176A4" w:rsidRDefault="00055053" w:rsidP="00930D21">
            <w:pPr>
              <w:spacing w:after="0"/>
              <w:ind w:left="31" w:right="-11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Tail</w:t>
            </w:r>
            <w:r w:rsidR="00166326" w:rsidRPr="00F176A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F176A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biting</w:t>
            </w:r>
          </w:p>
        </w:tc>
      </w:tr>
      <w:tr w:rsidR="00055053" w:rsidRPr="00F176A4" w14:paraId="2E6429AE" w14:textId="77777777" w:rsidTr="00930D21">
        <w:trPr>
          <w:trHeight w:val="600"/>
        </w:trPr>
        <w:tc>
          <w:tcPr>
            <w:tcW w:w="915" w:type="dxa"/>
            <w:vMerge/>
            <w:vAlign w:val="center"/>
            <w:hideMark/>
          </w:tcPr>
          <w:p w14:paraId="723A6146" w14:textId="77777777" w:rsidR="00055053" w:rsidRPr="00F176A4" w:rsidRDefault="00055053" w:rsidP="00930D21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vMerge/>
            <w:vAlign w:val="center"/>
            <w:hideMark/>
          </w:tcPr>
          <w:p w14:paraId="44B29E4F" w14:textId="77777777" w:rsidR="00055053" w:rsidRPr="00F176A4" w:rsidRDefault="00055053" w:rsidP="00930D21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3701B7D" w14:textId="1C2D9794" w:rsidR="00055053" w:rsidRPr="00F176A4" w:rsidRDefault="00055053" w:rsidP="00930D21">
            <w:pPr>
              <w:spacing w:after="0"/>
              <w:ind w:left="-113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RR per one degree decrease in temperature below threshold (46</w:t>
            </w:r>
            <w:r w:rsidRPr="00F176A4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n-GB"/>
              </w:rPr>
              <w:t>th</w:t>
            </w:r>
            <w:r w:rsidRP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per</w:t>
            </w:r>
            <w:r w:rsidRP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centile)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EDB3545" w14:textId="4355E300" w:rsidR="00055053" w:rsidRPr="00F176A4" w:rsidRDefault="00055053" w:rsidP="00930D21">
            <w:pPr>
              <w:spacing w:after="0"/>
              <w:ind w:left="-113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RR per one degree increase in temperature </w:t>
            </w:r>
            <w:r w:rsidRP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br/>
              <w:t xml:space="preserve">above threshold (46th </w:t>
            </w:r>
            <w:r w:rsid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per</w:t>
            </w:r>
            <w:r w:rsidRP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centile)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F164" w14:textId="77777777" w:rsidR="00E41886" w:rsidRDefault="00055053" w:rsidP="00930D21">
            <w:pPr>
              <w:spacing w:after="0"/>
              <w:ind w:right="-114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RR for every one degree drop in temp</w:t>
            </w:r>
            <w:r w:rsid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 </w:t>
            </w:r>
          </w:p>
          <w:p w14:paraId="3C794871" w14:textId="10C9441E" w:rsidR="00055053" w:rsidRDefault="00F176A4" w:rsidP="00930D21">
            <w:pPr>
              <w:spacing w:after="0"/>
              <w:ind w:right="-114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 xml:space="preserve">                                   </w:t>
            </w:r>
          </w:p>
          <w:p w14:paraId="4A976E02" w14:textId="7C3C9DA9" w:rsidR="00F176A4" w:rsidRPr="00F176A4" w:rsidRDefault="00F176A4" w:rsidP="00930D21">
            <w:pPr>
              <w:spacing w:after="0"/>
              <w:ind w:right="-114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055053" w:rsidRPr="00F176A4" w14:paraId="1153FD70" w14:textId="77777777" w:rsidTr="00930D21">
        <w:trPr>
          <w:trHeight w:val="315"/>
        </w:trPr>
        <w:tc>
          <w:tcPr>
            <w:tcW w:w="91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39FC1B7" w14:textId="77777777" w:rsidR="00055053" w:rsidRPr="00F176A4" w:rsidRDefault="00055053" w:rsidP="00930D21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2D76A97" w14:textId="77777777" w:rsidR="00055053" w:rsidRPr="00F176A4" w:rsidRDefault="00055053" w:rsidP="00930D21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E5EB" w14:textId="77777777" w:rsidR="00055053" w:rsidRPr="00F176A4" w:rsidRDefault="00055053" w:rsidP="00930D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RR (95% CI; p-value)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31A7" w14:textId="77777777" w:rsidR="00055053" w:rsidRPr="00F176A4" w:rsidRDefault="00055053" w:rsidP="00930D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RR (95% CI; p-value)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9FE0" w14:textId="77777777" w:rsidR="00055053" w:rsidRPr="00F176A4" w:rsidRDefault="00055053" w:rsidP="00930D21">
            <w:pPr>
              <w:spacing w:after="0"/>
              <w:ind w:right="-11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RR (95% CI; p-value)</w:t>
            </w:r>
          </w:p>
        </w:tc>
      </w:tr>
      <w:tr w:rsidR="002D172F" w:rsidRPr="00F176A4" w14:paraId="1B669711" w14:textId="77777777" w:rsidTr="00930D21">
        <w:trPr>
          <w:trHeight w:val="300"/>
        </w:trPr>
        <w:tc>
          <w:tcPr>
            <w:tcW w:w="91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E2E79D8" w14:textId="77777777" w:rsidR="002D172F" w:rsidRPr="00F176A4" w:rsidRDefault="002D172F" w:rsidP="002D172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bookmarkStart w:id="0" w:name="_GoBack" w:colFirst="2" w:colLast="2"/>
            <w:r w:rsidRP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Original</w:t>
            </w:r>
          </w:p>
        </w:tc>
        <w:tc>
          <w:tcPr>
            <w:tcW w:w="234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8052A3D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East Riding of Yorkshire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93226AD" w14:textId="3655532C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1.023 (95% CI 0.820, 1.275; p value 0.843)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4027D62" w14:textId="6EA60D13" w:rsidR="002D172F" w:rsidRPr="002D172F" w:rsidRDefault="002D172F" w:rsidP="002D172F">
            <w:pPr>
              <w:spacing w:after="0"/>
              <w:ind w:right="-247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0.973 (95% CI 0.773, 1.224; p-value 0.814)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E90FDD4" w14:textId="6995B82F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1.051 (95% CI 0.167, 6.634; p value 0.958)</w:t>
            </w:r>
          </w:p>
        </w:tc>
      </w:tr>
      <w:tr w:rsidR="002D172F" w:rsidRPr="00F176A4" w14:paraId="6A4021DF" w14:textId="77777777" w:rsidTr="00930D21">
        <w:trPr>
          <w:trHeight w:val="300"/>
        </w:trPr>
        <w:tc>
          <w:tcPr>
            <w:tcW w:w="915" w:type="dxa"/>
            <w:vMerge/>
            <w:vAlign w:val="center"/>
          </w:tcPr>
          <w:p w14:paraId="49BE3420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shd w:val="clear" w:color="auto" w:fill="auto"/>
            <w:noWrap/>
            <w:vAlign w:val="bottom"/>
          </w:tcPr>
          <w:p w14:paraId="20E29E5F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Lincolnshire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30E267D2" w14:textId="02648CB0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0.996 (95% CI 0.821, 1.208; p value 0.967)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78B5BDCD" w14:textId="73508284" w:rsidR="002D172F" w:rsidRPr="002D172F" w:rsidRDefault="002D172F" w:rsidP="002D172F">
            <w:pPr>
              <w:spacing w:after="0"/>
              <w:ind w:right="-105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0.998 (95% CI 0.815, 1.223; p-value 0.986)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14:paraId="6F3F4B7E" w14:textId="26A6B501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1.065 (95% CI 0.229, 4.947; p value 0.936)</w:t>
            </w:r>
          </w:p>
        </w:tc>
      </w:tr>
      <w:tr w:rsidR="002D172F" w:rsidRPr="00F176A4" w14:paraId="0E22A56C" w14:textId="77777777" w:rsidTr="00930D21">
        <w:trPr>
          <w:trHeight w:val="300"/>
        </w:trPr>
        <w:tc>
          <w:tcPr>
            <w:tcW w:w="915" w:type="dxa"/>
            <w:vMerge/>
            <w:vAlign w:val="center"/>
          </w:tcPr>
          <w:p w14:paraId="39606704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shd w:val="clear" w:color="auto" w:fill="auto"/>
            <w:noWrap/>
            <w:vAlign w:val="bottom"/>
          </w:tcPr>
          <w:p w14:paraId="425CD9B9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Norfolk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7F195CCE" w14:textId="6675FD46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1.008 (95% CI 0.778, 1.305; p value 0.954)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0B0A396F" w14:textId="72AC0274" w:rsidR="002D172F" w:rsidRPr="002D172F" w:rsidRDefault="002D172F" w:rsidP="002D172F">
            <w:pPr>
              <w:spacing w:after="0"/>
              <w:ind w:right="-105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0.996 (95% CI 0.770, 1.288; p-value 0.973)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14:paraId="224A0EB3" w14:textId="4E4CAAF3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1.142 (95% CI 0.080, 16.390; p value 0.922)</w:t>
            </w:r>
          </w:p>
        </w:tc>
      </w:tr>
      <w:tr w:rsidR="002D172F" w:rsidRPr="00F176A4" w14:paraId="7E077338" w14:textId="77777777" w:rsidTr="00930D21">
        <w:trPr>
          <w:trHeight w:val="315"/>
        </w:trPr>
        <w:tc>
          <w:tcPr>
            <w:tcW w:w="915" w:type="dxa"/>
            <w:vMerge/>
            <w:vAlign w:val="center"/>
          </w:tcPr>
          <w:p w14:paraId="6230E325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shd w:val="clear" w:color="auto" w:fill="auto"/>
            <w:noWrap/>
            <w:vAlign w:val="bottom"/>
          </w:tcPr>
          <w:p w14:paraId="0886E427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North Yorkshire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39EB5A40" w14:textId="57824F41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1.012 (95% CI 0.807, 1.268; p value 0.919)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14F217ED" w14:textId="4BE709C3" w:rsidR="002D172F" w:rsidRPr="002D172F" w:rsidRDefault="002D172F" w:rsidP="002D172F">
            <w:pPr>
              <w:spacing w:after="0"/>
              <w:ind w:right="-105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0.980 (95% CI 0.769, 1.249; p-value 0.869)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14:paraId="268CAE4C" w14:textId="6D4274B8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1.055 (95% CI 0.194, 5.725; p value 0.950)</w:t>
            </w:r>
          </w:p>
        </w:tc>
      </w:tr>
      <w:tr w:rsidR="002D172F" w:rsidRPr="00F176A4" w14:paraId="3FC8A596" w14:textId="77777777" w:rsidTr="00930D21">
        <w:trPr>
          <w:trHeight w:val="300"/>
        </w:trPr>
        <w:tc>
          <w:tcPr>
            <w:tcW w:w="915" w:type="dxa"/>
            <w:vMerge/>
            <w:vAlign w:val="center"/>
          </w:tcPr>
          <w:p w14:paraId="7EDC34D5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shd w:val="clear" w:color="auto" w:fill="auto"/>
            <w:noWrap/>
            <w:vAlign w:val="bottom"/>
          </w:tcPr>
          <w:p w14:paraId="60E3DB91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Suffolk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206B4430" w14:textId="2B7C267B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1.005 (95% CI 0.811, 1.246; p value 0.961)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4E23983D" w14:textId="796E4DC9" w:rsidR="002D172F" w:rsidRPr="002D172F" w:rsidRDefault="002D172F" w:rsidP="002D172F">
            <w:pPr>
              <w:spacing w:after="0"/>
              <w:ind w:right="-105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0.997 (95% CI 0.801, 1.241; p-value 0.980)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14:paraId="46943BD8" w14:textId="67DC3163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1.156 (95% CI 0.119, 11.253; p value 0.901)</w:t>
            </w:r>
          </w:p>
        </w:tc>
      </w:tr>
      <w:tr w:rsidR="002D172F" w:rsidRPr="00F176A4" w14:paraId="3F894B69" w14:textId="77777777" w:rsidTr="00930D21">
        <w:trPr>
          <w:trHeight w:val="300"/>
        </w:trPr>
        <w:tc>
          <w:tcPr>
            <w:tcW w:w="915" w:type="dxa"/>
            <w:vMerge/>
            <w:vAlign w:val="center"/>
          </w:tcPr>
          <w:p w14:paraId="0F853659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shd w:val="clear" w:color="auto" w:fill="auto"/>
            <w:noWrap/>
            <w:vAlign w:val="bottom"/>
          </w:tcPr>
          <w:p w14:paraId="0482B96B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Merseyside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2610037B" w14:textId="54DD09EF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1.021 (95% CI 0.849, 1.229; p value 0.823)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4F6255B5" w14:textId="17AB10F5" w:rsidR="002D172F" w:rsidRPr="002D172F" w:rsidRDefault="002D172F" w:rsidP="002D172F">
            <w:pPr>
              <w:spacing w:after="0"/>
              <w:ind w:right="-105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1.059 (95% CI 0.761, 1.474; p-value 0.732)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14:paraId="0A7EDA4C" w14:textId="01ED2290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0.502 (95% CI 0.027, 9.188; p value 0.643)</w:t>
            </w:r>
          </w:p>
        </w:tc>
      </w:tr>
      <w:tr w:rsidR="002D172F" w:rsidRPr="00F176A4" w14:paraId="538E5E91" w14:textId="77777777" w:rsidTr="00930D21">
        <w:trPr>
          <w:trHeight w:val="330"/>
        </w:trPr>
        <w:tc>
          <w:tcPr>
            <w:tcW w:w="915" w:type="dxa"/>
            <w:vMerge/>
            <w:tcBorders>
              <w:bottom w:val="single" w:sz="4" w:space="0" w:color="auto"/>
            </w:tcBorders>
            <w:vAlign w:val="center"/>
          </w:tcPr>
          <w:p w14:paraId="111EBEA8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384FFC2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East Sussex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0548F52" w14:textId="3ED2FA14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1.078 (95% CI 0.794, 1.464; p value 0.63)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70AE819" w14:textId="18B64113" w:rsidR="002D172F" w:rsidRPr="002D172F" w:rsidRDefault="002D172F" w:rsidP="002D172F">
            <w:pPr>
              <w:spacing w:after="0"/>
              <w:ind w:right="-105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0.970 (95% CI 0.735, 1.280; p-value 0.829)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876E07A" w14:textId="16B80D9A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0.459 (95% CI 0.000, 481239; p value 0.912)</w:t>
            </w:r>
          </w:p>
        </w:tc>
      </w:tr>
      <w:tr w:rsidR="002D172F" w:rsidRPr="00F176A4" w14:paraId="7891EEC5" w14:textId="77777777" w:rsidTr="00930D21">
        <w:trPr>
          <w:trHeight w:val="300"/>
        </w:trPr>
        <w:tc>
          <w:tcPr>
            <w:tcW w:w="91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CE00" w14:textId="46763785" w:rsidR="002D172F" w:rsidRPr="00F176A4" w:rsidRDefault="002D172F" w:rsidP="002D172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8k*</w:t>
            </w:r>
          </w:p>
        </w:tc>
        <w:tc>
          <w:tcPr>
            <w:tcW w:w="234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89FF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East Riding of Yorkshire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FE16" w14:textId="3ED0AC74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1.019 (95% CI 0.819, 1.268; p value 0.866)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74FA" w14:textId="22EB46FA" w:rsidR="002D172F" w:rsidRPr="002D172F" w:rsidRDefault="002D172F" w:rsidP="002D172F">
            <w:pPr>
              <w:spacing w:after="0"/>
              <w:ind w:right="-105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0.973 (95% CI 0.775, 1.221; p-value 0.814)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4C45" w14:textId="25192C36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1.046 (95% CI 0.166, 6.591; p value 0.962)</w:t>
            </w:r>
          </w:p>
        </w:tc>
      </w:tr>
      <w:bookmarkEnd w:id="0"/>
      <w:tr w:rsidR="002D172F" w:rsidRPr="00F176A4" w14:paraId="5CBEEAFE" w14:textId="77777777" w:rsidTr="00930D21">
        <w:trPr>
          <w:trHeight w:val="300"/>
        </w:trPr>
        <w:tc>
          <w:tcPr>
            <w:tcW w:w="915" w:type="dxa"/>
            <w:vMerge/>
            <w:vAlign w:val="center"/>
            <w:hideMark/>
          </w:tcPr>
          <w:p w14:paraId="1181F793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shd w:val="clear" w:color="auto" w:fill="auto"/>
            <w:noWrap/>
            <w:vAlign w:val="bottom"/>
            <w:hideMark/>
          </w:tcPr>
          <w:p w14:paraId="42038D8E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Lincolnshire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1D5A618C" w14:textId="6674BA27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1.000 (95% CI 0.826, 1.210; p value 0.997)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2F5CECFC" w14:textId="370EACD4" w:rsidR="002D172F" w:rsidRPr="002D172F" w:rsidRDefault="002D172F" w:rsidP="002D172F">
            <w:pPr>
              <w:spacing w:after="0"/>
              <w:ind w:right="-105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0.995 (95% CI 0.814, 1.215; p-value 0.957) 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1AFC5112" w14:textId="20FDB28C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1.081 (95% CI 0.238, 4.905; p value 0.919)</w:t>
            </w:r>
          </w:p>
        </w:tc>
      </w:tr>
      <w:tr w:rsidR="002D172F" w:rsidRPr="00F176A4" w14:paraId="70EFF4EE" w14:textId="77777777" w:rsidTr="00930D21">
        <w:trPr>
          <w:trHeight w:val="300"/>
        </w:trPr>
        <w:tc>
          <w:tcPr>
            <w:tcW w:w="915" w:type="dxa"/>
            <w:vMerge/>
            <w:vAlign w:val="center"/>
            <w:hideMark/>
          </w:tcPr>
          <w:p w14:paraId="2349E8BE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shd w:val="clear" w:color="auto" w:fill="auto"/>
            <w:noWrap/>
            <w:vAlign w:val="bottom"/>
            <w:hideMark/>
          </w:tcPr>
          <w:p w14:paraId="65728C06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Norfolk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672BB8F" w14:textId="2716461B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1.010 (95% CI 0.780, 1.307; p value 0.94)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2A92670B" w14:textId="490909D8" w:rsidR="002D172F" w:rsidRPr="002D172F" w:rsidRDefault="002D172F" w:rsidP="002D172F">
            <w:pPr>
              <w:spacing w:after="0"/>
              <w:ind w:right="-105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0.992 (95% CI 0.768, 1.280; p-value 0.948)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4D87E1D8" w14:textId="65BA3823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1.184 (95% CI 0.088, 15.842; p value 0.898)</w:t>
            </w:r>
          </w:p>
        </w:tc>
      </w:tr>
      <w:tr w:rsidR="002D172F" w:rsidRPr="00F176A4" w14:paraId="2FD6438F" w14:textId="77777777" w:rsidTr="00930D21">
        <w:trPr>
          <w:trHeight w:val="315"/>
        </w:trPr>
        <w:tc>
          <w:tcPr>
            <w:tcW w:w="915" w:type="dxa"/>
            <w:vMerge/>
            <w:vAlign w:val="center"/>
            <w:hideMark/>
          </w:tcPr>
          <w:p w14:paraId="40944A05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shd w:val="clear" w:color="auto" w:fill="auto"/>
            <w:noWrap/>
            <w:vAlign w:val="bottom"/>
            <w:hideMark/>
          </w:tcPr>
          <w:p w14:paraId="13E86987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North Yorkshire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56250D00" w14:textId="1C8C4EC8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1.011 (95% CI 0.810, 1.263; p value 0.922)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670923D" w14:textId="7ACB9296" w:rsidR="002D172F" w:rsidRPr="002D172F" w:rsidRDefault="002D172F" w:rsidP="002D172F">
            <w:pPr>
              <w:spacing w:after="0"/>
              <w:ind w:right="-105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0.982 (95% CI 0.771, 1.251; p-value 0.886)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07A714D1" w14:textId="7D721BDD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1.062 (95% CI 0.199, 5.672; p value 0.944)</w:t>
            </w:r>
          </w:p>
        </w:tc>
      </w:tr>
      <w:tr w:rsidR="002D172F" w:rsidRPr="00F176A4" w14:paraId="299462B9" w14:textId="77777777" w:rsidTr="00930D21">
        <w:trPr>
          <w:trHeight w:val="300"/>
        </w:trPr>
        <w:tc>
          <w:tcPr>
            <w:tcW w:w="915" w:type="dxa"/>
            <w:vMerge/>
            <w:vAlign w:val="center"/>
            <w:hideMark/>
          </w:tcPr>
          <w:p w14:paraId="49EA902D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shd w:val="clear" w:color="auto" w:fill="auto"/>
            <w:noWrap/>
            <w:vAlign w:val="bottom"/>
            <w:hideMark/>
          </w:tcPr>
          <w:p w14:paraId="46A9F646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Suffolk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0159B2CD" w14:textId="00BCE552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1.009 (95% CI 0.815, 1.249; p value 0.937)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92D0E01" w14:textId="6EC36CA4" w:rsidR="002D172F" w:rsidRPr="002D172F" w:rsidRDefault="002D172F" w:rsidP="002D172F">
            <w:pPr>
              <w:spacing w:after="0"/>
              <w:ind w:right="-105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0.993 (95% CI 0.799, 1.233; p-value 0.948)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007F2AAA" w14:textId="64EFAF41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1.137 (95% CI 0.122, 10.613; p value 0.910)</w:t>
            </w:r>
          </w:p>
        </w:tc>
      </w:tr>
      <w:tr w:rsidR="002D172F" w:rsidRPr="00F176A4" w14:paraId="5D232638" w14:textId="77777777" w:rsidTr="00930D21">
        <w:trPr>
          <w:trHeight w:val="300"/>
        </w:trPr>
        <w:tc>
          <w:tcPr>
            <w:tcW w:w="915" w:type="dxa"/>
            <w:vMerge/>
            <w:vAlign w:val="center"/>
            <w:hideMark/>
          </w:tcPr>
          <w:p w14:paraId="3C9C1811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shd w:val="clear" w:color="auto" w:fill="auto"/>
            <w:noWrap/>
            <w:vAlign w:val="bottom"/>
            <w:hideMark/>
          </w:tcPr>
          <w:p w14:paraId="4B5426BE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Merseyside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65F3205" w14:textId="69B630A9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1.026 (95% CI 0.853, 1.233; p value 0.788)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3D0ED258" w14:textId="5A2BBC00" w:rsidR="002D172F" w:rsidRPr="002D172F" w:rsidRDefault="002D172F" w:rsidP="002D172F">
            <w:pPr>
              <w:spacing w:after="0"/>
              <w:ind w:right="-105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1.055 (95% CI 0.759, 1.465; p-value 0.752)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7CA83C6D" w14:textId="5C018CD0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0.573 (95% CI 0.032, 10.139; p value 0.704)</w:t>
            </w:r>
          </w:p>
        </w:tc>
      </w:tr>
      <w:tr w:rsidR="002D172F" w:rsidRPr="00F176A4" w14:paraId="29CDB431" w14:textId="77777777" w:rsidTr="00930D21">
        <w:trPr>
          <w:trHeight w:val="330"/>
        </w:trPr>
        <w:tc>
          <w:tcPr>
            <w:tcW w:w="91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87E1FAA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9720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East Sussex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5C5A" w14:textId="0D75B43E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1.078 (95% CI 0.794, 1.464; p value 0.63</w:t>
            </w:r>
            <w:r w:rsidRPr="002D172F"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Pr="002D172F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A53D" w14:textId="5AD81F8B" w:rsidR="002D172F" w:rsidRPr="002D172F" w:rsidRDefault="002D172F" w:rsidP="002D172F">
            <w:pPr>
              <w:spacing w:after="0"/>
              <w:ind w:right="-105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0.970 (95% CI 0.735, 1.280; p-value 0.829)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E602" w14:textId="42B6C966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0.554 (95% CI 0.000, 535700; p value 0.933)</w:t>
            </w:r>
          </w:p>
        </w:tc>
      </w:tr>
      <w:tr w:rsidR="002D172F" w:rsidRPr="00F176A4" w14:paraId="45D60365" w14:textId="77777777" w:rsidTr="00930D21">
        <w:trPr>
          <w:trHeight w:val="300"/>
        </w:trPr>
        <w:tc>
          <w:tcPr>
            <w:tcW w:w="91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90FE" w14:textId="3F38A0B1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10k**</w:t>
            </w:r>
          </w:p>
        </w:tc>
        <w:tc>
          <w:tcPr>
            <w:tcW w:w="234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4E44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East Riding of Yorkshire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796B" w14:textId="77905C3A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1.022 (95% CI 0.820, 1.274; p value 0.847)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6DB4E" w14:textId="3DAE7DB9" w:rsidR="002D172F" w:rsidRPr="002D172F" w:rsidRDefault="002D172F" w:rsidP="002D172F">
            <w:pPr>
              <w:spacing w:after="0"/>
              <w:ind w:right="-105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0.973 (95% CI 0.775, 1.221; p-value 0.813)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2CA8" w14:textId="7959324E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1.046 (95% CI 0.166, 6.601; p value 0.961)</w:t>
            </w:r>
          </w:p>
        </w:tc>
      </w:tr>
      <w:tr w:rsidR="002D172F" w:rsidRPr="00F176A4" w14:paraId="6F7AC11A" w14:textId="77777777" w:rsidTr="00930D21">
        <w:trPr>
          <w:trHeight w:val="300"/>
        </w:trPr>
        <w:tc>
          <w:tcPr>
            <w:tcW w:w="915" w:type="dxa"/>
            <w:vMerge/>
            <w:vAlign w:val="center"/>
            <w:hideMark/>
          </w:tcPr>
          <w:p w14:paraId="3E4D15C7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shd w:val="clear" w:color="auto" w:fill="auto"/>
            <w:noWrap/>
            <w:vAlign w:val="bottom"/>
            <w:hideMark/>
          </w:tcPr>
          <w:p w14:paraId="2E495633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Lincolnshire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4E7CB360" w14:textId="782F15A0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1.000 (95% CI 0.826, 1.211; p value 0.998)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20FA4357" w14:textId="6CA2D411" w:rsidR="002D172F" w:rsidRPr="002D172F" w:rsidRDefault="002D172F" w:rsidP="002D172F">
            <w:pPr>
              <w:spacing w:after="0"/>
              <w:ind w:right="-247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0.994 (95% CI 0.814, 1.214; p-value 0.952)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3BF635CD" w14:textId="31DD890B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1.080 (95% CI 0.238, 4.895; p value 0.921)</w:t>
            </w:r>
          </w:p>
        </w:tc>
      </w:tr>
      <w:tr w:rsidR="002D172F" w:rsidRPr="00F176A4" w14:paraId="15011CE6" w14:textId="77777777" w:rsidTr="00930D21">
        <w:trPr>
          <w:trHeight w:val="300"/>
        </w:trPr>
        <w:tc>
          <w:tcPr>
            <w:tcW w:w="915" w:type="dxa"/>
            <w:vMerge/>
            <w:vAlign w:val="center"/>
            <w:hideMark/>
          </w:tcPr>
          <w:p w14:paraId="534EF529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shd w:val="clear" w:color="auto" w:fill="auto"/>
            <w:noWrap/>
            <w:vAlign w:val="bottom"/>
            <w:hideMark/>
          </w:tcPr>
          <w:p w14:paraId="17200355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Norfolk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422C9AC3" w14:textId="415DA55E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1.011 (95% CI 0.781, 1.308; p value 0.935)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4439FE3C" w14:textId="6178A6C6" w:rsidR="002D172F" w:rsidRPr="002D172F" w:rsidRDefault="002D172F" w:rsidP="002D172F">
            <w:pPr>
              <w:spacing w:after="0"/>
              <w:ind w:right="-247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0.991 (95% CI 0.768, 1.280; p-value 0.946)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7FDB2400" w14:textId="51747868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1.182 (95% CI 0.088, 15.804; p value 0.899)</w:t>
            </w:r>
          </w:p>
        </w:tc>
      </w:tr>
      <w:tr w:rsidR="002D172F" w:rsidRPr="00F176A4" w14:paraId="16299626" w14:textId="77777777" w:rsidTr="00930D21">
        <w:trPr>
          <w:trHeight w:val="315"/>
        </w:trPr>
        <w:tc>
          <w:tcPr>
            <w:tcW w:w="915" w:type="dxa"/>
            <w:vMerge/>
            <w:vAlign w:val="center"/>
            <w:hideMark/>
          </w:tcPr>
          <w:p w14:paraId="66BE51A2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shd w:val="clear" w:color="auto" w:fill="auto"/>
            <w:noWrap/>
            <w:vAlign w:val="bottom"/>
            <w:hideMark/>
          </w:tcPr>
          <w:p w14:paraId="2E4EA8E4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North Yorkshire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1AB20208" w14:textId="409DE5EF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1.010 (95% CI 0.808, 1.263; p value 0.929)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3A04A028" w14:textId="727DDC48" w:rsidR="002D172F" w:rsidRPr="002D172F" w:rsidRDefault="002D172F" w:rsidP="002D172F">
            <w:pPr>
              <w:spacing w:after="0"/>
              <w:ind w:right="-247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0.983 (95% CI 0.772, 1.252; p-value 0.888)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5E8101A9" w14:textId="36025AB9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1.064 (95% CI 0.199, 5.697; p value 0.942)</w:t>
            </w:r>
          </w:p>
        </w:tc>
      </w:tr>
      <w:tr w:rsidR="002D172F" w:rsidRPr="00F176A4" w14:paraId="2941A0AA" w14:textId="77777777" w:rsidTr="00930D21">
        <w:trPr>
          <w:trHeight w:val="300"/>
        </w:trPr>
        <w:tc>
          <w:tcPr>
            <w:tcW w:w="915" w:type="dxa"/>
            <w:vMerge/>
            <w:vAlign w:val="center"/>
            <w:hideMark/>
          </w:tcPr>
          <w:p w14:paraId="5471FCE8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shd w:val="clear" w:color="auto" w:fill="auto"/>
            <w:noWrap/>
            <w:vAlign w:val="bottom"/>
            <w:hideMark/>
          </w:tcPr>
          <w:p w14:paraId="3400269A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Suffolk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04D59F04" w14:textId="5CCF494D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1.009 (95% CI 0.815, 1.250; p value 0.932)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1242115B" w14:textId="413D94AF" w:rsidR="002D172F" w:rsidRPr="002D172F" w:rsidRDefault="002D172F" w:rsidP="002D172F">
            <w:pPr>
              <w:spacing w:after="0"/>
              <w:ind w:right="-247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0.992 (95% CI 0.799, 1.233; p-value 0.946)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0BA08CAE" w14:textId="1D647FDA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1.137 (95% CI 0.122, 10.615; p value 0.910)</w:t>
            </w:r>
          </w:p>
        </w:tc>
      </w:tr>
      <w:tr w:rsidR="002D172F" w:rsidRPr="00F176A4" w14:paraId="51AAA743" w14:textId="77777777" w:rsidTr="00930D21">
        <w:trPr>
          <w:trHeight w:val="300"/>
        </w:trPr>
        <w:tc>
          <w:tcPr>
            <w:tcW w:w="915" w:type="dxa"/>
            <w:vMerge/>
            <w:vAlign w:val="center"/>
            <w:hideMark/>
          </w:tcPr>
          <w:p w14:paraId="55BD6F1A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shd w:val="clear" w:color="auto" w:fill="auto"/>
            <w:noWrap/>
            <w:vAlign w:val="bottom"/>
            <w:hideMark/>
          </w:tcPr>
          <w:p w14:paraId="5F5C0E03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Merseyside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9927390" w14:textId="173BF5ED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1.021 (95% CI 0.849, 1.229; p value 0.823)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3268396C" w14:textId="18FD1C91" w:rsidR="002D172F" w:rsidRPr="002D172F" w:rsidRDefault="002D172F" w:rsidP="002D172F">
            <w:pPr>
              <w:spacing w:after="0"/>
              <w:ind w:right="-247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1.059 (95% CI 0.761, 1.474; p-value 0.732)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14:paraId="636FC377" w14:textId="068DD69C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0.573 (95% CI 0.032, 10.139; p value 0.704)</w:t>
            </w:r>
          </w:p>
        </w:tc>
      </w:tr>
      <w:tr w:rsidR="002D172F" w:rsidRPr="00F176A4" w14:paraId="2EAB446E" w14:textId="77777777" w:rsidTr="00930D21">
        <w:trPr>
          <w:trHeight w:val="330"/>
        </w:trPr>
        <w:tc>
          <w:tcPr>
            <w:tcW w:w="91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ADF98EC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5893" w14:textId="77777777" w:rsidR="002D172F" w:rsidRPr="00F176A4" w:rsidRDefault="002D172F" w:rsidP="002D172F">
            <w:pPr>
              <w:spacing w:after="0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</w:pPr>
            <w:r w:rsidRPr="00F176A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en-GB"/>
              </w:rPr>
              <w:t>East Sussex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B3C7" w14:textId="72564E99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1.078 (95% CI 0.794, 1.464; p value 0.63)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1B1DB" w14:textId="020871A9" w:rsidR="002D172F" w:rsidRPr="002D172F" w:rsidRDefault="002D172F" w:rsidP="002D172F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0.970 (95% CI 0.735, 1.280; p-value 0.829)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1339" w14:textId="52DBC41C" w:rsidR="002D172F" w:rsidRPr="002D172F" w:rsidRDefault="002D172F" w:rsidP="002D172F">
            <w:pPr>
              <w:spacing w:after="0"/>
              <w:ind w:right="-114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D172F">
              <w:rPr>
                <w:rFonts w:cstheme="minorHAnsi"/>
                <w:color w:val="000000"/>
                <w:sz w:val="20"/>
                <w:szCs w:val="20"/>
              </w:rPr>
              <w:t>0.554 (95% CI 0.000, 535700; p value 0.933)</w:t>
            </w:r>
          </w:p>
        </w:tc>
      </w:tr>
    </w:tbl>
    <w:p w14:paraId="1E6BEE2F" w14:textId="60D4633E" w:rsidR="009D5764" w:rsidRDefault="009D5764" w:rsidP="00055053">
      <w:r>
        <w:t>*</w:t>
      </w:r>
      <w:r w:rsidRPr="00F63F55">
        <w:t xml:space="preserve"> </w:t>
      </w:r>
      <w:r>
        <w:t xml:space="preserve">All </w:t>
      </w:r>
      <w:r w:rsidR="00CB4AE7">
        <w:t xml:space="preserve">data were omitted from the analysis from </w:t>
      </w:r>
      <w:r>
        <w:t>days in which more than 8000 pigs were slaughtered</w:t>
      </w:r>
      <w:r w:rsidR="00CB4AE7">
        <w:t xml:space="preserve"> at an abattoir</w:t>
      </w:r>
      <w:r>
        <w:t>.</w:t>
      </w:r>
    </w:p>
    <w:p w14:paraId="076823AF" w14:textId="75F68682" w:rsidR="00184A55" w:rsidRDefault="00055053">
      <w:r>
        <w:t>**</w:t>
      </w:r>
      <w:r w:rsidR="00F10B35">
        <w:t xml:space="preserve">All </w:t>
      </w:r>
      <w:r w:rsidR="00CB4AE7">
        <w:t xml:space="preserve">data were omitted from the analysis </w:t>
      </w:r>
      <w:r w:rsidR="00F10B35">
        <w:t>from</w:t>
      </w:r>
      <w:r>
        <w:t xml:space="preserve"> </w:t>
      </w:r>
      <w:r w:rsidR="00F10B35">
        <w:t xml:space="preserve">days in which </w:t>
      </w:r>
      <w:r>
        <w:t>more than 10000 pigs were slaughtered</w:t>
      </w:r>
      <w:r w:rsidR="00CB4AE7">
        <w:t xml:space="preserve"> at an abattoir</w:t>
      </w:r>
      <w:r>
        <w:t>.</w:t>
      </w:r>
    </w:p>
    <w:sectPr w:rsidR="00184A55" w:rsidSect="00F63F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053"/>
    <w:rsid w:val="00055053"/>
    <w:rsid w:val="00133C8F"/>
    <w:rsid w:val="00166326"/>
    <w:rsid w:val="00184A55"/>
    <w:rsid w:val="00263ECC"/>
    <w:rsid w:val="002D172F"/>
    <w:rsid w:val="00336FDA"/>
    <w:rsid w:val="003761B2"/>
    <w:rsid w:val="0050005D"/>
    <w:rsid w:val="00580BC3"/>
    <w:rsid w:val="005A1AE0"/>
    <w:rsid w:val="006B625C"/>
    <w:rsid w:val="00743C30"/>
    <w:rsid w:val="00895EA1"/>
    <w:rsid w:val="009D5764"/>
    <w:rsid w:val="00A81131"/>
    <w:rsid w:val="00A9375F"/>
    <w:rsid w:val="00CB4AE7"/>
    <w:rsid w:val="00E41886"/>
    <w:rsid w:val="00E66940"/>
    <w:rsid w:val="00F10B35"/>
    <w:rsid w:val="00F1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17E78E"/>
  <w15:docId w15:val="{AE12F255-3ED7-4EC6-816D-C2DB2ECF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5053"/>
    <w:pPr>
      <w:spacing w:after="120" w:line="240" w:lineRule="auto"/>
    </w:pPr>
    <w:rPr>
      <w:rFonts w:eastAsiaTheme="minorEastAsia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95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5E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5EA1"/>
    <w:rPr>
      <w:rFonts w:eastAsiaTheme="minorEastAsia"/>
      <w:sz w:val="20"/>
      <w:szCs w:val="20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E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EA1"/>
    <w:rPr>
      <w:rFonts w:eastAsiaTheme="minorEastAsia"/>
      <w:b/>
      <w:bCs/>
      <w:sz w:val="20"/>
      <w:szCs w:val="20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5EA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EA1"/>
    <w:rPr>
      <w:rFonts w:ascii="Segoe UI" w:eastAsiaTheme="minorEastAsia" w:hAnsi="Segoe UI" w:cs="Segoe UI"/>
      <w:sz w:val="18"/>
      <w:szCs w:val="18"/>
      <w:lang w:eastAsia="ko-KR"/>
    </w:rPr>
  </w:style>
  <w:style w:type="paragraph" w:styleId="Revision">
    <w:name w:val="Revision"/>
    <w:hidden/>
    <w:uiPriority w:val="99"/>
    <w:semiHidden/>
    <w:rsid w:val="00CB4AE7"/>
    <w:pPr>
      <w:spacing w:after="0" w:line="240" w:lineRule="auto"/>
    </w:pPr>
    <w:rPr>
      <w:rFonts w:eastAsiaTheme="minorEastAsia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4C46FF7BC85F46B1F57974292E26A9" ma:contentTypeVersion="8" ma:contentTypeDescription="Create a new document." ma:contentTypeScope="" ma:versionID="610c01df6c24c886aaea8795b46cb3ae">
  <xsd:schema xmlns:xsd="http://www.w3.org/2001/XMLSchema" xmlns:xs="http://www.w3.org/2001/XMLSchema" xmlns:p="http://schemas.microsoft.com/office/2006/metadata/properties" xmlns:ns3="8f807338-c1ff-4e67-96bb-c83c49ee2e95" xmlns:ns4="7b6e542f-a364-47d0-92d5-2c0ffd7c0d2f" targetNamespace="http://schemas.microsoft.com/office/2006/metadata/properties" ma:root="true" ma:fieldsID="c26370e1abd95a087fa452a524116674" ns3:_="" ns4:_="">
    <xsd:import namespace="8f807338-c1ff-4e67-96bb-c83c49ee2e95"/>
    <xsd:import namespace="7b6e542f-a364-47d0-92d5-2c0ffd7c0d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07338-c1ff-4e67-96bb-c83c49ee2e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e542f-a364-47d0-92d5-2c0ffd7c0d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3EE6CC-DDF9-489B-97F6-5CDA380553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3B91B0-7E1A-4589-B26C-BD4E131C2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807338-c1ff-4e67-96bb-c83c49ee2e95"/>
    <ds:schemaRef ds:uri="7b6e542f-a364-47d0-92d5-2c0ffd7c0d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C6A21F-3394-4770-9178-298CEC41DB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 Perkins</dc:creator>
  <cp:keywords/>
  <dc:description/>
  <cp:lastModifiedBy>Chloe Perkins</cp:lastModifiedBy>
  <cp:revision>15</cp:revision>
  <dcterms:created xsi:type="dcterms:W3CDTF">2019-11-01T09:09:00Z</dcterms:created>
  <dcterms:modified xsi:type="dcterms:W3CDTF">2019-11-04T16:24:00Z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0x010100634C46FF7BC85F46B1F57974292E26A9</vt:lpwstr>
  </property>
</Properties>
</file>