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43" w:rsidRPr="00A62443" w:rsidRDefault="00502849" w:rsidP="00A62443">
      <w:pPr>
        <w:pStyle w:val="Di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proofErr w:type="spellStart"/>
      <w:r w:rsidRPr="00A62443">
        <w:rPr>
          <w:b/>
          <w:sz w:val="20"/>
          <w:szCs w:val="20"/>
        </w:rPr>
        <w:t>Additional</w:t>
      </w:r>
      <w:proofErr w:type="spellEnd"/>
      <w:r w:rsidRPr="00A62443">
        <w:rPr>
          <w:b/>
          <w:sz w:val="20"/>
          <w:szCs w:val="20"/>
        </w:rPr>
        <w:t xml:space="preserve"> material</w:t>
      </w:r>
      <w:r w:rsidR="00A62443" w:rsidRPr="00A62443">
        <w:rPr>
          <w:b/>
          <w:sz w:val="20"/>
          <w:szCs w:val="20"/>
        </w:rPr>
        <w:t xml:space="preserve">: </w:t>
      </w:r>
      <w:proofErr w:type="spellStart"/>
      <w:r w:rsidR="00A62443" w:rsidRPr="00A62443">
        <w:rPr>
          <w:b/>
          <w:sz w:val="20"/>
          <w:szCs w:val="20"/>
        </w:rPr>
        <w:t>Additional</w:t>
      </w:r>
      <w:proofErr w:type="spellEnd"/>
      <w:r w:rsidR="00A62443" w:rsidRPr="00A62443">
        <w:rPr>
          <w:b/>
          <w:sz w:val="20"/>
          <w:szCs w:val="20"/>
        </w:rPr>
        <w:t xml:space="preserve"> characteristics for the 1016 patients enrolled with or without SSI (cases and controls respectively).</w:t>
      </w:r>
    </w:p>
    <w:p w:rsidR="00077736" w:rsidRPr="00502849" w:rsidRDefault="00077736">
      <w:pPr>
        <w:rPr>
          <w:b/>
        </w:rPr>
      </w:pPr>
    </w:p>
    <w:bookmarkEnd w:id="0"/>
    <w:p w:rsidR="007214C8" w:rsidRDefault="007214C8"/>
    <w:tbl>
      <w:tblPr>
        <w:tblStyle w:val="Grigliatabella"/>
        <w:tblW w:w="0" w:type="auto"/>
        <w:tblLook w:val="04A0"/>
      </w:tblPr>
      <w:tblGrid>
        <w:gridCol w:w="2715"/>
        <w:gridCol w:w="1628"/>
        <w:gridCol w:w="1857"/>
        <w:gridCol w:w="1930"/>
        <w:gridCol w:w="1718"/>
      </w:tblGrid>
      <w:tr w:rsidR="007214C8" w:rsidRPr="00502849" w:rsidTr="007214C8">
        <w:tc>
          <w:tcPr>
            <w:tcW w:w="2715" w:type="dxa"/>
          </w:tcPr>
          <w:p w:rsidR="007214C8" w:rsidRPr="00214CB2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</w:pP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  <w:t xml:space="preserve">Total </w:t>
            </w:r>
          </w:p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(n. 1016; 100.0%)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  <w:t>SSI</w:t>
            </w:r>
          </w:p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(n. 254; 25.0%)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  <w:t>Controls</w:t>
            </w:r>
          </w:p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(n.762; 75.0%)</w:t>
            </w:r>
          </w:p>
        </w:tc>
        <w:tc>
          <w:tcPr>
            <w:tcW w:w="171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  <w:t>p-value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Emergency Cs, n;(%)</w:t>
            </w:r>
          </w:p>
        </w:tc>
        <w:tc>
          <w:tcPr>
            <w:tcW w:w="1628" w:type="dxa"/>
          </w:tcPr>
          <w:p w:rsidR="007214C8" w:rsidRPr="00502849" w:rsidDel="00DB47B4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1016 (100)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254 (100.0)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762 (100.0)</w:t>
            </w:r>
          </w:p>
        </w:tc>
        <w:tc>
          <w:tcPr>
            <w:tcW w:w="171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-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proofErr w:type="spellStart"/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Profilattic</w:t>
            </w:r>
            <w:proofErr w:type="spellEnd"/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 xml:space="preserve"> ABX, n;(%)   </w:t>
            </w:r>
          </w:p>
        </w:tc>
        <w:tc>
          <w:tcPr>
            <w:tcW w:w="1628" w:type="dxa"/>
          </w:tcPr>
          <w:p w:rsidR="007214C8" w:rsidRPr="00502849" w:rsidDel="00DB47B4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1016 (100)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254 (100.0)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762 (100.0)</w:t>
            </w:r>
          </w:p>
        </w:tc>
        <w:tc>
          <w:tcPr>
            <w:tcW w:w="171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-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 xml:space="preserve">APH 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248 (24.4)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47 (18.5)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201 (26.3)</w:t>
            </w:r>
          </w:p>
        </w:tc>
        <w:tc>
          <w:tcPr>
            <w:tcW w:w="1718" w:type="dxa"/>
            <w:vMerge w:val="restart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0.12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Prolonged/Obstructed Labour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522 (51.3)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142 (56)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380 (50)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Eclampsia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160 (15.7)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39 (15.3)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121 (15.8)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Others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86 (8.6)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26 (10.2)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60 (7.9)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9848" w:type="dxa"/>
            <w:gridSpan w:val="5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Anaesthesia, n;(%)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 xml:space="preserve">Spinal 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982 (96.6)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235 (92.7)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747 (98.1)</w:t>
            </w:r>
          </w:p>
        </w:tc>
        <w:tc>
          <w:tcPr>
            <w:tcW w:w="1718" w:type="dxa"/>
            <w:vMerge w:val="restart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0.16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General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 (0.5)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 (1.3)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 (0.1)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Spinal + Ketamine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29 (2.9)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15 (6.0)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14 (1.9)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9848" w:type="dxa"/>
            <w:gridSpan w:val="5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Closure style, n;(%)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Continuous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640 (63.0)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164 (64.5)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476 (62.5)</w:t>
            </w:r>
          </w:p>
        </w:tc>
        <w:tc>
          <w:tcPr>
            <w:tcW w:w="1718" w:type="dxa"/>
            <w:vMerge w:val="restart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0.75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Interrupted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376 (37.0)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90 (35.5)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286 (37.5)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9848" w:type="dxa"/>
            <w:gridSpan w:val="5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Breastfeeding, n;(%)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Yes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724 (71.2)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161 (63.3)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563 (74)</w:t>
            </w:r>
          </w:p>
        </w:tc>
        <w:tc>
          <w:tcPr>
            <w:tcW w:w="1718" w:type="dxa"/>
            <w:vMerge w:val="restart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  <w:t>0.9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No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367 (28.8)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93 (36.7)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274 (26)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9848" w:type="dxa"/>
            <w:gridSpan w:val="5"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Surgeon Tem, n;(%)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A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267 (26.3)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116 (45.6)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151(19.8)</w:t>
            </w:r>
          </w:p>
        </w:tc>
        <w:tc>
          <w:tcPr>
            <w:tcW w:w="1718" w:type="dxa"/>
            <w:vMerge w:val="restart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  <w:t>0.04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B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203 (20.0)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58 (22.8)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145 (19.0)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C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211 (20.8)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55 (21.6)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156 (20.5)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rPr>
          <w:trHeight w:val="437"/>
        </w:trPr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D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335 (32.9)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25 (10.0)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310 (40.7)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9848" w:type="dxa"/>
            <w:gridSpan w:val="5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Ward, n;(%)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204(20.0)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51 (20.0)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153 (20.0)</w:t>
            </w:r>
          </w:p>
        </w:tc>
        <w:tc>
          <w:tcPr>
            <w:tcW w:w="1718" w:type="dxa"/>
            <w:vMerge w:val="restart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  <w:t>0.11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196(19.3)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49 (19.2)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147 (19.3)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208(20.5)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52 (20.4)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156 (20.5)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184(18.1)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46 (18.1)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138 (18.2)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lastRenderedPageBreak/>
              <w:t>5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224(22.1)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56 (22.3)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168 (22.0)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9848" w:type="dxa"/>
            <w:gridSpan w:val="5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 xml:space="preserve">Newborn outcome, n;(%)  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LB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574 (56.6)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114 (42.8)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465 (59.4)</w:t>
            </w:r>
          </w:p>
        </w:tc>
        <w:tc>
          <w:tcPr>
            <w:tcW w:w="1718" w:type="dxa"/>
            <w:vMerge w:val="restart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0.05</w:t>
            </w: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FSB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65 (6.4)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40 (15.0)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36 (4.0)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MSB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83 (8.2)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42 (15.7)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51 (6.5)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502849" w:rsidTr="007214C8">
        <w:trPr>
          <w:trHeight w:val="333"/>
        </w:trPr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LB sent to SCBU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294 (28.8)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70 (26.3)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230 (29.4)</w:t>
            </w:r>
          </w:p>
        </w:tc>
        <w:tc>
          <w:tcPr>
            <w:tcW w:w="1718" w:type="dxa"/>
            <w:vMerge/>
          </w:tcPr>
          <w:p w:rsidR="007214C8" w:rsidRPr="00502849" w:rsidRDefault="007214C8" w:rsidP="007214C8">
            <w:pPr>
              <w:pStyle w:val="Didefaul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en-GB" w:eastAsia="en-US"/>
              </w:rPr>
            </w:pPr>
          </w:p>
        </w:tc>
      </w:tr>
      <w:tr w:rsidR="007214C8" w:rsidRPr="006651BA" w:rsidTr="007214C8">
        <w:tc>
          <w:tcPr>
            <w:tcW w:w="2715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Length of stay (days), median (IQR)</w:t>
            </w:r>
          </w:p>
        </w:tc>
        <w:tc>
          <w:tcPr>
            <w:tcW w:w="1628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12.4 (1.8)</w:t>
            </w:r>
          </w:p>
        </w:tc>
        <w:tc>
          <w:tcPr>
            <w:tcW w:w="1857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16.3 (1.2)</w:t>
            </w:r>
          </w:p>
        </w:tc>
        <w:tc>
          <w:tcPr>
            <w:tcW w:w="1930" w:type="dxa"/>
          </w:tcPr>
          <w:p w:rsidR="007214C8" w:rsidRPr="00502849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en-GB" w:eastAsia="en-US"/>
              </w:rPr>
              <w:t>6.8 (0.2)</w:t>
            </w:r>
          </w:p>
        </w:tc>
        <w:tc>
          <w:tcPr>
            <w:tcW w:w="1718" w:type="dxa"/>
          </w:tcPr>
          <w:p w:rsidR="007214C8" w:rsidRPr="006651BA" w:rsidRDefault="007214C8" w:rsidP="007214C8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color="000000"/>
                <w:lang w:val="en-GB" w:eastAsia="en-US"/>
              </w:rPr>
            </w:pPr>
            <w:r w:rsidRPr="0050284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color="000000"/>
                <w:lang w:val="en-GB" w:eastAsia="en-US"/>
              </w:rPr>
              <w:t>&lt;0.0001</w:t>
            </w:r>
          </w:p>
        </w:tc>
      </w:tr>
    </w:tbl>
    <w:p w:rsidR="007214C8" w:rsidRDefault="007214C8"/>
    <w:sectPr w:rsidR="007214C8" w:rsidSect="00082F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4670"/>
    <w:multiLevelType w:val="multilevel"/>
    <w:tmpl w:val="0E36A3C6"/>
    <w:styleLink w:val="List0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1">
      <w:start w:val="1"/>
      <w:numFmt w:val="decimal"/>
      <w:lvlText w:val="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4">
      <w:start w:val="1"/>
      <w:numFmt w:val="decimal"/>
      <w:lvlText w:val="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5">
      <w:start w:val="1"/>
      <w:numFmt w:val="decimal"/>
      <w:lvlText w:val="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6">
      <w:start w:val="1"/>
      <w:numFmt w:val="decimal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7">
      <w:start w:val="1"/>
      <w:numFmt w:val="decimal"/>
      <w:lvlText w:val="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  <w:lvl w:ilvl="8">
      <w:start w:val="1"/>
      <w:numFmt w:val="decimal"/>
      <w:lvlText w:val="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  <w:u w:color="0432FF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drawingGridHorizontalSpacing w:val="181"/>
  <w:drawingGridVerticalSpacing w:val="181"/>
  <w:displayHorizontalDrawingGridEvery w:val="0"/>
  <w:characterSpacingControl w:val="doNotCompress"/>
  <w:compat>
    <w:useFELayout/>
  </w:compat>
  <w:rsids>
    <w:rsidRoot w:val="007214C8"/>
    <w:rsid w:val="00077736"/>
    <w:rsid w:val="00082FD7"/>
    <w:rsid w:val="00502849"/>
    <w:rsid w:val="007214C8"/>
    <w:rsid w:val="00884A2E"/>
    <w:rsid w:val="00A6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4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7214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List0">
    <w:name w:val="List 0"/>
    <w:basedOn w:val="Nessunelenco"/>
    <w:rsid w:val="007214C8"/>
    <w:pPr>
      <w:numPr>
        <w:numId w:val="1"/>
      </w:numPr>
    </w:pPr>
  </w:style>
  <w:style w:type="character" w:styleId="Rimandocommento">
    <w:name w:val="annotation reference"/>
    <w:uiPriority w:val="99"/>
    <w:semiHidden/>
    <w:unhideWhenUsed/>
    <w:rsid w:val="007214C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14C8"/>
    <w:pPr>
      <w:spacing w:line="240" w:lineRule="auto"/>
    </w:pPr>
    <w:rPr>
      <w:rFonts w:cs="Times New Roman"/>
      <w:sz w:val="24"/>
      <w:szCs w:val="24"/>
      <w:bdr w:val="none" w:sz="0" w:space="0" w:color="auto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14C8"/>
    <w:rPr>
      <w:rFonts w:ascii="Calibri" w:eastAsia="Calibri" w:hAnsi="Calibri" w:cs="Times New Roman"/>
      <w:color w:val="000000"/>
      <w:u w:color="000000"/>
      <w:lang w:eastAsia="en-US"/>
    </w:rPr>
  </w:style>
  <w:style w:type="table" w:styleId="Grigliatabella">
    <w:name w:val="Table Grid"/>
    <w:basedOn w:val="Tabellanormale"/>
    <w:uiPriority w:val="59"/>
    <w:unhideWhenUsed/>
    <w:rsid w:val="007214C8"/>
    <w:rPr>
      <w:rFonts w:ascii="Times New Roman" w:eastAsia="Arial Unicode MS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4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4C8"/>
    <w:rPr>
      <w:rFonts w:ascii="Lucida Grande" w:eastAsia="Calibri" w:hAnsi="Lucida Grande" w:cs="Lucida Grande"/>
      <w:color w:val="000000"/>
      <w:sz w:val="18"/>
      <w:szCs w:val="18"/>
      <w:u w:color="000000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4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7214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List0">
    <w:name w:val="List 0"/>
    <w:basedOn w:val="Nessunelenco"/>
    <w:rsid w:val="007214C8"/>
    <w:pPr>
      <w:numPr>
        <w:numId w:val="1"/>
      </w:numPr>
    </w:pPr>
  </w:style>
  <w:style w:type="character" w:styleId="Rimandocommento">
    <w:name w:val="annotation reference"/>
    <w:uiPriority w:val="99"/>
    <w:semiHidden/>
    <w:unhideWhenUsed/>
    <w:rsid w:val="007214C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14C8"/>
    <w:pPr>
      <w:spacing w:line="240" w:lineRule="auto"/>
    </w:pPr>
    <w:rPr>
      <w:rFonts w:cs="Times New Roman"/>
      <w:sz w:val="24"/>
      <w:szCs w:val="24"/>
      <w:bdr w:val="none" w:sz="0" w:space="0" w:color="auto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214C8"/>
    <w:rPr>
      <w:rFonts w:ascii="Calibri" w:eastAsia="Calibri" w:hAnsi="Calibri" w:cs="Times New Roman"/>
      <w:color w:val="000000"/>
      <w:u w:color="000000"/>
      <w:lang w:eastAsia="en-US"/>
    </w:rPr>
  </w:style>
  <w:style w:type="table" w:styleId="Grigliatabella">
    <w:name w:val="Table Grid"/>
    <w:basedOn w:val="Tabellanormale"/>
    <w:uiPriority w:val="59"/>
    <w:unhideWhenUsed/>
    <w:rsid w:val="007214C8"/>
    <w:rPr>
      <w:rFonts w:ascii="Times New Roman" w:eastAsia="Arial Unicode MS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4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14C8"/>
    <w:rPr>
      <w:rFonts w:ascii="Lucida Grande" w:eastAsia="Calibri" w:hAnsi="Lucida Grande" w:cs="Lucida Grande"/>
      <w:color w:val="000000"/>
      <w:sz w:val="18"/>
      <w:szCs w:val="18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Marotta</dc:creator>
  <cp:keywords/>
  <dc:description/>
  <cp:lastModifiedBy>Francesco Di Gennaro</cp:lastModifiedBy>
  <cp:revision>2</cp:revision>
  <dcterms:created xsi:type="dcterms:W3CDTF">2019-09-03T12:57:00Z</dcterms:created>
  <dcterms:modified xsi:type="dcterms:W3CDTF">2019-09-04T07:55:00Z</dcterms:modified>
</cp:coreProperties>
</file>