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7C" w:rsidRDefault="00E71DE1">
      <w:pPr>
        <w:rPr>
          <w:rFonts w:ascii="Times New Roman" w:hAnsi="Times New Roman" w:cs="Times New Roman"/>
          <w:b/>
          <w:i/>
          <w:sz w:val="24"/>
        </w:rPr>
      </w:pPr>
      <w:r w:rsidRPr="00EF3762">
        <w:rPr>
          <w:rFonts w:ascii="Times New Roman" w:hAnsi="Times New Roman" w:cs="Times New Roman"/>
          <w:b/>
          <w:i/>
          <w:sz w:val="24"/>
        </w:rPr>
        <w:t>Epidemiology and Infection</w:t>
      </w:r>
    </w:p>
    <w:p w:rsidR="00A044F0" w:rsidRPr="00A044F0" w:rsidRDefault="00A044F0">
      <w:pPr>
        <w:rPr>
          <w:rFonts w:ascii="Times New Roman" w:hAnsi="Times New Roman" w:cs="Times New Roman"/>
          <w:b/>
          <w:i/>
          <w:sz w:val="24"/>
        </w:rPr>
      </w:pPr>
    </w:p>
    <w:p w:rsidR="00E71DE1" w:rsidRPr="0035467C" w:rsidRDefault="00E71DE1" w:rsidP="00E71DE1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35467C">
        <w:rPr>
          <w:rFonts w:ascii="Times New Roman" w:hAnsi="Times New Roman" w:cs="Times New Roman"/>
          <w:b/>
          <w:sz w:val="28"/>
        </w:rPr>
        <w:t>Outbreak of Highly Pathogenic Avian Influenza in Ghana, 2015: outcomes of time-course outbreak management</w:t>
      </w:r>
    </w:p>
    <w:p w:rsidR="00A044F0" w:rsidRDefault="00A044F0" w:rsidP="0035467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</w:rPr>
      </w:pPr>
    </w:p>
    <w:p w:rsidR="0035467C" w:rsidRPr="00CE4FC3" w:rsidRDefault="0035467C" w:rsidP="0035467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</w:rPr>
      </w:pPr>
      <w:r w:rsidRPr="00CE4FC3">
        <w:rPr>
          <w:rFonts w:ascii="Times New Roman" w:hAnsi="Times New Roman" w:cs="Times New Roman"/>
          <w:bCs/>
        </w:rPr>
        <w:t xml:space="preserve">W. </w:t>
      </w:r>
      <w:proofErr w:type="spellStart"/>
      <w:r w:rsidRPr="00CE4FC3">
        <w:rPr>
          <w:rFonts w:ascii="Times New Roman" w:hAnsi="Times New Roman" w:cs="Times New Roman"/>
          <w:bCs/>
        </w:rPr>
        <w:t>Tasiame</w:t>
      </w:r>
      <w:proofErr w:type="spellEnd"/>
      <w:r w:rsidRPr="00CE4FC3">
        <w:rPr>
          <w:rFonts w:ascii="Times New Roman" w:hAnsi="Times New Roman" w:cs="Times New Roman"/>
          <w:bCs/>
        </w:rPr>
        <w:t xml:space="preserve">, S. Johnson, V. </w:t>
      </w:r>
      <w:proofErr w:type="spellStart"/>
      <w:r w:rsidRPr="00CE4FC3">
        <w:rPr>
          <w:rFonts w:ascii="Times New Roman" w:hAnsi="Times New Roman" w:cs="Times New Roman"/>
          <w:bCs/>
        </w:rPr>
        <w:t>Burimuah</w:t>
      </w:r>
      <w:proofErr w:type="spellEnd"/>
      <w:r w:rsidRPr="00CE4FC3">
        <w:rPr>
          <w:rFonts w:ascii="Times New Roman" w:hAnsi="Times New Roman" w:cs="Times New Roman"/>
          <w:bCs/>
        </w:rPr>
        <w:t xml:space="preserve">, E. </w:t>
      </w:r>
      <w:proofErr w:type="spellStart"/>
      <w:r w:rsidRPr="00CE4FC3">
        <w:rPr>
          <w:rFonts w:ascii="Times New Roman" w:hAnsi="Times New Roman" w:cs="Times New Roman"/>
          <w:bCs/>
        </w:rPr>
        <w:t>Akyereko</w:t>
      </w:r>
      <w:proofErr w:type="spellEnd"/>
      <w:r w:rsidRPr="00CE4FC3">
        <w:rPr>
          <w:rFonts w:ascii="Times New Roman" w:hAnsi="Times New Roman" w:cs="Times New Roman"/>
          <w:bCs/>
        </w:rPr>
        <w:t>, P. El-</w:t>
      </w:r>
      <w:proofErr w:type="spellStart"/>
      <w:r w:rsidRPr="00CE4FC3">
        <w:rPr>
          <w:rFonts w:ascii="Times New Roman" w:hAnsi="Times New Roman" w:cs="Times New Roman"/>
          <w:bCs/>
        </w:rPr>
        <w:t>Duah</w:t>
      </w:r>
      <w:proofErr w:type="spellEnd"/>
      <w:r w:rsidRPr="00CE4FC3">
        <w:rPr>
          <w:rFonts w:ascii="Times New Roman" w:hAnsi="Times New Roman" w:cs="Times New Roman"/>
          <w:bCs/>
        </w:rPr>
        <w:t>, E. Amemor</w:t>
      </w:r>
      <w:r w:rsidRPr="00CE4FC3">
        <w:rPr>
          <w:rFonts w:ascii="Times New Roman" w:hAnsi="Times New Roman" w:cs="Times New Roman"/>
          <w:bCs/>
          <w:vertAlign w:val="superscript"/>
        </w:rPr>
        <w:t>1</w:t>
      </w:r>
      <w:r w:rsidRPr="00CE4FC3">
        <w:rPr>
          <w:rFonts w:ascii="Times New Roman" w:hAnsi="Times New Roman" w:cs="Times New Roman"/>
          <w:bCs/>
        </w:rPr>
        <w:t xml:space="preserve">, B. O. </w:t>
      </w:r>
      <w:proofErr w:type="spellStart"/>
      <w:r w:rsidRPr="00CE4FC3">
        <w:rPr>
          <w:rFonts w:ascii="Times New Roman" w:hAnsi="Times New Roman" w:cs="Times New Roman"/>
          <w:bCs/>
        </w:rPr>
        <w:t>Emikpe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r w:rsidRPr="00CE4FC3">
        <w:rPr>
          <w:rFonts w:ascii="Times New Roman" w:hAnsi="Times New Roman" w:cs="Times New Roman"/>
          <w:bCs/>
        </w:rPr>
        <w:t>E. W. Owiredu</w:t>
      </w:r>
    </w:p>
    <w:p w:rsidR="00681067" w:rsidRDefault="00681067">
      <w:pPr>
        <w:rPr>
          <w:rFonts w:ascii="Times New Roman" w:hAnsi="Times New Roman" w:cs="Times New Roman"/>
        </w:rPr>
      </w:pPr>
    </w:p>
    <w:p w:rsidR="00EF3762" w:rsidRPr="00034390" w:rsidRDefault="00EF3762" w:rsidP="0003439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Supplementary Material</w:t>
      </w:r>
      <w:bookmarkStart w:id="0" w:name="_GoBack"/>
      <w:bookmarkEnd w:id="0"/>
    </w:p>
    <w:p w:rsidR="00F465B0" w:rsidRPr="000302F1" w:rsidRDefault="00EF3762" w:rsidP="000302F1">
      <w:pPr>
        <w:pStyle w:val="NoSpacing"/>
        <w:rPr>
          <w:rFonts w:ascii="Times New Roman" w:hAnsi="Times New Roman" w:cs="Times New Roman"/>
          <w:b/>
        </w:rPr>
      </w:pPr>
      <w:r w:rsidRPr="00EF3762">
        <w:rPr>
          <w:rFonts w:ascii="Times New Roman" w:hAnsi="Times New Roman" w:cs="Times New Roman"/>
          <w:b/>
        </w:rPr>
        <w:t xml:space="preserve">Supplementary </w:t>
      </w:r>
      <w:r w:rsidR="00F465B0" w:rsidRPr="000302F1">
        <w:rPr>
          <w:rFonts w:ascii="Times New Roman" w:hAnsi="Times New Roman" w:cs="Times New Roman"/>
          <w:b/>
        </w:rPr>
        <w:t>Table S1</w:t>
      </w:r>
      <w:r w:rsidR="00777F7D" w:rsidRPr="000302F1">
        <w:rPr>
          <w:rFonts w:ascii="Times New Roman" w:hAnsi="Times New Roman" w:cs="Times New Roman"/>
          <w:b/>
        </w:rPr>
        <w:t xml:space="preserve">. </w:t>
      </w:r>
      <w:r w:rsidR="00777F7D" w:rsidRPr="000302F1">
        <w:rPr>
          <w:rFonts w:ascii="Times New Roman" w:hAnsi="Times New Roman" w:cs="Times New Roman"/>
          <w:b/>
        </w:rPr>
        <w:t>Comparison of time-course man</w:t>
      </w:r>
      <w:r w:rsidR="00777F7D" w:rsidRPr="000302F1">
        <w:rPr>
          <w:rFonts w:ascii="Times New Roman" w:hAnsi="Times New Roman" w:cs="Times New Roman"/>
          <w:b/>
        </w:rPr>
        <w:t>agement by administrative zones</w:t>
      </w:r>
    </w:p>
    <w:tbl>
      <w:tblPr>
        <w:tblW w:w="1014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1607"/>
        <w:gridCol w:w="1046"/>
        <w:gridCol w:w="1055"/>
        <w:gridCol w:w="1147"/>
        <w:gridCol w:w="1038"/>
        <w:gridCol w:w="1039"/>
      </w:tblGrid>
      <w:tr w:rsidR="00F0437B" w:rsidRPr="00F0437B" w:rsidTr="00A47D38">
        <w:trPr>
          <w:trHeight w:val="507"/>
        </w:trPr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7B" w:rsidRPr="00F0437B" w:rsidRDefault="00C6113E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Event/</w:t>
            </w:r>
            <w:r w:rsidR="00F0437B" w:rsidRPr="00F0437B">
              <w:rPr>
                <w:rFonts w:ascii="Times New Roman" w:eastAsia="Times New Roman" w:hAnsi="Times New Roman" w:cs="Times New Roman"/>
                <w:b/>
                <w:color w:val="000000"/>
              </w:rPr>
              <w:t>Region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b/>
                <w:color w:val="000000"/>
              </w:rPr>
              <w:t>Greater Accra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b/>
                <w:color w:val="000000"/>
              </w:rPr>
              <w:t>Volta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b/>
                <w:color w:val="000000"/>
              </w:rPr>
              <w:t>Central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b/>
                <w:color w:val="000000"/>
              </w:rPr>
              <w:t>Western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b/>
                <w:color w:val="000000"/>
              </w:rPr>
              <w:t>Ashanti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b/>
                <w:color w:val="000000"/>
              </w:rPr>
              <w:t>p-value</w:t>
            </w:r>
          </w:p>
        </w:tc>
      </w:tr>
      <w:tr w:rsidR="00F0437B" w:rsidRPr="00F0437B" w:rsidTr="00A47D38">
        <w:trPr>
          <w:trHeight w:val="507"/>
        </w:trPr>
        <w:tc>
          <w:tcPr>
            <w:tcW w:w="32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Event initiation to reporting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8.2±1.6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5.5±3.5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2.0±0.0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8.5±4.5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2.0±0.0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0.338</w:t>
            </w:r>
          </w:p>
        </w:tc>
      </w:tr>
      <w:tr w:rsidR="00F0437B" w:rsidRPr="00F0437B" w:rsidTr="00A47D38">
        <w:trPr>
          <w:trHeight w:val="507"/>
        </w:trPr>
        <w:tc>
          <w:tcPr>
            <w:tcW w:w="3215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Reporting to confirmation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2.1±0.3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1.0±1.0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1.0±0.0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11.5±1.5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5.0±0.0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0437B" w:rsidRPr="00F0437B" w:rsidTr="00A47D38">
        <w:trPr>
          <w:trHeight w:val="507"/>
        </w:trPr>
        <w:tc>
          <w:tcPr>
            <w:tcW w:w="3215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Confirmation to depopulation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2.1±0.5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3.0±3.0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2.0±0.0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3.5±0.5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2.0±0.0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0.741</w:t>
            </w:r>
          </w:p>
        </w:tc>
      </w:tr>
      <w:tr w:rsidR="00F0437B" w:rsidRPr="00F0437B" w:rsidTr="00A47D38">
        <w:trPr>
          <w:trHeight w:val="507"/>
        </w:trPr>
        <w:tc>
          <w:tcPr>
            <w:tcW w:w="3215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Depopulation to disinfection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2.5±0.9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0.5±0.5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1.0±0.0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1.0±0.0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0.0±0.0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0.388</w:t>
            </w:r>
          </w:p>
        </w:tc>
      </w:tr>
      <w:tr w:rsidR="00F0437B" w:rsidRPr="00F0437B" w:rsidTr="00A47D38">
        <w:trPr>
          <w:trHeight w:val="507"/>
        </w:trPr>
        <w:tc>
          <w:tcPr>
            <w:tcW w:w="3215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Event initiation to depopulation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12.1±2.0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9.5±1.5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4.0±0.0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23.5±5.5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9.0±0.0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0.983</w:t>
            </w:r>
          </w:p>
        </w:tc>
      </w:tr>
      <w:tr w:rsidR="00F0437B" w:rsidRPr="00F0437B" w:rsidTr="00A47D38">
        <w:trPr>
          <w:trHeight w:val="507"/>
        </w:trPr>
        <w:tc>
          <w:tcPr>
            <w:tcW w:w="3215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Event initiation to disinfection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14.7±2.3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10.0±2.0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5.0±0.0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24.5±5.5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9.0±0.0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F0437B" w:rsidRPr="00F0437B" w:rsidRDefault="00F0437B" w:rsidP="00F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437B">
              <w:rPr>
                <w:rFonts w:ascii="Times New Roman" w:eastAsia="Times New Roman" w:hAnsi="Times New Roman" w:cs="Times New Roman"/>
                <w:color w:val="000000"/>
              </w:rPr>
              <w:t>0.756</w:t>
            </w:r>
          </w:p>
        </w:tc>
      </w:tr>
    </w:tbl>
    <w:p w:rsidR="00F465B0" w:rsidRPr="00E71DE1" w:rsidRDefault="00F465B0">
      <w:pPr>
        <w:rPr>
          <w:rFonts w:ascii="Times New Roman" w:hAnsi="Times New Roman" w:cs="Times New Roman"/>
        </w:rPr>
      </w:pPr>
    </w:p>
    <w:sectPr w:rsidR="00F465B0" w:rsidRPr="00E71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46"/>
    <w:rsid w:val="000302F1"/>
    <w:rsid w:val="00034390"/>
    <w:rsid w:val="00280748"/>
    <w:rsid w:val="0035467C"/>
    <w:rsid w:val="003C41F8"/>
    <w:rsid w:val="00681067"/>
    <w:rsid w:val="00777F7D"/>
    <w:rsid w:val="00832648"/>
    <w:rsid w:val="00A044F0"/>
    <w:rsid w:val="00A47D38"/>
    <w:rsid w:val="00AF5ADE"/>
    <w:rsid w:val="00BF6246"/>
    <w:rsid w:val="00C6113E"/>
    <w:rsid w:val="00E71DE1"/>
    <w:rsid w:val="00EA5D11"/>
    <w:rsid w:val="00EF3762"/>
    <w:rsid w:val="00F0437B"/>
    <w:rsid w:val="00F4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6D25"/>
  <w15:chartTrackingRefBased/>
  <w15:docId w15:val="{36703125-6D1F-44DA-BF40-C94851BC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F62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F62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F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6246"/>
    <w:rPr>
      <w:i/>
      <w:iCs/>
    </w:rPr>
  </w:style>
  <w:style w:type="paragraph" w:styleId="NoSpacing">
    <w:name w:val="No Spacing"/>
    <w:uiPriority w:val="1"/>
    <w:qFormat/>
    <w:rsid w:val="00030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Eddie-Williams Owiredu</dc:creator>
  <cp:keywords/>
  <dc:description/>
  <cp:lastModifiedBy>Eddie-Williams Owiredu</cp:lastModifiedBy>
  <cp:revision>16</cp:revision>
  <dcterms:created xsi:type="dcterms:W3CDTF">2019-12-18T16:08:00Z</dcterms:created>
  <dcterms:modified xsi:type="dcterms:W3CDTF">2019-12-19T23:30:00Z</dcterms:modified>
</cp:coreProperties>
</file>