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8333" w14:textId="77777777" w:rsidR="003C5654" w:rsidRPr="004D7D60" w:rsidRDefault="003C5654" w:rsidP="00205AB4">
      <w:pPr>
        <w:rPr>
          <w:rFonts w:ascii="Palatino Linotype" w:eastAsia="Times New Roman" w:hAnsi="Palatino Linotype" w:cs="Tahoma"/>
          <w:i/>
          <w:lang w:val="en-US" w:eastAsia="nl-NL"/>
        </w:rPr>
      </w:pPr>
      <w:r w:rsidRPr="004D7D60">
        <w:rPr>
          <w:rFonts w:ascii="Palatino Linotype" w:eastAsia="Times New Roman" w:hAnsi="Palatino Linotype" w:cs="Tahoma"/>
          <w:i/>
          <w:lang w:val="en-US" w:eastAsia="nl-NL"/>
        </w:rPr>
        <w:t>Epidemiology and Infection</w:t>
      </w:r>
    </w:p>
    <w:p w14:paraId="7E75ECFA" w14:textId="77777777" w:rsidR="003C5654" w:rsidRPr="004D7D60" w:rsidRDefault="003C5654" w:rsidP="003C5654">
      <w:pPr>
        <w:spacing w:after="0" w:line="360" w:lineRule="auto"/>
        <w:rPr>
          <w:rFonts w:ascii="Palatino Linotype" w:hAnsi="Palatino Linotype" w:cs="Tahoma"/>
          <w:lang w:val="en-US"/>
        </w:rPr>
      </w:pPr>
    </w:p>
    <w:p w14:paraId="0D112E88" w14:textId="77777777" w:rsidR="003C5654" w:rsidRPr="004D7D60" w:rsidRDefault="003C5654" w:rsidP="003C5654">
      <w:pPr>
        <w:spacing w:after="0" w:line="360" w:lineRule="auto"/>
        <w:rPr>
          <w:rFonts w:ascii="Palatino Linotype" w:hAnsi="Palatino Linotype" w:cs="Tahoma"/>
          <w:b/>
          <w:lang w:val="en-US"/>
        </w:rPr>
      </w:pPr>
      <w:r w:rsidRPr="004D7D60">
        <w:rPr>
          <w:rFonts w:ascii="Palatino Linotype" w:hAnsi="Palatino Linotype" w:cs="Tahoma"/>
          <w:b/>
          <w:lang w:val="en-US"/>
        </w:rPr>
        <w:t>Risk factors associated with the incidence of self-reported COVID-19-like illness: Data from a web-based syndromic surveillance system in the Netherlands</w:t>
      </w:r>
    </w:p>
    <w:p w14:paraId="6732C6AF" w14:textId="77777777" w:rsidR="003C5654" w:rsidRPr="004D7D60" w:rsidRDefault="003C5654" w:rsidP="00205AB4">
      <w:pPr>
        <w:rPr>
          <w:rFonts w:ascii="Palatino Linotype" w:eastAsia="Times New Roman" w:hAnsi="Palatino Linotype" w:cs="Tahoma"/>
          <w:b/>
          <w:sz w:val="12"/>
          <w:szCs w:val="12"/>
          <w:lang w:val="en-US" w:eastAsia="nl-NL"/>
        </w:rPr>
      </w:pPr>
    </w:p>
    <w:p w14:paraId="21FD1905" w14:textId="77777777" w:rsidR="003C5654" w:rsidRPr="004D7D60" w:rsidRDefault="003C5654" w:rsidP="003C5654">
      <w:pPr>
        <w:spacing w:after="0" w:line="360" w:lineRule="auto"/>
        <w:rPr>
          <w:rFonts w:ascii="Palatino Linotype" w:eastAsia="Times New Roman" w:hAnsi="Palatino Linotype" w:cs="Times New Roman"/>
          <w:lang w:eastAsia="nl-NL"/>
        </w:rPr>
      </w:pPr>
      <w:r w:rsidRPr="004D7D60">
        <w:rPr>
          <w:rFonts w:ascii="Palatino Linotype" w:eastAsia="Times New Roman" w:hAnsi="Palatino Linotype" w:cs="Times New Roman"/>
          <w:lang w:eastAsia="nl-NL"/>
        </w:rPr>
        <w:t>Scott A McDonald</w:t>
      </w:r>
      <w:r w:rsidRPr="004D7D60">
        <w:rPr>
          <w:rFonts w:ascii="Palatino Linotype" w:hAnsi="Palatino Linotype"/>
          <w:vertAlign w:val="superscript"/>
        </w:rPr>
        <w:t>1*</w:t>
      </w:r>
      <w:r w:rsidRPr="004D7D60">
        <w:rPr>
          <w:rFonts w:ascii="Palatino Linotype" w:eastAsia="Times New Roman" w:hAnsi="Palatino Linotype" w:cs="Times New Roman"/>
          <w:lang w:eastAsia="nl-NL"/>
        </w:rPr>
        <w:t>, Cees C van den Wijngaard</w:t>
      </w:r>
      <w:r w:rsidRPr="004D7D60">
        <w:rPr>
          <w:rFonts w:ascii="Palatino Linotype" w:hAnsi="Palatino Linotype"/>
          <w:vertAlign w:val="superscript"/>
        </w:rPr>
        <w:t>1</w:t>
      </w:r>
      <w:r w:rsidRPr="004D7D60">
        <w:rPr>
          <w:rFonts w:ascii="Palatino Linotype" w:eastAsia="Times New Roman" w:hAnsi="Palatino Linotype" w:cs="Times New Roman"/>
          <w:lang w:eastAsia="nl-NL"/>
        </w:rPr>
        <w:t>, Cornelia CH Wielders</w:t>
      </w:r>
      <w:r w:rsidRPr="004D7D60">
        <w:rPr>
          <w:rFonts w:ascii="Palatino Linotype" w:hAnsi="Palatino Linotype"/>
          <w:vertAlign w:val="superscript"/>
        </w:rPr>
        <w:t>1</w:t>
      </w:r>
      <w:r w:rsidRPr="004D7D60">
        <w:rPr>
          <w:rFonts w:ascii="Palatino Linotype" w:eastAsia="Times New Roman" w:hAnsi="Palatino Linotype" w:cs="Times New Roman"/>
          <w:lang w:eastAsia="nl-NL"/>
        </w:rPr>
        <w:t>, Ingrid HM Friesema</w:t>
      </w:r>
      <w:r w:rsidRPr="004D7D60">
        <w:rPr>
          <w:rFonts w:ascii="Palatino Linotype" w:hAnsi="Palatino Linotype"/>
          <w:vertAlign w:val="superscript"/>
        </w:rPr>
        <w:t>1</w:t>
      </w:r>
      <w:r w:rsidRPr="004D7D60">
        <w:rPr>
          <w:rFonts w:ascii="Palatino Linotype" w:eastAsia="Times New Roman" w:hAnsi="Palatino Linotype" w:cs="Times New Roman"/>
          <w:lang w:eastAsia="nl-NL"/>
        </w:rPr>
        <w:t>, Loes Soetens</w:t>
      </w:r>
      <w:r w:rsidRPr="004D7D60">
        <w:rPr>
          <w:rFonts w:ascii="Palatino Linotype" w:hAnsi="Palatino Linotype"/>
          <w:vertAlign w:val="superscript"/>
        </w:rPr>
        <w:t>1</w:t>
      </w:r>
      <w:r w:rsidRPr="004D7D60">
        <w:rPr>
          <w:rFonts w:ascii="Palatino Linotype" w:eastAsia="Times New Roman" w:hAnsi="Palatino Linotype" w:cs="Times New Roman"/>
          <w:lang w:eastAsia="nl-NL"/>
        </w:rPr>
        <w:t>, Daniela Paolotti</w:t>
      </w:r>
      <w:r w:rsidRPr="004D7D60">
        <w:rPr>
          <w:rFonts w:ascii="Palatino Linotype" w:hAnsi="Palatino Linotype"/>
          <w:vertAlign w:val="superscript"/>
        </w:rPr>
        <w:t>2</w:t>
      </w:r>
      <w:r w:rsidRPr="004D7D60">
        <w:rPr>
          <w:rFonts w:ascii="Palatino Linotype" w:eastAsia="Times New Roman" w:hAnsi="Palatino Linotype" w:cs="Times New Roman"/>
          <w:lang w:eastAsia="nl-NL"/>
        </w:rPr>
        <w:t>, Susan van den Hof</w:t>
      </w:r>
      <w:r w:rsidRPr="004D7D60">
        <w:rPr>
          <w:rFonts w:ascii="Palatino Linotype" w:hAnsi="Palatino Linotype"/>
          <w:vertAlign w:val="superscript"/>
        </w:rPr>
        <w:t>1</w:t>
      </w:r>
      <w:r w:rsidRPr="004D7D60">
        <w:rPr>
          <w:rFonts w:ascii="Palatino Linotype" w:eastAsia="Times New Roman" w:hAnsi="Palatino Linotype" w:cs="Times New Roman"/>
          <w:lang w:eastAsia="nl-NL"/>
        </w:rPr>
        <w:t>, Albert Jan van Hoek</w:t>
      </w:r>
      <w:r w:rsidRPr="004D7D60">
        <w:rPr>
          <w:rFonts w:ascii="Palatino Linotype" w:hAnsi="Palatino Linotype"/>
          <w:vertAlign w:val="superscript"/>
        </w:rPr>
        <w:t>1</w:t>
      </w:r>
    </w:p>
    <w:p w14:paraId="05B58872" w14:textId="77777777" w:rsidR="003C5654" w:rsidRPr="004D7D60" w:rsidRDefault="003C5654" w:rsidP="003C5654">
      <w:pPr>
        <w:spacing w:after="0" w:line="360" w:lineRule="auto"/>
        <w:rPr>
          <w:rFonts w:ascii="Palatino Linotype" w:eastAsia="Times New Roman" w:hAnsi="Palatino Linotype" w:cs="Times New Roman"/>
          <w:i/>
          <w:sz w:val="12"/>
          <w:szCs w:val="12"/>
          <w:lang w:eastAsia="nl-NL"/>
        </w:rPr>
      </w:pPr>
    </w:p>
    <w:p w14:paraId="204036A9" w14:textId="77777777" w:rsidR="003C5654" w:rsidRPr="004D7D60" w:rsidRDefault="003C5654" w:rsidP="003C5654">
      <w:pPr>
        <w:spacing w:after="0" w:line="360" w:lineRule="auto"/>
        <w:rPr>
          <w:rFonts w:ascii="Palatino Linotype" w:hAnsi="Palatino Linotype"/>
          <w:lang w:val="en-US"/>
        </w:rPr>
      </w:pPr>
      <w:r w:rsidRPr="004D7D60">
        <w:rPr>
          <w:rFonts w:ascii="Palatino Linotype" w:hAnsi="Palatino Linotype"/>
          <w:vertAlign w:val="superscript"/>
          <w:lang w:val="en-US"/>
        </w:rPr>
        <w:t xml:space="preserve">1 </w:t>
      </w:r>
      <w:r w:rsidRPr="004D7D60">
        <w:rPr>
          <w:rFonts w:ascii="Palatino Linotype" w:hAnsi="Palatino Linotype"/>
          <w:lang w:val="en-US"/>
        </w:rPr>
        <w:t xml:space="preserve">Centre for Infectious Disease Control, Netherlands National Institute for Public </w:t>
      </w:r>
      <w:proofErr w:type="gramStart"/>
      <w:r w:rsidRPr="004D7D60">
        <w:rPr>
          <w:rFonts w:ascii="Palatino Linotype" w:hAnsi="Palatino Linotype"/>
          <w:lang w:val="en-US"/>
        </w:rPr>
        <w:t>Health</w:t>
      </w:r>
      <w:proofErr w:type="gramEnd"/>
      <w:r w:rsidRPr="004D7D60">
        <w:rPr>
          <w:rFonts w:ascii="Palatino Linotype" w:hAnsi="Palatino Linotype"/>
          <w:lang w:val="en-US"/>
        </w:rPr>
        <w:t xml:space="preserve"> and the Environment, </w:t>
      </w:r>
      <w:proofErr w:type="spellStart"/>
      <w:r w:rsidRPr="004D7D60">
        <w:rPr>
          <w:rFonts w:ascii="Palatino Linotype" w:hAnsi="Palatino Linotype"/>
          <w:lang w:val="en-US"/>
        </w:rPr>
        <w:t>Bilthoven</w:t>
      </w:r>
      <w:proofErr w:type="spellEnd"/>
      <w:r w:rsidRPr="004D7D60">
        <w:rPr>
          <w:rFonts w:ascii="Palatino Linotype" w:hAnsi="Palatino Linotype"/>
          <w:lang w:val="en-US"/>
        </w:rPr>
        <w:t>, the Netherlands</w:t>
      </w:r>
    </w:p>
    <w:p w14:paraId="5A7DC28A" w14:textId="77777777" w:rsidR="003C5654" w:rsidRPr="004D7D60" w:rsidRDefault="003C5654" w:rsidP="003C5654">
      <w:pPr>
        <w:spacing w:line="360" w:lineRule="auto"/>
        <w:rPr>
          <w:rFonts w:ascii="Palatino Linotype" w:hAnsi="Palatino Linotype"/>
          <w:lang w:val="en-US"/>
        </w:rPr>
      </w:pPr>
      <w:r w:rsidRPr="004D7D60">
        <w:rPr>
          <w:rFonts w:ascii="Palatino Linotype" w:hAnsi="Palatino Linotype"/>
          <w:vertAlign w:val="superscript"/>
          <w:lang w:val="en-US"/>
        </w:rPr>
        <w:t xml:space="preserve">2 </w:t>
      </w:r>
      <w:r w:rsidRPr="004D7D60">
        <w:rPr>
          <w:rFonts w:ascii="Palatino Linotype" w:hAnsi="Palatino Linotype"/>
          <w:lang w:val="en-US"/>
        </w:rPr>
        <w:t>Institute for Scientific Interchange Foundation, Torino, Italy</w:t>
      </w:r>
    </w:p>
    <w:p w14:paraId="259D1D79" w14:textId="77777777" w:rsidR="003C5654" w:rsidRPr="004D7D60" w:rsidRDefault="003C5654" w:rsidP="00205AB4">
      <w:pPr>
        <w:rPr>
          <w:rFonts w:ascii="Palatino Linotype" w:eastAsia="Times New Roman" w:hAnsi="Palatino Linotype" w:cs="Tahoma"/>
          <w:b/>
          <w:lang w:val="en-US" w:eastAsia="nl-NL"/>
        </w:rPr>
      </w:pPr>
    </w:p>
    <w:p w14:paraId="17806FAB" w14:textId="77777777" w:rsidR="003C5654" w:rsidRPr="004D7D60" w:rsidRDefault="003C5654" w:rsidP="00205AB4">
      <w:pPr>
        <w:rPr>
          <w:rFonts w:ascii="Palatino Linotype" w:eastAsia="Times New Roman" w:hAnsi="Palatino Linotype" w:cs="Tahoma"/>
          <w:b/>
          <w:lang w:val="en-US" w:eastAsia="nl-NL"/>
        </w:rPr>
      </w:pPr>
    </w:p>
    <w:p w14:paraId="3548BC41" w14:textId="77777777" w:rsidR="00FB6720" w:rsidRPr="004D7D60" w:rsidRDefault="00D961DE" w:rsidP="003C5654">
      <w:pPr>
        <w:rPr>
          <w:rFonts w:ascii="Palatino Linotype" w:eastAsia="Times New Roman" w:hAnsi="Palatino Linotype" w:cs="Tahoma"/>
          <w:b/>
          <w:lang w:val="en-US" w:eastAsia="nl-NL"/>
        </w:rPr>
      </w:pPr>
      <w:r w:rsidRPr="004D7D60">
        <w:rPr>
          <w:rFonts w:ascii="Palatino Linotype" w:eastAsia="Times New Roman" w:hAnsi="Palatino Linotype" w:cs="Tahoma"/>
          <w:b/>
          <w:lang w:val="en-US" w:eastAsia="nl-NL"/>
        </w:rPr>
        <w:t xml:space="preserve">SUPPLEMENTARY </w:t>
      </w:r>
      <w:r w:rsidR="008A0CB1" w:rsidRPr="004D7D60">
        <w:rPr>
          <w:rFonts w:ascii="Palatino Linotype" w:eastAsia="Times New Roman" w:hAnsi="Palatino Linotype" w:cs="Tahoma"/>
          <w:b/>
          <w:lang w:val="en-US" w:eastAsia="nl-NL"/>
        </w:rPr>
        <w:t>MATERIALS</w:t>
      </w:r>
    </w:p>
    <w:p w14:paraId="426AC7E1" w14:textId="77777777" w:rsidR="003C5654" w:rsidRPr="004D7D60" w:rsidRDefault="003C5654" w:rsidP="003C5654">
      <w:pPr>
        <w:rPr>
          <w:rFonts w:ascii="Palatino Linotype" w:eastAsia="Times New Roman" w:hAnsi="Palatino Linotype" w:cs="Tahoma"/>
          <w:b/>
          <w:lang w:val="en-US" w:eastAsia="nl-NL"/>
        </w:rPr>
      </w:pPr>
    </w:p>
    <w:p w14:paraId="1582DA68" w14:textId="77777777" w:rsidR="00C27C5A" w:rsidRPr="004D7D60" w:rsidRDefault="00C27C5A" w:rsidP="00D003F6">
      <w:pPr>
        <w:spacing w:after="0" w:line="360" w:lineRule="auto"/>
        <w:rPr>
          <w:rFonts w:ascii="Palatino Linotype" w:eastAsia="Times New Roman" w:hAnsi="Palatino Linotype" w:cs="Tahoma"/>
          <w:b/>
          <w:lang w:val="en-US" w:eastAsia="nl-NL"/>
        </w:rPr>
      </w:pPr>
      <w:r w:rsidRPr="004D7D60">
        <w:rPr>
          <w:rFonts w:ascii="Palatino Linotype" w:eastAsia="Times New Roman" w:hAnsi="Palatino Linotype" w:cs="Tahoma"/>
          <w:b/>
          <w:lang w:val="en-US" w:eastAsia="nl-NL"/>
        </w:rPr>
        <w:t xml:space="preserve">Description of how </w:t>
      </w:r>
      <w:r w:rsidR="00A51C69" w:rsidRPr="004D7D60">
        <w:rPr>
          <w:rFonts w:ascii="Palatino Linotype" w:eastAsia="Times New Roman" w:hAnsi="Palatino Linotype" w:cs="Tahoma"/>
          <w:b/>
          <w:lang w:val="en-US" w:eastAsia="nl-NL"/>
        </w:rPr>
        <w:t>the 'more</w:t>
      </w:r>
      <w:r w:rsidRPr="004D7D60">
        <w:rPr>
          <w:rFonts w:ascii="Palatino Linotype" w:eastAsia="Times New Roman" w:hAnsi="Palatino Linotype" w:cs="Tahoma"/>
          <w:b/>
          <w:lang w:val="en-US" w:eastAsia="nl-NL"/>
        </w:rPr>
        <w:t>-specific</w:t>
      </w:r>
      <w:r w:rsidR="00A51C69" w:rsidRPr="004D7D60">
        <w:rPr>
          <w:rFonts w:ascii="Palatino Linotype" w:eastAsia="Times New Roman" w:hAnsi="Palatino Linotype" w:cs="Tahoma"/>
          <w:b/>
          <w:lang w:val="en-US" w:eastAsia="nl-NL"/>
        </w:rPr>
        <w:t>'</w:t>
      </w:r>
      <w:r w:rsidRPr="004D7D60">
        <w:rPr>
          <w:rFonts w:ascii="Palatino Linotype" w:eastAsia="Times New Roman" w:hAnsi="Palatino Linotype" w:cs="Tahoma"/>
          <w:b/>
          <w:lang w:val="en-US" w:eastAsia="nl-NL"/>
        </w:rPr>
        <w:t xml:space="preserve"> COVID-19</w:t>
      </w:r>
      <w:r w:rsidR="00386D67" w:rsidRPr="004D7D60">
        <w:rPr>
          <w:rFonts w:ascii="Palatino Linotype" w:eastAsia="Times New Roman" w:hAnsi="Palatino Linotype" w:cs="Tahoma"/>
          <w:b/>
          <w:bCs/>
          <w:lang w:val="en-US" w:eastAsia="nl-NL"/>
        </w:rPr>
        <w:t>-like illness</w:t>
      </w:r>
      <w:r w:rsidR="00386D67" w:rsidRPr="004D7D60">
        <w:rPr>
          <w:rFonts w:ascii="Palatino Linotype" w:eastAsia="Times New Roman" w:hAnsi="Palatino Linotype" w:cs="Tahoma"/>
          <w:b/>
          <w:lang w:val="en-US" w:eastAsia="nl-NL"/>
        </w:rPr>
        <w:t xml:space="preserve"> </w:t>
      </w:r>
      <w:r w:rsidRPr="004D7D60">
        <w:rPr>
          <w:rFonts w:ascii="Palatino Linotype" w:eastAsia="Times New Roman" w:hAnsi="Palatino Linotype" w:cs="Tahoma"/>
          <w:b/>
          <w:lang w:val="en-US" w:eastAsia="nl-NL"/>
        </w:rPr>
        <w:t xml:space="preserve">case definition </w:t>
      </w:r>
      <w:r w:rsidR="00107DEB" w:rsidRPr="004D7D60">
        <w:rPr>
          <w:rFonts w:ascii="Palatino Linotype" w:eastAsia="Times New Roman" w:hAnsi="Palatino Linotype" w:cs="Tahoma"/>
          <w:b/>
          <w:lang w:val="en-US" w:eastAsia="nl-NL"/>
        </w:rPr>
        <w:br/>
      </w:r>
      <w:r w:rsidRPr="004D7D60">
        <w:rPr>
          <w:rFonts w:ascii="Palatino Linotype" w:eastAsia="Times New Roman" w:hAnsi="Palatino Linotype" w:cs="Tahoma"/>
          <w:b/>
          <w:lang w:val="en-US" w:eastAsia="nl-NL"/>
        </w:rPr>
        <w:t>was derived</w:t>
      </w:r>
    </w:p>
    <w:p w14:paraId="58018F30" w14:textId="77777777" w:rsidR="002A5EBA" w:rsidRPr="004D7D60" w:rsidRDefault="002A5EBA" w:rsidP="002A5EBA">
      <w:pPr>
        <w:spacing w:after="0" w:line="360" w:lineRule="auto"/>
        <w:rPr>
          <w:rFonts w:ascii="Palatino Linotype" w:eastAsia="Times New Roman" w:hAnsi="Palatino Linotype" w:cs="Tahoma"/>
          <w:lang w:val="en-US" w:eastAsia="nl-NL"/>
        </w:rPr>
      </w:pPr>
      <w:r w:rsidRPr="004D7D60">
        <w:rPr>
          <w:rFonts w:ascii="Palatino Linotype" w:eastAsia="Times New Roman" w:hAnsi="Palatino Linotype" w:cs="Tahoma"/>
          <w:lang w:val="en-US" w:eastAsia="nl-NL"/>
        </w:rPr>
        <w:t xml:space="preserve">The more-specific case </w:t>
      </w:r>
      <w:proofErr w:type="spellStart"/>
      <w:r w:rsidRPr="004D7D60">
        <w:rPr>
          <w:rFonts w:ascii="Palatino Linotype" w:eastAsia="Times New Roman" w:hAnsi="Palatino Linotype" w:cs="Tahoma"/>
          <w:lang w:val="en-US" w:eastAsia="nl-NL"/>
        </w:rPr>
        <w:t>defintition</w:t>
      </w:r>
      <w:proofErr w:type="spellEnd"/>
      <w:r w:rsidRPr="004D7D60">
        <w:rPr>
          <w:rFonts w:ascii="Palatino Linotype" w:eastAsia="Times New Roman" w:hAnsi="Palatino Linotype" w:cs="Tahoma"/>
          <w:lang w:val="en-US" w:eastAsia="nl-NL"/>
        </w:rPr>
        <w:t xml:space="preserve"> was: </w:t>
      </w:r>
      <w:r w:rsidRPr="004D7D60">
        <w:rPr>
          <w:rFonts w:ascii="Palatino Linotype" w:eastAsia="Times New Roman" w:hAnsi="Palatino Linotype" w:cs="Tahoma"/>
          <w:b/>
          <w:lang w:val="en-US" w:eastAsia="nl-NL"/>
        </w:rPr>
        <w:t>“</w:t>
      </w:r>
      <w:r w:rsidRPr="004D7D60">
        <w:rPr>
          <w:rFonts w:ascii="Palatino Linotype" w:eastAsia="Times New Roman" w:hAnsi="Palatino Linotype" w:cs="Tahoma"/>
          <w:lang w:val="en-US" w:eastAsia="nl-NL"/>
        </w:rPr>
        <w:t>fever and [loss of smell/taste or dyspnea], or [dyspnea and chest pain], or [loss of smell/taste and malaise]”</w:t>
      </w:r>
    </w:p>
    <w:p w14:paraId="4EDF023F" w14:textId="77777777" w:rsidR="000C360B" w:rsidRPr="004D7D60" w:rsidRDefault="000C360B" w:rsidP="002A5EBA">
      <w:pPr>
        <w:spacing w:after="0" w:line="360" w:lineRule="auto"/>
        <w:rPr>
          <w:rFonts w:ascii="Palatino Linotype" w:eastAsia="Times New Roman" w:hAnsi="Palatino Linotype" w:cs="Tahoma"/>
          <w:lang w:val="en-US" w:eastAsia="nl-NL"/>
        </w:rPr>
      </w:pPr>
    </w:p>
    <w:p w14:paraId="5C66149C" w14:textId="77777777" w:rsidR="002A5EBA" w:rsidRPr="004D7D60" w:rsidRDefault="002A5EBA" w:rsidP="002A5EBA">
      <w:pPr>
        <w:spacing w:after="0" w:line="360" w:lineRule="auto"/>
        <w:rPr>
          <w:rFonts w:ascii="Palatino Linotype" w:eastAsia="Times New Roman" w:hAnsi="Palatino Linotype" w:cs="Tahoma"/>
          <w:lang w:val="en-US" w:eastAsia="nl-NL"/>
        </w:rPr>
      </w:pPr>
      <w:r w:rsidRPr="004D7D60">
        <w:rPr>
          <w:rFonts w:ascii="Palatino Linotype" w:eastAsia="Times New Roman" w:hAnsi="Palatino Linotype" w:cs="Tahoma"/>
          <w:lang w:val="en-US" w:eastAsia="nl-NL"/>
        </w:rPr>
        <w:t xml:space="preserve">This definition was obtained 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>through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 a decision</w:t>
      </w:r>
      <w:r w:rsidR="002C02E2" w:rsidRPr="004D7D60">
        <w:rPr>
          <w:rFonts w:ascii="Palatino Linotype" w:eastAsia="Times New Roman" w:hAnsi="Palatino Linotype" w:cs="Tahoma"/>
          <w:lang w:val="en-US" w:eastAsia="nl-NL"/>
        </w:rPr>
        <w:t xml:space="preserve"> 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tree analysis of those 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 xml:space="preserve">participants who 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were likely to be infected with 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>SARS-CoV-2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 and those who were not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>.</w:t>
      </w:r>
    </w:p>
    <w:p w14:paraId="533189D3" w14:textId="77777777" w:rsidR="000C360B" w:rsidRPr="004D7D60" w:rsidRDefault="000C360B" w:rsidP="002A5EBA">
      <w:pPr>
        <w:spacing w:after="0" w:line="360" w:lineRule="auto"/>
        <w:rPr>
          <w:rFonts w:ascii="Palatino Linotype" w:eastAsia="Times New Roman" w:hAnsi="Palatino Linotype" w:cs="Tahoma"/>
          <w:lang w:val="en-US" w:eastAsia="nl-NL"/>
        </w:rPr>
      </w:pPr>
    </w:p>
    <w:p w14:paraId="2E8145BC" w14:textId="77777777" w:rsidR="002A5EBA" w:rsidRPr="004D7D60" w:rsidRDefault="002A5EBA" w:rsidP="002A5EBA">
      <w:pPr>
        <w:spacing w:after="0" w:line="360" w:lineRule="auto"/>
        <w:rPr>
          <w:rFonts w:ascii="Palatino Linotype" w:eastAsia="Times New Roman" w:hAnsi="Palatino Linotype" w:cs="Tahoma"/>
          <w:lang w:val="en-US" w:eastAsia="nl-NL"/>
        </w:rPr>
      </w:pPr>
      <w:r w:rsidRPr="004D7D60">
        <w:rPr>
          <w:rFonts w:ascii="Palatino Linotype" w:eastAsia="Times New Roman" w:hAnsi="Palatino Linotype" w:cs="Tahoma"/>
          <w:lang w:val="en-US" w:eastAsia="nl-NL"/>
        </w:rPr>
        <w:t>When people reported symptom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>(</w:t>
      </w:r>
      <w:r w:rsidRPr="004D7D60">
        <w:rPr>
          <w:rFonts w:ascii="Palatino Linotype" w:eastAsia="Times New Roman" w:hAnsi="Palatino Linotype" w:cs="Tahoma"/>
          <w:lang w:val="en-US" w:eastAsia="nl-NL"/>
        </w:rPr>
        <w:t>s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>) in the weekly survey,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 the following</w:t>
      </w:r>
      <w:r w:rsidR="000C360B" w:rsidRPr="004D7D60">
        <w:rPr>
          <w:rFonts w:ascii="Palatino Linotype" w:eastAsia="Times New Roman" w:hAnsi="Palatino Linotype" w:cs="Tahoma"/>
          <w:lang w:val="en-US" w:eastAsia="nl-NL"/>
        </w:rPr>
        <w:t xml:space="preserve"> question was also asked, which had six possible answers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:  </w:t>
      </w:r>
    </w:p>
    <w:p w14:paraId="305D0E39" w14:textId="77777777" w:rsidR="000C360B" w:rsidRPr="004D7D60" w:rsidRDefault="000C360B" w:rsidP="000C360B">
      <w:pPr>
        <w:spacing w:after="0" w:line="240" w:lineRule="auto"/>
        <w:rPr>
          <w:rFonts w:ascii="Palatino Linotype" w:eastAsia="Times New Roman" w:hAnsi="Palatino Linotype" w:cs="Tahoma"/>
          <w:lang w:val="en-US" w:eastAsia="nl-NL"/>
        </w:rPr>
      </w:pPr>
    </w:p>
    <w:p w14:paraId="7CF75AC6" w14:textId="77777777" w:rsidR="002A5EBA" w:rsidRPr="004D7D60" w:rsidRDefault="002A5EBA" w:rsidP="002A5EBA">
      <w:pPr>
        <w:spacing w:after="0" w:line="360" w:lineRule="auto"/>
        <w:rPr>
          <w:rFonts w:ascii="Palatino Linotype" w:eastAsia="Times New Roman" w:hAnsi="Palatino Linotype" w:cs="Tahoma"/>
          <w:i/>
          <w:lang w:val="en-US" w:eastAsia="nl-NL"/>
        </w:rPr>
      </w:pPr>
      <w:r w:rsidRPr="004D7D60">
        <w:rPr>
          <w:rFonts w:ascii="Palatino Linotype" w:eastAsia="Times New Roman" w:hAnsi="Palatino Linotype" w:cs="Tahoma"/>
          <w:i/>
          <w:lang w:val="en-US" w:eastAsia="nl-NL"/>
        </w:rPr>
        <w:t>Do you think the symptoms you report today are caused by COVID</w:t>
      </w:r>
      <w:r w:rsidR="000C360B" w:rsidRPr="004D7D60">
        <w:rPr>
          <w:rFonts w:ascii="Palatino Linotype" w:eastAsia="Times New Roman" w:hAnsi="Palatino Linotype" w:cs="Tahoma"/>
          <w:i/>
          <w:lang w:val="en-US" w:eastAsia="nl-NL"/>
        </w:rPr>
        <w:t>-19</w:t>
      </w:r>
      <w:r w:rsidRPr="004D7D60">
        <w:rPr>
          <w:rFonts w:ascii="Palatino Linotype" w:eastAsia="Times New Roman" w:hAnsi="Palatino Linotype" w:cs="Tahoma"/>
          <w:i/>
          <w:lang w:val="en-US" w:eastAsia="nl-NL"/>
        </w:rPr>
        <w:t>?</w:t>
      </w:r>
    </w:p>
    <w:p w14:paraId="3862555E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>No, I don’t think my symptoms are caused by COVID</w:t>
      </w:r>
      <w:r w:rsidR="000C360B" w:rsidRPr="004D7D60">
        <w:rPr>
          <w:rFonts w:ascii="Palatino Linotype" w:hAnsi="Palatino Linotype" w:cs="Tahoma"/>
          <w:lang w:val="en-US"/>
        </w:rPr>
        <w:t>-19</w:t>
      </w:r>
    </w:p>
    <w:p w14:paraId="2F71BF4E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 xml:space="preserve">I don’t know </w:t>
      </w:r>
    </w:p>
    <w:p w14:paraId="39C4EA1B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>Yes, I think so, as the symptoms are compatible with COVID</w:t>
      </w:r>
      <w:r w:rsidR="000C360B" w:rsidRPr="004D7D60">
        <w:rPr>
          <w:rFonts w:ascii="Palatino Linotype" w:hAnsi="Palatino Linotype" w:cs="Tahoma"/>
          <w:lang w:val="en-US"/>
        </w:rPr>
        <w:t>-19</w:t>
      </w:r>
      <w:r w:rsidRPr="004D7D60">
        <w:rPr>
          <w:rFonts w:ascii="Palatino Linotype" w:hAnsi="Palatino Linotype" w:cs="Tahoma"/>
          <w:lang w:val="en-US"/>
        </w:rPr>
        <w:t>, however nobody in my surrounding</w:t>
      </w:r>
      <w:r w:rsidR="000C360B" w:rsidRPr="004D7D60">
        <w:rPr>
          <w:rFonts w:ascii="Palatino Linotype" w:hAnsi="Palatino Linotype" w:cs="Tahoma"/>
          <w:lang w:val="en-US"/>
        </w:rPr>
        <w:t>s</w:t>
      </w:r>
      <w:r w:rsidRPr="004D7D60">
        <w:rPr>
          <w:rFonts w:ascii="Palatino Linotype" w:hAnsi="Palatino Linotype" w:cs="Tahoma"/>
          <w:lang w:val="en-US"/>
        </w:rPr>
        <w:t xml:space="preserve"> tested positive</w:t>
      </w:r>
    </w:p>
    <w:p w14:paraId="5255CE52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lastRenderedPageBreak/>
        <w:t xml:space="preserve">Yes, I think so, as people I interact with have had contact with a confirmed case </w:t>
      </w:r>
    </w:p>
    <w:p w14:paraId="40D908B0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>Yes, I know</w:t>
      </w:r>
      <w:r w:rsidR="000C360B" w:rsidRPr="004D7D60">
        <w:rPr>
          <w:rFonts w:ascii="Palatino Linotype" w:hAnsi="Palatino Linotype" w:cs="Tahoma"/>
          <w:lang w:val="en-US"/>
        </w:rPr>
        <w:t xml:space="preserve"> so</w:t>
      </w:r>
      <w:r w:rsidRPr="004D7D60">
        <w:rPr>
          <w:rFonts w:ascii="Palatino Linotype" w:hAnsi="Palatino Linotype" w:cs="Tahoma"/>
          <w:lang w:val="en-US"/>
        </w:rPr>
        <w:t xml:space="preserve">, as I have direct contact with a confirmed case </w:t>
      </w:r>
    </w:p>
    <w:p w14:paraId="612F2D2A" w14:textId="77777777" w:rsidR="002A5EBA" w:rsidRPr="004D7D60" w:rsidRDefault="002A5EBA" w:rsidP="002A5EBA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>Yes, I know</w:t>
      </w:r>
      <w:r w:rsidR="000C360B" w:rsidRPr="004D7D60">
        <w:rPr>
          <w:rFonts w:ascii="Palatino Linotype" w:hAnsi="Palatino Linotype" w:cs="Tahoma"/>
          <w:lang w:val="en-US"/>
        </w:rPr>
        <w:t xml:space="preserve"> so</w:t>
      </w:r>
      <w:r w:rsidRPr="004D7D60">
        <w:rPr>
          <w:rFonts w:ascii="Palatino Linotype" w:hAnsi="Palatino Linotype" w:cs="Tahoma"/>
          <w:lang w:val="en-US"/>
        </w:rPr>
        <w:t>, as I am a confirmed case</w:t>
      </w:r>
    </w:p>
    <w:p w14:paraId="69E48D4E" w14:textId="77777777" w:rsidR="002A5EBA" w:rsidRPr="004D7D60" w:rsidRDefault="002A5EBA" w:rsidP="002A5EBA">
      <w:pPr>
        <w:spacing w:after="0" w:line="360" w:lineRule="auto"/>
        <w:rPr>
          <w:rFonts w:ascii="Palatino Linotype" w:hAnsi="Palatino Linotype" w:cs="Tahoma"/>
          <w:lang w:val="en-US"/>
        </w:rPr>
      </w:pPr>
      <w:r w:rsidRPr="004D7D60">
        <w:rPr>
          <w:rFonts w:ascii="Palatino Linotype" w:hAnsi="Palatino Linotype" w:cs="Tahoma"/>
          <w:lang w:val="en-US"/>
        </w:rPr>
        <w:t>Based on th</w:t>
      </w:r>
      <w:r w:rsidR="000C360B" w:rsidRPr="004D7D60">
        <w:rPr>
          <w:rFonts w:ascii="Palatino Linotype" w:hAnsi="Palatino Linotype" w:cs="Tahoma"/>
          <w:lang w:val="en-US"/>
        </w:rPr>
        <w:t>e</w:t>
      </w:r>
      <w:r w:rsidRPr="004D7D60">
        <w:rPr>
          <w:rFonts w:ascii="Palatino Linotype" w:hAnsi="Palatino Linotype" w:cs="Tahoma"/>
          <w:lang w:val="en-US"/>
        </w:rPr>
        <w:t xml:space="preserve"> answer </w:t>
      </w:r>
      <w:r w:rsidR="000C360B" w:rsidRPr="004D7D60">
        <w:rPr>
          <w:rFonts w:ascii="Palatino Linotype" w:hAnsi="Palatino Linotype" w:cs="Tahoma"/>
          <w:lang w:val="en-US"/>
        </w:rPr>
        <w:t xml:space="preserve">to this question </w:t>
      </w:r>
      <w:r w:rsidRPr="004D7D60">
        <w:rPr>
          <w:rFonts w:ascii="Palatino Linotype" w:hAnsi="Palatino Linotype" w:cs="Tahoma"/>
          <w:lang w:val="en-US"/>
        </w:rPr>
        <w:t>we created two groups</w:t>
      </w:r>
      <w:r w:rsidR="000C360B" w:rsidRPr="004D7D60">
        <w:rPr>
          <w:rFonts w:ascii="Palatino Linotype" w:hAnsi="Palatino Linotype" w:cs="Tahoma"/>
          <w:lang w:val="en-US"/>
        </w:rPr>
        <w:t>:</w:t>
      </w:r>
      <w:r w:rsidRPr="004D7D60">
        <w:rPr>
          <w:rFonts w:ascii="Palatino Linotype" w:hAnsi="Palatino Linotype" w:cs="Tahoma"/>
          <w:lang w:val="en-US"/>
        </w:rPr>
        <w:t xml:space="preserve"> those who indicated </w:t>
      </w:r>
      <w:r w:rsidR="000C360B" w:rsidRPr="004D7D60">
        <w:rPr>
          <w:rFonts w:ascii="Palatino Linotype" w:hAnsi="Palatino Linotype" w:cs="Tahoma"/>
          <w:lang w:val="en-US"/>
        </w:rPr>
        <w:t>they</w:t>
      </w:r>
      <w:r w:rsidR="003B13DC" w:rsidRPr="004D7D60">
        <w:rPr>
          <w:rFonts w:ascii="Palatino Linotype" w:hAnsi="Palatino Linotype" w:cs="Tahoma"/>
          <w:lang w:val="en-US"/>
        </w:rPr>
        <w:t xml:space="preserve"> are</w:t>
      </w:r>
      <w:r w:rsidR="000C360B" w:rsidRPr="004D7D60">
        <w:rPr>
          <w:rFonts w:ascii="Palatino Linotype" w:hAnsi="Palatino Linotype" w:cs="Tahoma"/>
          <w:lang w:val="en-US"/>
        </w:rPr>
        <w:t xml:space="preserve"> </w:t>
      </w:r>
      <w:r w:rsidRPr="004D7D60">
        <w:rPr>
          <w:rFonts w:ascii="Palatino Linotype" w:hAnsi="Palatino Linotype" w:cs="Tahoma"/>
          <w:lang w:val="en-US"/>
        </w:rPr>
        <w:t>not</w:t>
      </w:r>
      <w:r w:rsidR="000C360B" w:rsidRPr="004D7D60">
        <w:rPr>
          <w:rFonts w:ascii="Palatino Linotype" w:hAnsi="Palatino Linotype" w:cs="Tahoma"/>
          <w:lang w:val="en-US"/>
        </w:rPr>
        <w:t xml:space="preserve"> likely</w:t>
      </w:r>
      <w:r w:rsidRPr="004D7D60">
        <w:rPr>
          <w:rFonts w:ascii="Palatino Linotype" w:hAnsi="Palatino Linotype" w:cs="Tahoma"/>
          <w:lang w:val="en-US"/>
        </w:rPr>
        <w:t xml:space="preserve"> to be infected with </w:t>
      </w:r>
      <w:r w:rsidR="000C360B" w:rsidRPr="004D7D60">
        <w:rPr>
          <w:rFonts w:ascii="Palatino Linotype" w:hAnsi="Palatino Linotype" w:cs="Tahoma"/>
          <w:lang w:val="en-US"/>
        </w:rPr>
        <w:t>SARS-CoV-2</w:t>
      </w:r>
      <w:r w:rsidRPr="004D7D60">
        <w:rPr>
          <w:rFonts w:ascii="Palatino Linotype" w:hAnsi="Palatino Linotype" w:cs="Tahoma"/>
          <w:lang w:val="en-US"/>
        </w:rPr>
        <w:t xml:space="preserve"> (</w:t>
      </w:r>
      <w:r w:rsidR="000C360B" w:rsidRPr="004D7D60">
        <w:rPr>
          <w:rFonts w:ascii="Palatino Linotype" w:hAnsi="Palatino Linotype" w:cs="Tahoma"/>
          <w:lang w:val="en-US"/>
        </w:rPr>
        <w:t xml:space="preserve">i.e., </w:t>
      </w:r>
      <w:r w:rsidRPr="004D7D60">
        <w:rPr>
          <w:rFonts w:ascii="Palatino Linotype" w:hAnsi="Palatino Linotype" w:cs="Tahoma"/>
          <w:lang w:val="en-US"/>
        </w:rPr>
        <w:t>answer</w:t>
      </w:r>
      <w:r w:rsidR="000C360B" w:rsidRPr="004D7D60">
        <w:rPr>
          <w:rFonts w:ascii="Palatino Linotype" w:hAnsi="Palatino Linotype" w:cs="Tahoma"/>
          <w:lang w:val="en-US"/>
        </w:rPr>
        <w:t>ed</w:t>
      </w:r>
      <w:r w:rsidRPr="004D7D60">
        <w:rPr>
          <w:rFonts w:ascii="Palatino Linotype" w:hAnsi="Palatino Linotype" w:cs="Tahoma"/>
          <w:lang w:val="en-US"/>
        </w:rPr>
        <w:t xml:space="preserve"> a</w:t>
      </w:r>
      <w:r w:rsidR="000C360B" w:rsidRPr="004D7D60">
        <w:rPr>
          <w:rFonts w:ascii="Palatino Linotype" w:hAnsi="Palatino Linotype" w:cs="Tahoma"/>
          <w:lang w:val="en-US"/>
        </w:rPr>
        <w:t>)</w:t>
      </w:r>
      <w:r w:rsidRPr="004D7D60">
        <w:rPr>
          <w:rFonts w:ascii="Palatino Linotype" w:hAnsi="Palatino Linotype" w:cs="Tahoma"/>
          <w:lang w:val="en-US"/>
        </w:rPr>
        <w:t>)</w:t>
      </w:r>
      <w:r w:rsidR="000C360B" w:rsidRPr="004D7D60">
        <w:rPr>
          <w:rFonts w:ascii="Palatino Linotype" w:hAnsi="Palatino Linotype" w:cs="Tahoma"/>
          <w:lang w:val="en-US"/>
        </w:rPr>
        <w:t>,</w:t>
      </w:r>
      <w:r w:rsidRPr="004D7D60">
        <w:rPr>
          <w:rFonts w:ascii="Palatino Linotype" w:hAnsi="Palatino Linotype" w:cs="Tahoma"/>
          <w:lang w:val="en-US"/>
        </w:rPr>
        <w:t xml:space="preserve"> and those who indicated </w:t>
      </w:r>
      <w:r w:rsidR="000C360B" w:rsidRPr="004D7D60">
        <w:rPr>
          <w:rFonts w:ascii="Palatino Linotype" w:hAnsi="Palatino Linotype" w:cs="Tahoma"/>
          <w:lang w:val="en-US"/>
        </w:rPr>
        <w:t>they are</w:t>
      </w:r>
      <w:r w:rsidRPr="004D7D60">
        <w:rPr>
          <w:rFonts w:ascii="Palatino Linotype" w:hAnsi="Palatino Linotype" w:cs="Tahoma"/>
          <w:lang w:val="en-US"/>
        </w:rPr>
        <w:t xml:space="preserve"> likely</w:t>
      </w:r>
      <w:r w:rsidR="000C360B" w:rsidRPr="004D7D60">
        <w:rPr>
          <w:rFonts w:ascii="Palatino Linotype" w:hAnsi="Palatino Linotype" w:cs="Tahoma"/>
          <w:lang w:val="en-US"/>
        </w:rPr>
        <w:t xml:space="preserve"> to be</w:t>
      </w:r>
      <w:r w:rsidRPr="004D7D60">
        <w:rPr>
          <w:rFonts w:ascii="Palatino Linotype" w:hAnsi="Palatino Linotype" w:cs="Tahoma"/>
          <w:lang w:val="en-US"/>
        </w:rPr>
        <w:t xml:space="preserve"> infected with </w:t>
      </w:r>
      <w:r w:rsidR="000C360B" w:rsidRPr="004D7D60">
        <w:rPr>
          <w:rFonts w:ascii="Palatino Linotype" w:hAnsi="Palatino Linotype" w:cs="Tahoma"/>
          <w:lang w:val="en-US"/>
        </w:rPr>
        <w:t>SARS-CoV-2</w:t>
      </w:r>
      <w:r w:rsidRPr="004D7D60">
        <w:rPr>
          <w:rFonts w:ascii="Palatino Linotype" w:hAnsi="Palatino Linotype" w:cs="Tahoma"/>
          <w:lang w:val="en-US"/>
        </w:rPr>
        <w:t xml:space="preserve"> (</w:t>
      </w:r>
      <w:r w:rsidR="000C360B" w:rsidRPr="004D7D60">
        <w:rPr>
          <w:rFonts w:ascii="Palatino Linotype" w:hAnsi="Palatino Linotype" w:cs="Tahoma"/>
          <w:lang w:val="en-US"/>
        </w:rPr>
        <w:t xml:space="preserve">i.e., </w:t>
      </w:r>
      <w:r w:rsidRPr="004D7D60">
        <w:rPr>
          <w:rFonts w:ascii="Palatino Linotype" w:hAnsi="Palatino Linotype" w:cs="Tahoma"/>
          <w:lang w:val="en-US"/>
        </w:rPr>
        <w:t>answered d</w:t>
      </w:r>
      <w:r w:rsidR="000C360B" w:rsidRPr="004D7D60">
        <w:rPr>
          <w:rFonts w:ascii="Palatino Linotype" w:hAnsi="Palatino Linotype" w:cs="Tahoma"/>
          <w:lang w:val="en-US"/>
        </w:rPr>
        <w:t>)</w:t>
      </w:r>
      <w:r w:rsidRPr="004D7D60">
        <w:rPr>
          <w:rFonts w:ascii="Palatino Linotype" w:hAnsi="Palatino Linotype" w:cs="Tahoma"/>
          <w:lang w:val="en-US"/>
        </w:rPr>
        <w:t>, e</w:t>
      </w:r>
      <w:r w:rsidR="000C360B" w:rsidRPr="004D7D60">
        <w:rPr>
          <w:rFonts w:ascii="Palatino Linotype" w:hAnsi="Palatino Linotype" w:cs="Tahoma"/>
          <w:lang w:val="en-US"/>
        </w:rPr>
        <w:t>)</w:t>
      </w:r>
      <w:r w:rsidRPr="004D7D60">
        <w:rPr>
          <w:rFonts w:ascii="Palatino Linotype" w:hAnsi="Palatino Linotype" w:cs="Tahoma"/>
          <w:lang w:val="en-US"/>
        </w:rPr>
        <w:t xml:space="preserve"> or f</w:t>
      </w:r>
      <w:r w:rsidR="000C360B" w:rsidRPr="004D7D60">
        <w:rPr>
          <w:rFonts w:ascii="Palatino Linotype" w:hAnsi="Palatino Linotype" w:cs="Tahoma"/>
          <w:lang w:val="en-US"/>
        </w:rPr>
        <w:t>)</w:t>
      </w:r>
      <w:r w:rsidRPr="004D7D60">
        <w:rPr>
          <w:rFonts w:ascii="Palatino Linotype" w:hAnsi="Palatino Linotype" w:cs="Tahoma"/>
          <w:lang w:val="en-US"/>
        </w:rPr>
        <w:t xml:space="preserve">). The decision tree </w:t>
      </w:r>
      <w:r w:rsidR="000C360B" w:rsidRPr="004D7D60">
        <w:rPr>
          <w:rFonts w:ascii="Palatino Linotype" w:hAnsi="Palatino Linotype" w:cs="Tahoma"/>
          <w:lang w:val="en-US"/>
        </w:rPr>
        <w:t xml:space="preserve">method </w:t>
      </w:r>
      <w:r w:rsidRPr="004D7D60">
        <w:rPr>
          <w:rFonts w:ascii="Palatino Linotype" w:hAnsi="Palatino Linotype" w:cs="Tahoma"/>
          <w:lang w:val="en-US"/>
        </w:rPr>
        <w:t xml:space="preserve">identified combinations of symptoms </w:t>
      </w:r>
      <w:r w:rsidR="000C360B" w:rsidRPr="004D7D60">
        <w:rPr>
          <w:rFonts w:ascii="Palatino Linotype" w:hAnsi="Palatino Linotype" w:cs="Tahoma"/>
          <w:lang w:val="en-US"/>
        </w:rPr>
        <w:t>that</w:t>
      </w:r>
      <w:r w:rsidRPr="004D7D60">
        <w:rPr>
          <w:rFonts w:ascii="Palatino Linotype" w:hAnsi="Palatino Linotype" w:cs="Tahoma"/>
          <w:lang w:val="en-US"/>
        </w:rPr>
        <w:t xml:space="preserve"> could</w:t>
      </w:r>
      <w:r w:rsidR="000C360B" w:rsidRPr="004D7D60">
        <w:rPr>
          <w:rFonts w:ascii="Palatino Linotype" w:hAnsi="Palatino Linotype" w:cs="Tahoma"/>
          <w:lang w:val="en-US"/>
        </w:rPr>
        <w:t xml:space="preserve"> best</w:t>
      </w:r>
      <w:r w:rsidRPr="004D7D60">
        <w:rPr>
          <w:rFonts w:ascii="Palatino Linotype" w:hAnsi="Palatino Linotype" w:cs="Tahoma"/>
          <w:lang w:val="en-US"/>
        </w:rPr>
        <w:t xml:space="preserve"> differentiate these two groups. We </w:t>
      </w:r>
      <w:r w:rsidR="000C360B" w:rsidRPr="004D7D60">
        <w:rPr>
          <w:rFonts w:ascii="Palatino Linotype" w:hAnsi="Palatino Linotype" w:cs="Tahoma"/>
          <w:lang w:val="en-US"/>
        </w:rPr>
        <w:t xml:space="preserve">then </w:t>
      </w:r>
      <w:r w:rsidRPr="004D7D60">
        <w:rPr>
          <w:rFonts w:ascii="Palatino Linotype" w:hAnsi="Palatino Linotype" w:cs="Tahoma"/>
          <w:lang w:val="en-US"/>
        </w:rPr>
        <w:t xml:space="preserve">selected three combinations </w:t>
      </w:r>
      <w:r w:rsidR="000C360B" w:rsidRPr="004D7D60">
        <w:rPr>
          <w:rFonts w:ascii="Palatino Linotype" w:hAnsi="Palatino Linotype" w:cs="Tahoma"/>
          <w:lang w:val="en-US"/>
        </w:rPr>
        <w:t>that</w:t>
      </w:r>
      <w:r w:rsidRPr="004D7D60">
        <w:rPr>
          <w:rFonts w:ascii="Palatino Linotype" w:hAnsi="Palatino Linotype" w:cs="Tahoma"/>
          <w:lang w:val="en-US"/>
        </w:rPr>
        <w:t xml:space="preserve"> achieve</w:t>
      </w:r>
      <w:r w:rsidR="000C360B" w:rsidRPr="004D7D60">
        <w:rPr>
          <w:rFonts w:ascii="Palatino Linotype" w:hAnsi="Palatino Linotype" w:cs="Tahoma"/>
          <w:lang w:val="en-US"/>
        </w:rPr>
        <w:t>d</w:t>
      </w:r>
      <w:r w:rsidRPr="004D7D60">
        <w:rPr>
          <w:rFonts w:ascii="Palatino Linotype" w:hAnsi="Palatino Linotype" w:cs="Tahoma"/>
          <w:lang w:val="en-US"/>
        </w:rPr>
        <w:t xml:space="preserve"> good specificity and sensitivity, using answer f</w:t>
      </w:r>
      <w:r w:rsidR="000C360B" w:rsidRPr="004D7D60">
        <w:rPr>
          <w:rFonts w:ascii="Palatino Linotype" w:hAnsi="Palatino Linotype" w:cs="Tahoma"/>
          <w:lang w:val="en-US"/>
        </w:rPr>
        <w:t>)</w:t>
      </w:r>
      <w:r w:rsidRPr="004D7D60">
        <w:rPr>
          <w:rFonts w:ascii="Palatino Linotype" w:hAnsi="Palatino Linotype" w:cs="Tahoma"/>
          <w:lang w:val="en-US"/>
        </w:rPr>
        <w:t xml:space="preserve"> as a reference.</w:t>
      </w:r>
    </w:p>
    <w:p w14:paraId="000DDC81" w14:textId="77777777" w:rsidR="00FB6720" w:rsidRPr="004D7D60" w:rsidRDefault="00FB6720">
      <w:pPr>
        <w:rPr>
          <w:rFonts w:ascii="Palatino Linotype" w:eastAsia="Times New Roman" w:hAnsi="Palatino Linotype" w:cs="Tahoma"/>
          <w:b/>
          <w:lang w:val="en-US" w:eastAsia="nl-NL"/>
        </w:rPr>
      </w:pPr>
      <w:r w:rsidRPr="004D7D60">
        <w:rPr>
          <w:rFonts w:ascii="Palatino Linotype" w:eastAsia="Times New Roman" w:hAnsi="Palatino Linotype" w:cs="Tahoma"/>
          <w:b/>
          <w:lang w:val="en-US" w:eastAsia="nl-NL"/>
        </w:rPr>
        <w:br w:type="page"/>
      </w:r>
    </w:p>
    <w:p w14:paraId="2ED0FB4F" w14:textId="77777777" w:rsidR="006260A8" w:rsidRPr="004D7D60" w:rsidRDefault="00D961DE" w:rsidP="00205AB4">
      <w:pPr>
        <w:spacing w:line="360" w:lineRule="auto"/>
        <w:rPr>
          <w:rFonts w:ascii="Palatino Linotype" w:eastAsia="Times New Roman" w:hAnsi="Palatino Linotype" w:cs="Tahoma"/>
          <w:lang w:val="en-US" w:eastAsia="nl-NL"/>
        </w:rPr>
      </w:pPr>
      <w:r w:rsidRPr="004D7D60">
        <w:rPr>
          <w:rFonts w:ascii="Palatino Linotype" w:eastAsia="Times New Roman" w:hAnsi="Palatino Linotype" w:cs="Tahoma"/>
          <w:b/>
          <w:lang w:val="en-US" w:eastAsia="nl-NL"/>
        </w:rPr>
        <w:lastRenderedPageBreak/>
        <w:t>Table S1.</w:t>
      </w:r>
      <w:r w:rsidRPr="004D7D60">
        <w:rPr>
          <w:rFonts w:ascii="Palatino Linotype" w:eastAsia="Times New Roman" w:hAnsi="Palatino Linotype" w:cs="Tahoma"/>
          <w:lang w:val="en-US" w:eastAsia="nl-NL"/>
        </w:rPr>
        <w:t xml:space="preserve"> Association of patient characteristics and other factors with the incidence of self-reported COVID-1</w:t>
      </w:r>
      <w:r w:rsidR="00386D67" w:rsidRPr="004D7D60">
        <w:rPr>
          <w:rFonts w:ascii="Palatino Linotype" w:eastAsia="Times New Roman" w:hAnsi="Palatino Linotype" w:cs="Tahoma"/>
          <w:lang w:val="en-US" w:eastAsia="nl-NL"/>
        </w:rPr>
        <w:t>9</w:t>
      </w:r>
      <w:r w:rsidR="00386D67" w:rsidRPr="004D7D60">
        <w:rPr>
          <w:rFonts w:ascii="Palatino Linotype" w:eastAsia="Times New Roman" w:hAnsi="Palatino Linotype" w:cs="Tahoma"/>
          <w:bCs/>
          <w:lang w:val="en-US" w:eastAsia="nl-NL"/>
        </w:rPr>
        <w:t>-like illness</w:t>
      </w:r>
      <w:r w:rsidR="00A51C69" w:rsidRPr="004D7D60">
        <w:rPr>
          <w:rFonts w:ascii="Palatino Linotype" w:eastAsia="Times New Roman" w:hAnsi="Palatino Linotype" w:cs="Tahoma"/>
          <w:bCs/>
          <w:lang w:val="en-US" w:eastAsia="nl-NL"/>
        </w:rPr>
        <w:t xml:space="preserve"> using the 'more specific' case definition</w:t>
      </w:r>
      <w:r w:rsidRPr="004D7D60">
        <w:rPr>
          <w:rFonts w:ascii="Palatino Linotype" w:eastAsia="Times New Roman" w:hAnsi="Palatino Linotype" w:cs="Tahoma"/>
          <w:lang w:val="en-US" w:eastAsia="nl-NL"/>
        </w:rPr>
        <w:t>.</w:t>
      </w:r>
      <w:r w:rsidR="006260A8" w:rsidRPr="004D7D60">
        <w:rPr>
          <w:rFonts w:ascii="Palatino Linotype" w:eastAsia="Times New Roman" w:hAnsi="Palatino Linotype" w:cs="Tahoma"/>
          <w:lang w:val="en-US" w:eastAsia="nl-NL"/>
        </w:rPr>
        <w:t xml:space="preserve"> The numerator</w:t>
      </w:r>
      <w:r w:rsidR="006260A8" w:rsidRPr="004D7D60">
        <w:rPr>
          <w:rFonts w:ascii="Palatino Linotype" w:eastAsia="Times New Roman" w:hAnsi="Palatino Linotype" w:cs="Tahoma"/>
          <w:i/>
          <w:lang w:val="en-US" w:eastAsia="nl-NL"/>
        </w:rPr>
        <w:t xml:space="preserve"> (n)</w:t>
      </w:r>
      <w:r w:rsidR="006260A8" w:rsidRPr="004D7D60">
        <w:rPr>
          <w:rFonts w:ascii="Palatino Linotype" w:eastAsia="Times New Roman" w:hAnsi="Palatino Linotype" w:cs="Tahoma"/>
          <w:lang w:val="en-US" w:eastAsia="nl-NL"/>
        </w:rPr>
        <w:t xml:space="preserve"> for the incidence rate (per 1,000 person-weeks) is the number of self-reported episodes of symptoms matching the case definition.</w:t>
      </w:r>
    </w:p>
    <w:p w14:paraId="2245D341" w14:textId="77777777" w:rsidR="00C249B8" w:rsidRPr="004D7D60" w:rsidRDefault="00C249B8" w:rsidP="00205AB4">
      <w:pPr>
        <w:spacing w:line="360" w:lineRule="auto"/>
        <w:rPr>
          <w:rFonts w:ascii="Tahoma" w:eastAsia="Times New Roman" w:hAnsi="Tahoma" w:cs="Tahoma"/>
          <w:lang w:val="en-US" w:eastAsia="nl-NL"/>
        </w:rPr>
      </w:pPr>
    </w:p>
    <w:tbl>
      <w:tblPr>
        <w:tblW w:w="90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757"/>
        <w:gridCol w:w="944"/>
        <w:gridCol w:w="1134"/>
        <w:gridCol w:w="1276"/>
        <w:gridCol w:w="709"/>
        <w:gridCol w:w="1559"/>
        <w:gridCol w:w="936"/>
      </w:tblGrid>
      <w:tr w:rsidR="004D7D60" w:rsidRPr="004D7D60" w14:paraId="517AD63F" w14:textId="77777777" w:rsidTr="00051CA1">
        <w:trPr>
          <w:trHeight w:val="349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625A6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Factor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14:paraId="2B9F449F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n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14:paraId="18185038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Person-weeks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14:paraId="77CA409E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Incidence rate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14:paraId="251DEA28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Unadjusted</w:t>
            </w:r>
          </w:p>
          <w:p w14:paraId="07ACC4A5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Rate Ratio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</w:tcPr>
          <w:p w14:paraId="0A00A5B1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95% CI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1302C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Adjusted Rate Ratio*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1DCA7" w14:textId="77777777" w:rsidR="00A32DA5" w:rsidRPr="004D7D60" w:rsidRDefault="00A32DA5" w:rsidP="00871F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95% CI</w:t>
            </w:r>
          </w:p>
        </w:tc>
      </w:tr>
      <w:tr w:rsidR="004D7D60" w:rsidRPr="004D7D60" w14:paraId="31964650" w14:textId="77777777" w:rsidTr="00051CA1">
        <w:trPr>
          <w:trHeight w:val="23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A181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(All)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DEB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1118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49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134032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0A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51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54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8995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E70B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 xml:space="preserve">-- </w:t>
            </w:r>
          </w:p>
        </w:tc>
      </w:tr>
      <w:tr w:rsidR="004D7D60" w:rsidRPr="004D7D60" w14:paraId="144811FB" w14:textId="77777777" w:rsidTr="00051CA1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4493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  <w:t>Sex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1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2EE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37E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BB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B7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FFBC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A4AE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</w:tr>
      <w:tr w:rsidR="004D7D60" w:rsidRPr="004D7D60" w14:paraId="15CA411B" w14:textId="77777777" w:rsidTr="00051CA1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6750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Male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13F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339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27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53475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AD0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37D" w14:textId="77777777" w:rsidR="00A32DA5" w:rsidRPr="004D7D60" w:rsidRDefault="00051CA1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A01" w14:textId="77777777" w:rsidR="00A32DA5" w:rsidRPr="004D7D60" w:rsidRDefault="00051CA1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0.58-0.75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44966D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BAA1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0.62-0.81</w:t>
            </w:r>
          </w:p>
        </w:tc>
      </w:tr>
      <w:tr w:rsidR="004D7D60" w:rsidRPr="004D7D60" w14:paraId="5C180E22" w14:textId="77777777" w:rsidTr="00051CA1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0543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Female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BC2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779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3B0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80557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B2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971" w14:textId="77777777" w:rsidR="00A32DA5" w:rsidRPr="004D7D60" w:rsidRDefault="00051CA1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6C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B62AA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Ref.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E9C8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 xml:space="preserve">-- </w:t>
            </w:r>
          </w:p>
        </w:tc>
      </w:tr>
      <w:tr w:rsidR="004D7D60" w:rsidRPr="004D7D60" w14:paraId="6FAB110B" w14:textId="77777777" w:rsidTr="00051CA1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E30A7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  <w:t>Age-group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4D9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911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12A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2C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D8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A29AA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6D3C3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</w:tr>
      <w:tr w:rsidR="004D7D60" w:rsidRPr="004D7D60" w14:paraId="236AE568" w14:textId="77777777" w:rsidTr="00051CA1">
        <w:trPr>
          <w:trHeight w:val="2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9CCE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15-24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A82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7FA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4961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C7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58B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273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0.78-1.43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84E2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0.87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B403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0.64-1.18</w:t>
            </w:r>
          </w:p>
        </w:tc>
      </w:tr>
      <w:tr w:rsidR="004D7D60" w:rsidRPr="004D7D60" w14:paraId="37223C44" w14:textId="77777777" w:rsidTr="00051CA1">
        <w:trPr>
          <w:trHeight w:val="26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F8A7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25-34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EBB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243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9D1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24562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DAB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449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FE6" w14:textId="77777777" w:rsidR="009E09D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0.85-1.19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7BA0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97A3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0.85-1.21</w:t>
            </w:r>
          </w:p>
        </w:tc>
      </w:tr>
      <w:tr w:rsidR="004D7D60" w:rsidRPr="004D7D60" w14:paraId="7887790E" w14:textId="77777777" w:rsidTr="00051CA1">
        <w:trPr>
          <w:trHeight w:val="25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EBD9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35-44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2F3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304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16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31398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0C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D4D" w14:textId="77777777" w:rsidR="00A32DA5" w:rsidRPr="004D7D60" w:rsidRDefault="00051CA1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FD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FF87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Ref.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B9C4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 xml:space="preserve">-- </w:t>
            </w:r>
          </w:p>
        </w:tc>
      </w:tr>
      <w:tr w:rsidR="004D7D60" w:rsidRPr="004D7D60" w14:paraId="4E6F99BF" w14:textId="77777777" w:rsidTr="00051CA1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BF48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45-54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2B1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293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FC7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30748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58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799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F93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0.84-1.16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D542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1A33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0.78-1.10</w:t>
            </w:r>
          </w:p>
        </w:tc>
      </w:tr>
      <w:tr w:rsidR="004D7D60" w:rsidRPr="004D7D60" w14:paraId="54A7A684" w14:textId="77777777" w:rsidTr="00051CA1">
        <w:trPr>
          <w:trHeight w:val="1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A1EA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55-64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1C6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207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25218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6F2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FDB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536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0.45-0.82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FEDC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0.61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30C3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0.50-0.74</w:t>
            </w:r>
          </w:p>
        </w:tc>
      </w:tr>
      <w:tr w:rsidR="004D7D60" w:rsidRPr="004D7D60" w14:paraId="56210BAA" w14:textId="77777777" w:rsidTr="00051CA1">
        <w:trPr>
          <w:trHeight w:val="21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BF35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 xml:space="preserve">  65+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2A5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232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17145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3C1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AC6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08A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0.26-0.47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8AA5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B3D7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0.23-0.42</w:t>
            </w:r>
          </w:p>
        </w:tc>
      </w:tr>
      <w:tr w:rsidR="004D7D60" w:rsidRPr="004D7D60" w14:paraId="0EFA948C" w14:textId="77777777" w:rsidTr="00051CA1">
        <w:trPr>
          <w:trHeight w:val="2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C95D0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kern w:val="24"/>
                <w:sz w:val="20"/>
                <w:szCs w:val="18"/>
                <w:lang w:val="en-US" w:eastAsia="nl-NL"/>
              </w:rPr>
              <w:t>Education level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74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DAC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ECC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CE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CA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9BEA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40F4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</w:tr>
      <w:tr w:rsidR="004D7D60" w:rsidRPr="004D7D60" w14:paraId="39C75FA6" w14:textId="77777777" w:rsidTr="00051CA1">
        <w:trPr>
          <w:trHeight w:val="2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1877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None/lower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BA7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59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4802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007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EF8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A3D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0.95-1.65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6BE3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B94C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0.87-1.51</w:t>
            </w:r>
          </w:p>
        </w:tc>
      </w:tr>
      <w:tr w:rsidR="004D7D60" w:rsidRPr="004D7D60" w14:paraId="38236129" w14:textId="77777777" w:rsidTr="00051CA1">
        <w:trPr>
          <w:trHeight w:val="2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D367A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Middle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1A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0FA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7348" w14:textId="77777777" w:rsidR="00A32DA5" w:rsidRPr="004D7D60" w:rsidRDefault="00A32DA5" w:rsidP="00D003F6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4D7D60">
              <w:rPr>
                <w:rFonts w:ascii="Tahoma" w:hAnsi="Tahoma" w:cs="Tahoma"/>
                <w:sz w:val="20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AC6" w14:textId="77777777" w:rsidR="00A32DA5" w:rsidRPr="004D7D60" w:rsidRDefault="00051CA1" w:rsidP="00D003F6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Ref.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1EA" w14:textId="77777777" w:rsidR="00A32DA5" w:rsidRPr="004D7D60" w:rsidRDefault="00A32DA5" w:rsidP="00D003F6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3F51A" w14:textId="77777777" w:rsidR="00A32DA5" w:rsidRPr="004D7D60" w:rsidRDefault="00A32DA5" w:rsidP="00D003F6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4D7D60">
              <w:rPr>
                <w:rFonts w:ascii="Tahoma" w:hAnsi="Tahoma" w:cs="Tahoma"/>
                <w:sz w:val="20"/>
                <w:szCs w:val="18"/>
              </w:rPr>
              <w:t>Ref.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ED37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 xml:space="preserve">-- </w:t>
            </w:r>
          </w:p>
        </w:tc>
      </w:tr>
      <w:tr w:rsidR="004D7D60" w:rsidRPr="004D7D60" w14:paraId="166AE23C" w14:textId="77777777" w:rsidTr="00051CA1">
        <w:trPr>
          <w:trHeight w:val="2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32F1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Higher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A2D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7F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78225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540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9D3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704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0.57-0.73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B833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6C39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0.60-0.78</w:t>
            </w:r>
          </w:p>
        </w:tc>
      </w:tr>
      <w:tr w:rsidR="004D7D60" w:rsidRPr="004D7D60" w14:paraId="3A775D62" w14:textId="77777777" w:rsidTr="00051CA1">
        <w:trPr>
          <w:trHeight w:val="24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5D1D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Ever smoker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02B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241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B3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19549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75C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551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C93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1.37-1.84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CCFD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DA53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1.11-1.50</w:t>
            </w:r>
          </w:p>
        </w:tc>
      </w:tr>
      <w:tr w:rsidR="004D7D60" w:rsidRPr="004D7D60" w14:paraId="4409D37A" w14:textId="77777777" w:rsidTr="00051CA1">
        <w:trPr>
          <w:trHeight w:val="25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659DD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Asthma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1DE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7C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9308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23E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D7B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35B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2.85-3.84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8349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5AF1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2.09-2.89</w:t>
            </w:r>
          </w:p>
        </w:tc>
      </w:tr>
      <w:tr w:rsidR="004D7D60" w:rsidRPr="004D7D60" w14:paraId="0D1DD031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2C0E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Allergy(s)/hay fever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C9C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431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48006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BB1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DBB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BFF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1.44-1.83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9400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AA7A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1.13-1.45</w:t>
            </w:r>
          </w:p>
        </w:tc>
      </w:tr>
      <w:tr w:rsidR="004D7D60" w:rsidRPr="004D7D60" w14:paraId="1C7ACEA1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88F3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Diabetes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94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A3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4B5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241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5CC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0.87-1.73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094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F4129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0.96-1.92</w:t>
            </w:r>
          </w:p>
        </w:tc>
      </w:tr>
      <w:tr w:rsidR="004D7D60" w:rsidRPr="004D7D60" w14:paraId="6287E4D2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5B5C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lastRenderedPageBreak/>
              <w:t>Chronic lung disease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65F8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B58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576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EA6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DE5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2.07-3.57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AE9C5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7118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1.62-2.90</w:t>
            </w:r>
          </w:p>
        </w:tc>
      </w:tr>
      <w:tr w:rsidR="004D7D60" w:rsidRPr="004D7D60" w14:paraId="61FC6F4F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622D79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Cardiovascular disease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4F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631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7759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61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8CE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A62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1.49-2.21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A209A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2.36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1AFA7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1.91-2.93</w:t>
            </w:r>
          </w:p>
        </w:tc>
      </w:tr>
      <w:tr w:rsidR="004D7D60" w:rsidRPr="004D7D60" w14:paraId="1CF9309B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71B24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1+ children &lt;5 years in household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0E1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81CA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19061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D2B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999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74C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0.91-1.26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CF16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4D482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0.89-1.26</w:t>
            </w:r>
          </w:p>
        </w:tc>
      </w:tr>
      <w:tr w:rsidR="00051CA1" w:rsidRPr="004D7D60" w14:paraId="09C64469" w14:textId="77777777" w:rsidTr="00051CA1">
        <w:trPr>
          <w:trHeight w:val="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A78B0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kern w:val="24"/>
                <w:sz w:val="20"/>
                <w:szCs w:val="18"/>
                <w:lang w:val="en-US" w:eastAsia="nl-NL"/>
              </w:rPr>
              <w:t>1+ children 5-18 years in household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AB43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851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136F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111747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9151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456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75F" w14:textId="77777777" w:rsidR="00A32DA5" w:rsidRPr="004D7D60" w:rsidRDefault="009E09D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0.56-0.74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6625E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1.13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8753C" w14:textId="77777777" w:rsidR="00A32DA5" w:rsidRPr="004D7D60" w:rsidRDefault="00A32DA5" w:rsidP="00D003F6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0.96-1.33</w:t>
            </w:r>
          </w:p>
        </w:tc>
      </w:tr>
    </w:tbl>
    <w:p w14:paraId="163B19CF" w14:textId="77777777" w:rsidR="00215274" w:rsidRPr="004D7D60" w:rsidRDefault="00215274" w:rsidP="00215274">
      <w:pPr>
        <w:spacing w:after="0" w:line="240" w:lineRule="auto"/>
        <w:rPr>
          <w:rFonts w:ascii="Tahoma" w:eastAsia="Times New Roman" w:hAnsi="Tahoma" w:cs="Tahoma"/>
          <w:sz w:val="12"/>
          <w:szCs w:val="12"/>
          <w:lang w:val="en-US" w:eastAsia="nl-NL"/>
        </w:rPr>
      </w:pPr>
    </w:p>
    <w:p w14:paraId="7459CD5F" w14:textId="77777777" w:rsidR="00215274" w:rsidRPr="004D7D60" w:rsidRDefault="00215274" w:rsidP="00215274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 w:eastAsia="nl-NL"/>
        </w:rPr>
      </w:pPr>
      <w:r w:rsidRPr="004D7D60">
        <w:rPr>
          <w:rFonts w:ascii="Tahoma" w:eastAsia="Times New Roman" w:hAnsi="Tahoma" w:cs="Tahoma"/>
          <w:sz w:val="18"/>
          <w:szCs w:val="18"/>
          <w:lang w:val="en-US" w:eastAsia="nl-NL"/>
        </w:rPr>
        <w:t>* Adjusted for</w:t>
      </w:r>
      <w:r w:rsidR="00DD69BC" w:rsidRPr="004D7D60">
        <w:rPr>
          <w:rFonts w:ascii="Tahoma" w:eastAsia="Times New Roman" w:hAnsi="Tahoma" w:cs="Tahoma"/>
          <w:sz w:val="18"/>
          <w:szCs w:val="18"/>
          <w:lang w:val="en-US" w:eastAsia="nl-NL"/>
        </w:rPr>
        <w:t xml:space="preserve"> all covariates,</w:t>
      </w:r>
      <w:r w:rsidRPr="004D7D60">
        <w:rPr>
          <w:rFonts w:ascii="Tahoma" w:eastAsia="Times New Roman" w:hAnsi="Tahoma" w:cs="Tahoma"/>
          <w:sz w:val="18"/>
          <w:szCs w:val="18"/>
          <w:lang w:val="en-US" w:eastAsia="nl-NL"/>
        </w:rPr>
        <w:t xml:space="preserve"> </w:t>
      </w:r>
      <w:r w:rsidR="00DD69BC" w:rsidRPr="004D7D60">
        <w:rPr>
          <w:rFonts w:ascii="Tahoma" w:eastAsia="Times New Roman" w:hAnsi="Tahoma" w:cs="Tahoma"/>
          <w:sz w:val="18"/>
          <w:szCs w:val="18"/>
          <w:lang w:val="en-US" w:eastAsia="nl-NL"/>
        </w:rPr>
        <w:t>including province of residence (not shown in the Table)</w:t>
      </w:r>
      <w:r w:rsidRPr="004D7D60">
        <w:rPr>
          <w:rFonts w:ascii="Tahoma" w:eastAsia="Times New Roman" w:hAnsi="Tahoma" w:cs="Tahoma"/>
          <w:sz w:val="18"/>
          <w:szCs w:val="18"/>
          <w:lang w:val="en-US" w:eastAsia="nl-NL"/>
        </w:rPr>
        <w:t>. CI = confidence interval</w:t>
      </w:r>
    </w:p>
    <w:p w14:paraId="3428B80A" w14:textId="77777777" w:rsidR="00DE609F" w:rsidRPr="004D7D60" w:rsidRDefault="00DE609F">
      <w:pPr>
        <w:rPr>
          <w:rFonts w:ascii="Tahoma" w:eastAsia="Times New Roman" w:hAnsi="Tahoma" w:cs="Tahoma"/>
          <w:b/>
          <w:lang w:val="en-US" w:eastAsia="nl-NL"/>
        </w:rPr>
      </w:pPr>
      <w:r w:rsidRPr="004D7D60">
        <w:rPr>
          <w:rFonts w:ascii="Tahoma" w:eastAsia="Times New Roman" w:hAnsi="Tahoma" w:cs="Tahoma"/>
          <w:b/>
          <w:lang w:val="en-US" w:eastAsia="nl-NL"/>
        </w:rPr>
        <w:br w:type="page"/>
      </w:r>
    </w:p>
    <w:p w14:paraId="19291B4C" w14:textId="77777777" w:rsidR="00465E01" w:rsidRPr="004D7D60" w:rsidRDefault="00465E01" w:rsidP="00465E01">
      <w:pPr>
        <w:spacing w:after="0" w:line="360" w:lineRule="auto"/>
        <w:rPr>
          <w:rFonts w:ascii="Tahoma" w:eastAsia="Times New Roman" w:hAnsi="Tahoma" w:cs="Tahoma"/>
          <w:lang w:val="en-US" w:eastAsia="nl-NL"/>
        </w:rPr>
      </w:pPr>
      <w:r w:rsidRPr="004D7D60">
        <w:rPr>
          <w:rFonts w:ascii="Tahoma" w:eastAsia="Times New Roman" w:hAnsi="Tahoma" w:cs="Tahoma"/>
          <w:b/>
          <w:lang w:val="en-US" w:eastAsia="nl-NL"/>
        </w:rPr>
        <w:lastRenderedPageBreak/>
        <w:t>Table S2.</w:t>
      </w:r>
      <w:r w:rsidRPr="004D7D60">
        <w:rPr>
          <w:rFonts w:ascii="Tahoma" w:eastAsia="Times New Roman" w:hAnsi="Tahoma" w:cs="Tahoma"/>
          <w:lang w:val="en-US" w:eastAsia="nl-NL"/>
        </w:rPr>
        <w:t xml:space="preserve"> Distribution of self-reported suspected non-COVID cause</w:t>
      </w:r>
      <w:r w:rsidR="006260A8" w:rsidRPr="004D7D60">
        <w:rPr>
          <w:rFonts w:ascii="Tahoma" w:eastAsia="Times New Roman" w:hAnsi="Tahoma" w:cs="Tahoma"/>
          <w:lang w:val="en-US" w:eastAsia="nl-NL"/>
        </w:rPr>
        <w:t xml:space="preserve"> among the</w:t>
      </w:r>
      <w:r w:rsidRPr="004D7D60">
        <w:rPr>
          <w:rFonts w:ascii="Tahoma" w:eastAsia="Times New Roman" w:hAnsi="Tahoma" w:cs="Tahoma"/>
          <w:lang w:val="en-US" w:eastAsia="nl-NL"/>
        </w:rPr>
        <w:t xml:space="preserve"> number of self-reported episodes </w:t>
      </w:r>
      <w:r w:rsidR="006260A8" w:rsidRPr="004D7D60">
        <w:rPr>
          <w:rFonts w:ascii="Tahoma" w:eastAsia="Times New Roman" w:hAnsi="Tahoma" w:cs="Tahoma"/>
          <w:lang w:val="en-US" w:eastAsia="nl-NL"/>
        </w:rPr>
        <w:t>(</w:t>
      </w:r>
      <w:r w:rsidR="002A1445" w:rsidRPr="004D7D60">
        <w:rPr>
          <w:rFonts w:ascii="Tahoma" w:eastAsia="Times New Roman" w:hAnsi="Tahoma" w:cs="Tahoma"/>
          <w:i/>
          <w:lang w:val="en-US" w:eastAsia="nl-NL"/>
        </w:rPr>
        <w:t>N</w:t>
      </w:r>
      <w:r w:rsidR="006260A8" w:rsidRPr="004D7D60">
        <w:rPr>
          <w:rFonts w:ascii="Tahoma" w:eastAsia="Times New Roman" w:hAnsi="Tahoma" w:cs="Tahoma"/>
          <w:lang w:val="en-US" w:eastAsia="nl-NL"/>
        </w:rPr>
        <w:t>) with</w:t>
      </w:r>
      <w:r w:rsidRPr="004D7D60">
        <w:rPr>
          <w:rFonts w:ascii="Tahoma" w:eastAsia="Times New Roman" w:hAnsi="Tahoma" w:cs="Tahoma"/>
          <w:lang w:val="en-US" w:eastAsia="nl-NL"/>
        </w:rPr>
        <w:t xml:space="preserve"> symptoms matching the COVID-19</w:t>
      </w:r>
      <w:r w:rsidRPr="004D7D60">
        <w:rPr>
          <w:rFonts w:ascii="Tahoma" w:eastAsia="Times New Roman" w:hAnsi="Tahoma" w:cs="Tahoma"/>
          <w:bCs/>
          <w:lang w:val="en-US" w:eastAsia="nl-NL"/>
        </w:rPr>
        <w:t>-like illness</w:t>
      </w:r>
      <w:r w:rsidRPr="004D7D60">
        <w:rPr>
          <w:rFonts w:ascii="Tahoma" w:eastAsia="Times New Roman" w:hAnsi="Tahoma" w:cs="Tahoma"/>
          <w:lang w:val="en-US" w:eastAsia="nl-NL"/>
        </w:rPr>
        <w:t xml:space="preserve"> case definition</w:t>
      </w:r>
      <w:r w:rsidR="006260A8" w:rsidRPr="004D7D60">
        <w:rPr>
          <w:rFonts w:ascii="Tahoma" w:eastAsia="Times New Roman" w:hAnsi="Tahoma" w:cs="Tahoma"/>
          <w:lang w:val="en-US" w:eastAsia="nl-NL"/>
        </w:rPr>
        <w:t>.</w:t>
      </w:r>
    </w:p>
    <w:p w14:paraId="5908E6E8" w14:textId="77777777" w:rsidR="00C249B8" w:rsidRPr="004D7D60" w:rsidRDefault="00C249B8" w:rsidP="00465E01">
      <w:pPr>
        <w:spacing w:after="0" w:line="360" w:lineRule="auto"/>
        <w:rPr>
          <w:rFonts w:ascii="Tahoma" w:eastAsia="Times New Roman" w:hAnsi="Tahoma" w:cs="Tahoma"/>
          <w:i/>
          <w:lang w:val="en-US" w:eastAsia="nl-NL"/>
        </w:rPr>
      </w:pPr>
    </w:p>
    <w:p w14:paraId="458F4A3E" w14:textId="77777777" w:rsidR="00465E01" w:rsidRPr="004D7D60" w:rsidRDefault="00465E01" w:rsidP="00465E0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nl-N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3"/>
        <w:gridCol w:w="572"/>
        <w:gridCol w:w="3273"/>
        <w:gridCol w:w="714"/>
        <w:gridCol w:w="708"/>
      </w:tblGrid>
      <w:tr w:rsidR="004D7D60" w:rsidRPr="004D7D60" w14:paraId="3158455E" w14:textId="77777777" w:rsidTr="008137CE">
        <w:trPr>
          <w:trHeight w:val="349"/>
        </w:trPr>
        <w:tc>
          <w:tcPr>
            <w:tcW w:w="32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FFEF2" w14:textId="77777777" w:rsidR="002A1445" w:rsidRPr="004D7D60" w:rsidRDefault="002A1445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Case definition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45C42" w14:textId="77777777" w:rsidR="002A1445" w:rsidRPr="004D7D60" w:rsidRDefault="002A1445" w:rsidP="002A14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i/>
                <w:kern w:val="24"/>
                <w:sz w:val="20"/>
                <w:szCs w:val="18"/>
                <w:lang w:val="en-US" w:eastAsia="nl-NL"/>
              </w:rPr>
              <w:t>N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441B9" w14:textId="77777777" w:rsidR="002A1445" w:rsidRPr="004D7D60" w:rsidRDefault="002A1445" w:rsidP="002A14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Self-reported suspected cause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9FF57" w14:textId="77777777" w:rsidR="002A1445" w:rsidRPr="004D7D60" w:rsidRDefault="002A1445" w:rsidP="002A14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i/>
                <w:kern w:val="24"/>
                <w:sz w:val="20"/>
                <w:szCs w:val="18"/>
                <w:lang w:val="en-US" w:eastAsia="nl-NL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5A217" w14:textId="77777777" w:rsidR="002A1445" w:rsidRPr="004D7D60" w:rsidRDefault="002A1445" w:rsidP="002A14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(%)</w:t>
            </w:r>
          </w:p>
        </w:tc>
      </w:tr>
      <w:tr w:rsidR="004D7D60" w:rsidRPr="004D7D60" w14:paraId="168FE64B" w14:textId="77777777" w:rsidTr="008137CE">
        <w:trPr>
          <w:trHeight w:val="231"/>
        </w:trPr>
        <w:tc>
          <w:tcPr>
            <w:tcW w:w="32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9E81D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Reporting </w:t>
            </w:r>
            <w:proofErr w:type="gramStart"/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>of:</w:t>
            </w:r>
            <w:proofErr w:type="gramEnd"/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fever (≥37.5 C) and/or cough, and at least one other symptom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A6684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7060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BC8D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Non-COVID cause</w:t>
            </w:r>
          </w:p>
        </w:tc>
        <w:tc>
          <w:tcPr>
            <w:tcW w:w="714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3E539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3915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D99BF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55.5</w:t>
            </w:r>
          </w:p>
        </w:tc>
      </w:tr>
      <w:tr w:rsidR="004D7D60" w:rsidRPr="004D7D60" w14:paraId="45617996" w14:textId="77777777" w:rsidTr="008137CE">
        <w:trPr>
          <w:trHeight w:val="231"/>
        </w:trPr>
        <w:tc>
          <w:tcPr>
            <w:tcW w:w="32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27DAD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C12B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5D6A8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COVID-19</w:t>
            </w:r>
          </w:p>
        </w:tc>
        <w:tc>
          <w:tcPr>
            <w:tcW w:w="71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8DA6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370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E6B9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5.2</w:t>
            </w:r>
          </w:p>
        </w:tc>
      </w:tr>
      <w:tr w:rsidR="004D7D60" w:rsidRPr="004D7D60" w14:paraId="45575CA6" w14:textId="77777777" w:rsidTr="008137CE">
        <w:trPr>
          <w:trHeight w:val="231"/>
        </w:trPr>
        <w:tc>
          <w:tcPr>
            <w:tcW w:w="323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23626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434A8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327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4FD9A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Do not know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1DE5B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2575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C01A2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36.5</w:t>
            </w:r>
          </w:p>
        </w:tc>
      </w:tr>
      <w:tr w:rsidR="004D7D60" w:rsidRPr="004D7D60" w14:paraId="59B41A6A" w14:textId="77777777" w:rsidTr="008137CE">
        <w:trPr>
          <w:trHeight w:val="248"/>
        </w:trPr>
        <w:tc>
          <w:tcPr>
            <w:tcW w:w="32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A1A0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'More specific' case definition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8011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1118</w:t>
            </w:r>
          </w:p>
        </w:tc>
        <w:tc>
          <w:tcPr>
            <w:tcW w:w="3273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1CEA3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Non-COVID cause</w:t>
            </w:r>
          </w:p>
        </w:tc>
        <w:tc>
          <w:tcPr>
            <w:tcW w:w="714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1217A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385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E0C20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34.4</w:t>
            </w:r>
          </w:p>
        </w:tc>
      </w:tr>
      <w:tr w:rsidR="004D7D60" w:rsidRPr="004D7D60" w14:paraId="670170C7" w14:textId="77777777" w:rsidTr="008137CE">
        <w:trPr>
          <w:trHeight w:val="248"/>
        </w:trPr>
        <w:tc>
          <w:tcPr>
            <w:tcW w:w="32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638D6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F4BE7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3273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8E98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COVID-19</w:t>
            </w:r>
          </w:p>
        </w:tc>
        <w:tc>
          <w:tcPr>
            <w:tcW w:w="71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E4777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194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8FCC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17.4</w:t>
            </w:r>
          </w:p>
        </w:tc>
      </w:tr>
      <w:tr w:rsidR="008137CE" w:rsidRPr="004D7D60" w14:paraId="3DA462BD" w14:textId="77777777" w:rsidTr="008137CE">
        <w:trPr>
          <w:trHeight w:val="248"/>
        </w:trPr>
        <w:tc>
          <w:tcPr>
            <w:tcW w:w="32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0832C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</w:tc>
        <w:tc>
          <w:tcPr>
            <w:tcW w:w="572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4F2A5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3273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D7E9B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i/>
                <w:kern w:val="24"/>
                <w:sz w:val="20"/>
                <w:szCs w:val="18"/>
                <w:lang w:val="en-US" w:eastAsia="nl-NL"/>
              </w:rPr>
              <w:t>Do not know</w:t>
            </w:r>
          </w:p>
        </w:tc>
        <w:tc>
          <w:tcPr>
            <w:tcW w:w="714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D1E9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783B4" w14:textId="77777777" w:rsidR="008137CE" w:rsidRPr="004D7D60" w:rsidRDefault="008137CE" w:rsidP="002A1445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46.0</w:t>
            </w:r>
          </w:p>
        </w:tc>
      </w:tr>
    </w:tbl>
    <w:p w14:paraId="666CB809" w14:textId="77777777" w:rsidR="00DD69BC" w:rsidRPr="004D7D60" w:rsidRDefault="00DD69BC">
      <w:pPr>
        <w:rPr>
          <w:rFonts w:ascii="Tahoma" w:eastAsia="Times New Roman" w:hAnsi="Tahoma" w:cs="Tahoma"/>
          <w:b/>
          <w:lang w:val="en-US" w:eastAsia="nl-NL"/>
        </w:rPr>
      </w:pPr>
    </w:p>
    <w:p w14:paraId="73DD2721" w14:textId="77777777" w:rsidR="00DD69BC" w:rsidRPr="004D7D60" w:rsidRDefault="00DD69BC">
      <w:pPr>
        <w:rPr>
          <w:rFonts w:ascii="Tahoma" w:eastAsia="Times New Roman" w:hAnsi="Tahoma" w:cs="Tahoma"/>
          <w:b/>
          <w:lang w:val="en-US" w:eastAsia="nl-NL"/>
        </w:rPr>
      </w:pPr>
      <w:r w:rsidRPr="004D7D60">
        <w:rPr>
          <w:rFonts w:ascii="Tahoma" w:eastAsia="Times New Roman" w:hAnsi="Tahoma" w:cs="Tahoma"/>
          <w:b/>
          <w:lang w:val="en-US" w:eastAsia="nl-NL"/>
        </w:rPr>
        <w:br w:type="page"/>
      </w:r>
    </w:p>
    <w:p w14:paraId="0633127B" w14:textId="77777777" w:rsidR="00DD69BC" w:rsidRPr="004D7D60" w:rsidRDefault="00DD69BC" w:rsidP="00DD69BC">
      <w:pPr>
        <w:spacing w:after="0" w:line="360" w:lineRule="auto"/>
        <w:rPr>
          <w:rFonts w:ascii="Tahoma" w:eastAsia="Times New Roman" w:hAnsi="Tahoma" w:cs="Tahoma"/>
          <w:lang w:val="en-US" w:eastAsia="nl-NL"/>
        </w:rPr>
      </w:pPr>
      <w:r w:rsidRPr="004D7D60">
        <w:rPr>
          <w:rFonts w:ascii="Tahoma" w:eastAsia="Times New Roman" w:hAnsi="Tahoma" w:cs="Tahoma"/>
          <w:b/>
          <w:lang w:val="en-US" w:eastAsia="nl-NL"/>
        </w:rPr>
        <w:lastRenderedPageBreak/>
        <w:t>Table S3.</w:t>
      </w:r>
      <w:r w:rsidRPr="004D7D60">
        <w:rPr>
          <w:rFonts w:ascii="Tahoma" w:eastAsia="Times New Roman" w:hAnsi="Tahoma" w:cs="Tahoma"/>
          <w:lang w:val="en-US" w:eastAsia="nl-NL"/>
        </w:rPr>
        <w:t xml:space="preserve"> Distribution of sex, age-group, and education level</w:t>
      </w:r>
      <w:r w:rsidR="00965E55" w:rsidRPr="004D7D60">
        <w:rPr>
          <w:rFonts w:ascii="Tahoma" w:eastAsia="Times New Roman" w:hAnsi="Tahoma" w:cs="Tahoma"/>
          <w:lang w:val="en-US" w:eastAsia="nl-NL"/>
        </w:rPr>
        <w:t xml:space="preserve">, comparing the study population </w:t>
      </w:r>
      <w:r w:rsidR="00F95F3B" w:rsidRPr="004D7D60">
        <w:rPr>
          <w:rFonts w:ascii="Tahoma" w:eastAsia="Times New Roman" w:hAnsi="Tahoma" w:cs="Tahoma"/>
          <w:lang w:val="en-US" w:eastAsia="nl-NL"/>
        </w:rPr>
        <w:t xml:space="preserve">(as shown in Table 1, main article) </w:t>
      </w:r>
      <w:r w:rsidR="00965E55" w:rsidRPr="004D7D60">
        <w:rPr>
          <w:rFonts w:ascii="Tahoma" w:eastAsia="Times New Roman" w:hAnsi="Tahoma" w:cs="Tahoma"/>
          <w:lang w:val="en-US" w:eastAsia="nl-NL"/>
        </w:rPr>
        <w:t>with</w:t>
      </w:r>
      <w:r w:rsidRPr="004D7D60">
        <w:rPr>
          <w:rFonts w:ascii="Tahoma" w:eastAsia="Times New Roman" w:hAnsi="Tahoma" w:cs="Tahoma"/>
          <w:lang w:val="en-US" w:eastAsia="nl-NL"/>
        </w:rPr>
        <w:t xml:space="preserve"> the general population (data</w:t>
      </w:r>
      <w:r w:rsidR="00300DDB" w:rsidRPr="004D7D60">
        <w:rPr>
          <w:rFonts w:ascii="Tahoma" w:eastAsia="Times New Roman" w:hAnsi="Tahoma" w:cs="Tahoma"/>
          <w:lang w:val="en-US" w:eastAsia="nl-NL"/>
        </w:rPr>
        <w:t xml:space="preserve"> for the year 2020</w:t>
      </w:r>
      <w:r w:rsidRPr="004D7D60">
        <w:rPr>
          <w:rFonts w:ascii="Tahoma" w:eastAsia="Times New Roman" w:hAnsi="Tahoma" w:cs="Tahoma"/>
          <w:lang w:val="en-US" w:eastAsia="nl-NL"/>
        </w:rPr>
        <w:t xml:space="preserve"> from Stat</w:t>
      </w:r>
      <w:r w:rsidR="00965E55" w:rsidRPr="004D7D60">
        <w:rPr>
          <w:rFonts w:ascii="Tahoma" w:eastAsia="Times New Roman" w:hAnsi="Tahoma" w:cs="Tahoma"/>
          <w:lang w:val="en-US" w:eastAsia="nl-NL"/>
        </w:rPr>
        <w:t>istics</w:t>
      </w:r>
      <w:r w:rsidRPr="004D7D60">
        <w:rPr>
          <w:rFonts w:ascii="Tahoma" w:eastAsia="Times New Roman" w:hAnsi="Tahoma" w:cs="Tahoma"/>
          <w:lang w:val="en-US" w:eastAsia="nl-NL"/>
        </w:rPr>
        <w:t xml:space="preserve"> Netherlands</w:t>
      </w:r>
      <w:r w:rsidR="00300DDB" w:rsidRPr="004D7D60">
        <w:rPr>
          <w:rFonts w:ascii="Tahoma" w:eastAsia="Times New Roman" w:hAnsi="Tahoma" w:cs="Tahoma"/>
          <w:lang w:val="en-US" w:eastAsia="nl-NL"/>
        </w:rPr>
        <w:t xml:space="preserve"> [1</w:t>
      </w:r>
      <w:r w:rsidR="00235A2D" w:rsidRPr="004D7D60">
        <w:rPr>
          <w:rFonts w:ascii="Tahoma" w:eastAsia="Times New Roman" w:hAnsi="Tahoma" w:cs="Tahoma"/>
          <w:lang w:val="en-US" w:eastAsia="nl-NL"/>
        </w:rPr>
        <w:t>,2</w:t>
      </w:r>
      <w:r w:rsidR="00300DDB" w:rsidRPr="004D7D60">
        <w:rPr>
          <w:rFonts w:ascii="Tahoma" w:eastAsia="Times New Roman" w:hAnsi="Tahoma" w:cs="Tahoma"/>
          <w:lang w:val="en-US" w:eastAsia="nl-NL"/>
        </w:rPr>
        <w:t>]</w:t>
      </w:r>
      <w:r w:rsidRPr="004D7D60">
        <w:rPr>
          <w:rFonts w:ascii="Tahoma" w:eastAsia="Times New Roman" w:hAnsi="Tahoma" w:cs="Tahoma"/>
          <w:lang w:val="en-US" w:eastAsia="nl-NL"/>
        </w:rPr>
        <w:t>).</w:t>
      </w:r>
    </w:p>
    <w:p w14:paraId="7058A4F7" w14:textId="77777777" w:rsidR="00DD69BC" w:rsidRPr="004D7D60" w:rsidRDefault="00DD69BC" w:rsidP="00DD69BC">
      <w:pPr>
        <w:spacing w:after="0" w:line="360" w:lineRule="auto"/>
        <w:rPr>
          <w:rFonts w:ascii="Tahoma" w:eastAsia="Times New Roman" w:hAnsi="Tahoma" w:cs="Tahoma"/>
          <w:i/>
          <w:lang w:val="en-US" w:eastAsia="nl-NL"/>
        </w:rPr>
      </w:pPr>
    </w:p>
    <w:p w14:paraId="13BD7EFC" w14:textId="77777777" w:rsidR="00DD69BC" w:rsidRPr="004D7D60" w:rsidRDefault="00DD69BC" w:rsidP="00DD69B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nl-NL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1"/>
        <w:gridCol w:w="1984"/>
        <w:gridCol w:w="2552"/>
      </w:tblGrid>
      <w:tr w:rsidR="004D7D60" w:rsidRPr="004D7D60" w14:paraId="4AFEFC59" w14:textId="77777777" w:rsidTr="00F21D11">
        <w:trPr>
          <w:trHeight w:val="349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D48B6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i/>
                <w:iCs/>
                <w:kern w:val="24"/>
                <w:sz w:val="20"/>
                <w:szCs w:val="18"/>
                <w:lang w:val="en-US" w:eastAsia="nl-NL"/>
              </w:rPr>
              <w:t>Variable</w:t>
            </w:r>
            <w:r w:rsidRPr="004D7D60">
              <w:rPr>
                <w:rFonts w:ascii="Tahoma" w:eastAsia="Times New Roman" w:hAnsi="Tahoma" w:cs="Tahoma"/>
                <w:b/>
                <w:bCs/>
                <w:i/>
                <w:iCs/>
                <w:kern w:val="24"/>
                <w:sz w:val="20"/>
                <w:szCs w:val="18"/>
                <w:lang w:val="en-US" w:eastAsia="nl-NL"/>
              </w:rPr>
              <w:br/>
              <w:t xml:space="preserve">  </w:t>
            </w: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Group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B4CAD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iCs/>
                <w:kern w:val="24"/>
                <w:sz w:val="20"/>
                <w:szCs w:val="18"/>
                <w:lang w:val="en-US" w:eastAsia="nl-NL"/>
              </w:rPr>
              <w:t>Study population distribution</w:t>
            </w:r>
            <w:r w:rsidR="00F95F3B" w:rsidRPr="004D7D60">
              <w:rPr>
                <w:rFonts w:ascii="Tahoma" w:eastAsia="Times New Roman" w:hAnsi="Tahoma" w:cs="Tahoma"/>
                <w:b/>
                <w:bCs/>
                <w:iCs/>
                <w:kern w:val="24"/>
                <w:sz w:val="20"/>
                <w:szCs w:val="18"/>
                <w:lang w:val="en-US" w:eastAsia="nl-NL"/>
              </w:rPr>
              <w:t xml:space="preserve"> (%)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96B87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>Netherlands population distribution</w:t>
            </w:r>
            <w:r w:rsidR="00F95F3B" w:rsidRPr="004D7D60">
              <w:rPr>
                <w:rFonts w:ascii="Tahoma" w:eastAsia="Times New Roman" w:hAnsi="Tahoma" w:cs="Tahoma"/>
                <w:b/>
                <w:bCs/>
                <w:kern w:val="24"/>
                <w:sz w:val="20"/>
                <w:szCs w:val="18"/>
                <w:lang w:val="en-US" w:eastAsia="nl-NL"/>
              </w:rPr>
              <w:t xml:space="preserve"> (%)</w:t>
            </w:r>
          </w:p>
        </w:tc>
      </w:tr>
      <w:tr w:rsidR="00F21D11" w:rsidRPr="004D7D60" w14:paraId="7096DC3C" w14:textId="77777777" w:rsidTr="00965E55">
        <w:trPr>
          <w:trHeight w:val="3761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3C829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  <w:t>Age-group</w:t>
            </w:r>
          </w:p>
          <w:p w14:paraId="7EC2A0F6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15-24 years</w:t>
            </w:r>
          </w:p>
          <w:p w14:paraId="0BA5F5EE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25-34</w:t>
            </w:r>
          </w:p>
          <w:p w14:paraId="78D868F9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35-44</w:t>
            </w:r>
          </w:p>
          <w:p w14:paraId="21401D88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45-54</w:t>
            </w:r>
          </w:p>
          <w:p w14:paraId="33B9B4A9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55-64</w:t>
            </w:r>
          </w:p>
          <w:p w14:paraId="76549175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65+</w:t>
            </w:r>
          </w:p>
          <w:p w14:paraId="255D1C15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</w:p>
          <w:p w14:paraId="000B1EBC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  <w:t>Sex (15 years and older)</w:t>
            </w:r>
          </w:p>
          <w:p w14:paraId="45A6C240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Male</w:t>
            </w:r>
          </w:p>
          <w:p w14:paraId="2976F4AF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Female</w:t>
            </w:r>
          </w:p>
          <w:p w14:paraId="5395A01C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</w:p>
          <w:p w14:paraId="2E2C3767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i/>
                <w:iCs/>
                <w:sz w:val="20"/>
                <w:szCs w:val="18"/>
                <w:lang w:val="en-US" w:eastAsia="nl-NL"/>
              </w:rPr>
              <w:t>Education level (15 years and older)</w:t>
            </w:r>
          </w:p>
          <w:p w14:paraId="71562D1A" w14:textId="77777777" w:rsidR="00F21D11" w:rsidRPr="004D7D60" w:rsidRDefault="00F21D11" w:rsidP="00F21D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None/</w:t>
            </w:r>
            <w:r w:rsidR="00F95F3B"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>primary</w:t>
            </w:r>
          </w:p>
          <w:p w14:paraId="120D319D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</w:t>
            </w:r>
            <w:r w:rsidR="00F95F3B"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>Middle</w:t>
            </w:r>
          </w:p>
          <w:p w14:paraId="1F350E8E" w14:textId="77777777" w:rsidR="00F95F3B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val="en-US" w:eastAsia="nl-NL"/>
              </w:rPr>
              <w:t xml:space="preserve">  Higher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C321B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  <w:p w14:paraId="249B0B74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4.3</w:t>
            </w:r>
          </w:p>
          <w:p w14:paraId="6B132C37" w14:textId="77777777" w:rsidR="00F95F3B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20.1</w:t>
            </w:r>
          </w:p>
          <w:p w14:paraId="59943A55" w14:textId="77777777" w:rsidR="00F95F3B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24.2</w:t>
            </w:r>
          </w:p>
          <w:p w14:paraId="268EAE90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22.6</w:t>
            </w:r>
          </w:p>
          <w:p w14:paraId="4ACBA26E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17.4</w:t>
            </w:r>
          </w:p>
          <w:p w14:paraId="012320D2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11.4</w:t>
            </w:r>
          </w:p>
          <w:p w14:paraId="3BAEB703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  <w:p w14:paraId="38AFB3B3" w14:textId="77777777" w:rsidR="00F95F3B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  <w:p w14:paraId="478DB584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38.6</w:t>
            </w:r>
          </w:p>
          <w:p w14:paraId="22795A7A" w14:textId="77777777" w:rsidR="00F95F3B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61.4</w:t>
            </w:r>
          </w:p>
          <w:p w14:paraId="2490C5C6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  <w:p w14:paraId="61001365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  <w:p w14:paraId="5AF4FB0E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3.8</w:t>
            </w:r>
          </w:p>
          <w:p w14:paraId="03504179" w14:textId="77777777" w:rsidR="00F21D11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39.0</w:t>
            </w:r>
          </w:p>
          <w:p w14:paraId="38EC7C53" w14:textId="77777777" w:rsidR="00965E55" w:rsidRPr="004D7D60" w:rsidRDefault="00F95F3B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  <w:r w:rsidRPr="004D7D60"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  <w:t>57.3</w:t>
            </w:r>
          </w:p>
          <w:p w14:paraId="636A4CED" w14:textId="77777777" w:rsidR="00965E55" w:rsidRPr="004D7D60" w:rsidRDefault="00965E55" w:rsidP="00411C9A">
            <w:pPr>
              <w:spacing w:after="0" w:line="240" w:lineRule="auto"/>
              <w:rPr>
                <w:rFonts w:ascii="Tahoma" w:eastAsia="Times New Roman" w:hAnsi="Tahoma" w:cs="Tahoma"/>
                <w:bCs/>
                <w:kern w:val="24"/>
                <w:sz w:val="20"/>
                <w:szCs w:val="18"/>
                <w:lang w:val="en-US" w:eastAsia="nl-NL"/>
              </w:rPr>
            </w:pP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6099A" w14:textId="77777777" w:rsidR="00F21D11" w:rsidRPr="004D7D60" w:rsidRDefault="00F21D1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  <w:p w14:paraId="687B02D4" w14:textId="77777777" w:rsidR="00F21D11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14.6</w:t>
            </w:r>
          </w:p>
          <w:p w14:paraId="52286D76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15.3</w:t>
            </w:r>
          </w:p>
          <w:p w14:paraId="73FC254D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14.1</w:t>
            </w:r>
          </w:p>
          <w:p w14:paraId="2B2FE838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16.8</w:t>
            </w:r>
          </w:p>
          <w:p w14:paraId="67EC7FE3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26.1</w:t>
            </w:r>
          </w:p>
          <w:p w14:paraId="76F3159B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23.1</w:t>
            </w:r>
          </w:p>
          <w:p w14:paraId="6690DBF5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  <w:p w14:paraId="5E53418F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  <w:p w14:paraId="3B06F8F2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49.4</w:t>
            </w:r>
          </w:p>
          <w:p w14:paraId="15892845" w14:textId="77777777" w:rsidR="00235A2D" w:rsidRPr="004D7D60" w:rsidRDefault="00057B81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50.6</w:t>
            </w:r>
          </w:p>
          <w:p w14:paraId="49DA9610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  <w:p w14:paraId="61BBCA16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</w:p>
          <w:p w14:paraId="7C44ABDE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30.9</w:t>
            </w:r>
          </w:p>
          <w:p w14:paraId="718269D8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36.7</w:t>
            </w:r>
          </w:p>
          <w:p w14:paraId="33236999" w14:textId="77777777" w:rsidR="00235A2D" w:rsidRPr="004D7D60" w:rsidRDefault="00235A2D" w:rsidP="00411C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</w:pPr>
            <w:r w:rsidRPr="004D7D60">
              <w:rPr>
                <w:rFonts w:ascii="Tahoma" w:eastAsia="Times New Roman" w:hAnsi="Tahoma" w:cs="Tahoma"/>
                <w:sz w:val="20"/>
                <w:szCs w:val="18"/>
                <w:lang w:eastAsia="nl-NL"/>
              </w:rPr>
              <w:t>32.4</w:t>
            </w:r>
          </w:p>
        </w:tc>
      </w:tr>
    </w:tbl>
    <w:p w14:paraId="668BD8D7" w14:textId="77777777" w:rsidR="00300DDB" w:rsidRPr="004D7D60" w:rsidRDefault="00300DDB" w:rsidP="00300DDB">
      <w:pPr>
        <w:spacing w:after="0"/>
        <w:rPr>
          <w:rFonts w:ascii="Tahoma" w:eastAsia="Times New Roman" w:hAnsi="Tahoma" w:cs="Tahoma"/>
          <w:bCs/>
          <w:sz w:val="16"/>
          <w:szCs w:val="16"/>
          <w:lang w:val="en-US" w:eastAsia="nl-NL"/>
        </w:rPr>
      </w:pPr>
    </w:p>
    <w:p w14:paraId="1E0A9171" w14:textId="77777777" w:rsidR="00300DDB" w:rsidRPr="004D7D60" w:rsidRDefault="00300DDB" w:rsidP="00235A2D">
      <w:pPr>
        <w:spacing w:after="0"/>
        <w:rPr>
          <w:rFonts w:ascii="Tahoma" w:eastAsia="Times New Roman" w:hAnsi="Tahoma" w:cs="Tahoma"/>
          <w:bCs/>
          <w:sz w:val="18"/>
          <w:szCs w:val="18"/>
          <w:lang w:eastAsia="nl-NL"/>
        </w:rPr>
      </w:pPr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 xml:space="preserve">1. Statistics Netherlands. Population; sex, </w:t>
      </w:r>
      <w:proofErr w:type="gramStart"/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>age</w:t>
      </w:r>
      <w:proofErr w:type="gramEnd"/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 xml:space="preserve"> and </w:t>
      </w:r>
      <w:proofErr w:type="spellStart"/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>martial</w:t>
      </w:r>
      <w:proofErr w:type="spellEnd"/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 xml:space="preserve"> status. </w:t>
      </w:r>
      <w:hyperlink r:id="rId6" w:anchor="/CBS/en/dataset/7461eng/table?ts=1615898674521" w:history="1">
        <w:r w:rsidRPr="004D7D60">
          <w:rPr>
            <w:rStyle w:val="Hyperlink"/>
            <w:rFonts w:ascii="Tahoma" w:eastAsia="Times New Roman" w:hAnsi="Tahoma" w:cs="Tahoma"/>
            <w:bCs/>
            <w:color w:val="auto"/>
            <w:sz w:val="18"/>
            <w:szCs w:val="18"/>
            <w:lang w:eastAsia="nl-NL"/>
          </w:rPr>
          <w:t>https://opendata.cbs.nl/statline/#/CBS/en/dataset/7461eng/table?ts=1615898674521</w:t>
        </w:r>
      </w:hyperlink>
      <w:r w:rsidR="009F0AB6"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>.</w:t>
      </w:r>
      <w:r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 xml:space="preserve"> Accessed 15 March 2021.</w:t>
      </w:r>
    </w:p>
    <w:p w14:paraId="167A4DA8" w14:textId="77777777" w:rsidR="00465E01" w:rsidRPr="004D7D60" w:rsidRDefault="009F0AB6">
      <w:pPr>
        <w:rPr>
          <w:rFonts w:ascii="Tahoma" w:eastAsia="Times New Roman" w:hAnsi="Tahoma" w:cs="Tahoma"/>
          <w:bCs/>
          <w:sz w:val="20"/>
          <w:szCs w:val="20"/>
          <w:lang w:val="en-US" w:eastAsia="nl-NL"/>
        </w:rPr>
      </w:pPr>
      <w:r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>2</w:t>
      </w:r>
      <w:r w:rsidR="00300DDB"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>. Statistics Netherlands. Bevolking; onderwijsniveau; geslacht, leeftijd en migratieachtergrond</w:t>
      </w:r>
      <w:r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 xml:space="preserve">. </w:t>
      </w:r>
      <w:hyperlink r:id="rId7" w:anchor="/CBS/nl/dataset/82275NED/table?ts=1615899135543" w:history="1">
        <w:r w:rsidRPr="004D7D60">
          <w:rPr>
            <w:rStyle w:val="Hyperlink"/>
            <w:rFonts w:ascii="Tahoma" w:eastAsia="Times New Roman" w:hAnsi="Tahoma" w:cs="Tahoma"/>
            <w:bCs/>
            <w:color w:val="auto"/>
            <w:sz w:val="18"/>
            <w:szCs w:val="18"/>
            <w:lang w:eastAsia="nl-NL"/>
          </w:rPr>
          <w:t>https://opendata.cbs.nl/statline/#/CBS/nl/dataset/82275NED/table?ts=1615899135543</w:t>
        </w:r>
      </w:hyperlink>
      <w:r w:rsidRPr="004D7D60">
        <w:rPr>
          <w:rFonts w:ascii="Tahoma" w:eastAsia="Times New Roman" w:hAnsi="Tahoma" w:cs="Tahoma"/>
          <w:bCs/>
          <w:sz w:val="18"/>
          <w:szCs w:val="18"/>
          <w:lang w:eastAsia="nl-NL"/>
        </w:rPr>
        <w:t xml:space="preserve">. </w:t>
      </w:r>
      <w:r w:rsidRPr="004D7D60">
        <w:rPr>
          <w:rFonts w:ascii="Tahoma" w:eastAsia="Times New Roman" w:hAnsi="Tahoma" w:cs="Tahoma"/>
          <w:bCs/>
          <w:sz w:val="18"/>
          <w:szCs w:val="18"/>
          <w:lang w:val="en-US" w:eastAsia="nl-NL"/>
        </w:rPr>
        <w:t>Accessed 15 March 2021.</w:t>
      </w:r>
      <w:r w:rsidR="00465E01" w:rsidRPr="004D7D60">
        <w:rPr>
          <w:rFonts w:ascii="Tahoma" w:eastAsia="Times New Roman" w:hAnsi="Tahoma" w:cs="Tahoma"/>
          <w:bCs/>
          <w:sz w:val="20"/>
          <w:szCs w:val="20"/>
          <w:lang w:val="en-US" w:eastAsia="nl-NL"/>
        </w:rPr>
        <w:br w:type="page"/>
      </w:r>
    </w:p>
    <w:p w14:paraId="6D01E2F2" w14:textId="77777777" w:rsidR="005761B0" w:rsidRPr="004D7D60" w:rsidRDefault="00090F98" w:rsidP="005761B0">
      <w:pPr>
        <w:spacing w:line="360" w:lineRule="auto"/>
        <w:rPr>
          <w:rFonts w:ascii="Tahoma" w:eastAsia="Times New Roman" w:hAnsi="Tahoma" w:cs="Tahoma"/>
          <w:lang w:val="en-US" w:eastAsia="nl-NL"/>
        </w:rPr>
      </w:pPr>
      <w:r w:rsidRPr="004D7D60">
        <w:rPr>
          <w:rFonts w:ascii="Tahoma" w:eastAsia="Times New Roman" w:hAnsi="Tahoma" w:cs="Tahoma"/>
          <w:noProof/>
          <w:lang w:val="en-US" w:eastAsia="nl-NL"/>
        </w:rPr>
        <w:lastRenderedPageBreak/>
        <w:drawing>
          <wp:anchor distT="0" distB="0" distL="114300" distR="114300" simplePos="0" relativeHeight="251670528" behindDoc="1" locked="0" layoutInCell="1" allowOverlap="1" wp14:anchorId="027FEB70" wp14:editId="0077D89F">
            <wp:simplePos x="0" y="0"/>
            <wp:positionH relativeFrom="margin">
              <wp:align>left</wp:align>
            </wp:positionH>
            <wp:positionV relativeFrom="paragraph">
              <wp:posOffset>619124</wp:posOffset>
            </wp:positionV>
            <wp:extent cx="5953125" cy="50519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F53" w:rsidRPr="004D7D60">
        <w:rPr>
          <w:rFonts w:ascii="Tahoma" w:eastAsia="Times New Roman" w:hAnsi="Tahoma" w:cs="Tahoma"/>
          <w:b/>
          <w:lang w:val="en-US" w:eastAsia="nl-NL"/>
        </w:rPr>
        <w:t>Fig. S1</w:t>
      </w:r>
      <w:r w:rsidR="00951F53" w:rsidRPr="004D7D60">
        <w:rPr>
          <w:rFonts w:ascii="Tahoma" w:eastAsia="Times New Roman" w:hAnsi="Tahoma" w:cs="Tahoma"/>
          <w:lang w:val="en-US" w:eastAsia="nl-NL"/>
        </w:rPr>
        <w:t xml:space="preserve">. </w:t>
      </w:r>
      <w:r w:rsidR="00D06B63" w:rsidRPr="004D7D60">
        <w:rPr>
          <w:rFonts w:ascii="Tahoma" w:eastAsia="Times New Roman" w:hAnsi="Tahoma" w:cs="Tahoma"/>
          <w:lang w:val="en-US" w:eastAsia="nl-NL"/>
        </w:rPr>
        <w:t>Crude</w:t>
      </w:r>
      <w:r w:rsidR="006E0AD4" w:rsidRPr="004D7D60">
        <w:rPr>
          <w:rFonts w:ascii="Tahoma" w:eastAsia="Times New Roman" w:hAnsi="Tahoma" w:cs="Tahoma"/>
          <w:lang w:val="en-US" w:eastAsia="nl-NL"/>
        </w:rPr>
        <w:t xml:space="preserve"> incidence of</w:t>
      </w:r>
      <w:r w:rsidR="00D06B63" w:rsidRPr="004D7D60">
        <w:rPr>
          <w:rFonts w:ascii="Tahoma" w:eastAsia="Times New Roman" w:hAnsi="Tahoma" w:cs="Tahoma"/>
          <w:lang w:val="en-US" w:eastAsia="nl-NL"/>
        </w:rPr>
        <w:t xml:space="preserve"> COVID-19</w:t>
      </w:r>
      <w:r w:rsidR="00386D67" w:rsidRPr="004D7D60">
        <w:rPr>
          <w:rFonts w:ascii="Tahoma" w:eastAsia="Times New Roman" w:hAnsi="Tahoma" w:cs="Tahoma"/>
          <w:bCs/>
          <w:lang w:val="en-US" w:eastAsia="nl-NL"/>
        </w:rPr>
        <w:t>-like illness</w:t>
      </w:r>
      <w:r w:rsidR="00386D67" w:rsidRPr="004D7D60">
        <w:rPr>
          <w:rFonts w:ascii="Tahoma" w:eastAsia="Times New Roman" w:hAnsi="Tahoma" w:cs="Tahoma"/>
          <w:lang w:val="en-US" w:eastAsia="nl-NL"/>
        </w:rPr>
        <w:t xml:space="preserve"> </w:t>
      </w:r>
      <w:r w:rsidR="006B43BD" w:rsidRPr="004D7D60">
        <w:rPr>
          <w:rFonts w:ascii="Tahoma" w:eastAsia="Times New Roman" w:hAnsi="Tahoma" w:cs="Tahoma"/>
          <w:lang w:val="en-US" w:eastAsia="nl-NL"/>
        </w:rPr>
        <w:t xml:space="preserve">(per 1,000 person-weeks) </w:t>
      </w:r>
      <w:r w:rsidR="00D06B63" w:rsidRPr="004D7D60">
        <w:rPr>
          <w:rFonts w:ascii="Tahoma" w:eastAsia="Times New Roman" w:hAnsi="Tahoma" w:cs="Tahoma"/>
          <w:lang w:val="en-US" w:eastAsia="nl-NL"/>
        </w:rPr>
        <w:t xml:space="preserve">as function of age-group and the presence of children &lt;5 years and 5-18 years in the household (data aggregated over </w:t>
      </w:r>
      <w:r w:rsidR="00B56F61" w:rsidRPr="004D7D60">
        <w:rPr>
          <w:rFonts w:ascii="Tahoma" w:eastAsia="Times New Roman" w:hAnsi="Tahoma" w:cs="Tahoma"/>
          <w:lang w:val="en-US" w:eastAsia="nl-NL"/>
        </w:rPr>
        <w:t xml:space="preserve">ISO </w:t>
      </w:r>
      <w:proofErr w:type="spellStart"/>
      <w:r w:rsidR="00D06B63" w:rsidRPr="004D7D60">
        <w:rPr>
          <w:rFonts w:ascii="Tahoma" w:eastAsia="Times New Roman" w:hAnsi="Tahoma" w:cs="Tahoma"/>
          <w:lang w:val="en-US" w:eastAsia="nl-NL"/>
        </w:rPr>
        <w:t>week</w:t>
      </w:r>
      <w:r w:rsidR="00B56F61" w:rsidRPr="004D7D60">
        <w:rPr>
          <w:rFonts w:ascii="Tahoma" w:eastAsia="Times New Roman" w:hAnsi="Tahoma" w:cs="Tahoma"/>
          <w:lang w:val="en-US" w:eastAsia="nl-NL"/>
        </w:rPr>
        <w:t>number</w:t>
      </w:r>
      <w:r w:rsidR="00D06B63" w:rsidRPr="004D7D60">
        <w:rPr>
          <w:rFonts w:ascii="Tahoma" w:eastAsia="Times New Roman" w:hAnsi="Tahoma" w:cs="Tahoma"/>
          <w:lang w:val="en-US" w:eastAsia="nl-NL"/>
        </w:rPr>
        <w:t>s</w:t>
      </w:r>
      <w:proofErr w:type="spellEnd"/>
      <w:r w:rsidR="00D06B63" w:rsidRPr="004D7D60">
        <w:rPr>
          <w:rFonts w:ascii="Tahoma" w:eastAsia="Times New Roman" w:hAnsi="Tahoma" w:cs="Tahoma"/>
          <w:lang w:val="en-US" w:eastAsia="nl-NL"/>
        </w:rPr>
        <w:t xml:space="preserve"> 12-20 of</w:t>
      </w:r>
      <w:r w:rsidR="00DD69BC" w:rsidRPr="004D7D60">
        <w:rPr>
          <w:rFonts w:ascii="Tahoma" w:eastAsia="Times New Roman" w:hAnsi="Tahoma" w:cs="Tahoma"/>
          <w:lang w:val="en-US" w:eastAsia="nl-NL"/>
        </w:rPr>
        <w:t xml:space="preserve"> the</w:t>
      </w:r>
      <w:r w:rsidR="00D06B63" w:rsidRPr="004D7D60">
        <w:rPr>
          <w:rFonts w:ascii="Tahoma" w:eastAsia="Times New Roman" w:hAnsi="Tahoma" w:cs="Tahoma"/>
          <w:lang w:val="en-US" w:eastAsia="nl-NL"/>
        </w:rPr>
        <w:t xml:space="preserve"> year 2020).</w:t>
      </w:r>
    </w:p>
    <w:p w14:paraId="7C6C519A" w14:textId="77777777" w:rsidR="00D06B63" w:rsidRPr="004D7D60" w:rsidRDefault="00D06B63" w:rsidP="005761B0">
      <w:pPr>
        <w:spacing w:line="360" w:lineRule="auto"/>
        <w:rPr>
          <w:rFonts w:ascii="Tahoma" w:eastAsia="Times New Roman" w:hAnsi="Tahoma" w:cs="Tahoma"/>
          <w:lang w:val="en-US" w:eastAsia="nl-NL"/>
        </w:rPr>
      </w:pPr>
    </w:p>
    <w:p w14:paraId="62836C2A" w14:textId="77777777" w:rsidR="00234FBC" w:rsidRPr="004D7D60" w:rsidRDefault="005761B0">
      <w:pPr>
        <w:rPr>
          <w:rFonts w:ascii="Tahoma" w:eastAsia="Times New Roman" w:hAnsi="Tahoma" w:cs="Tahoma"/>
          <w:noProof/>
          <w:lang w:val="en-US" w:eastAsia="nl-NL"/>
        </w:rPr>
      </w:pPr>
      <w:r w:rsidRPr="004D7D60">
        <w:rPr>
          <w:rFonts w:ascii="Tahoma" w:eastAsia="Times New Roman" w:hAnsi="Tahoma" w:cs="Tahoma"/>
          <w:noProof/>
          <w:lang w:val="en-US" w:eastAsia="nl-NL"/>
        </w:rPr>
        <w:t xml:space="preserve"> </w:t>
      </w:r>
    </w:p>
    <w:p w14:paraId="66D984C3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41C71032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0CC52276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01C7C99C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688E16BF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2E0B9C9E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0E843437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00D3DB28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5A8B3158" w14:textId="77777777" w:rsidR="00D961DE" w:rsidRPr="004D7D60" w:rsidRDefault="00D961DE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28F0F66E" w14:textId="77777777" w:rsidR="00E01066" w:rsidRPr="004D7D60" w:rsidRDefault="00E01066" w:rsidP="00D961DE">
      <w:pPr>
        <w:rPr>
          <w:rFonts w:ascii="Tahoma" w:eastAsia="Times New Roman" w:hAnsi="Tahoma" w:cs="Tahoma"/>
          <w:b/>
          <w:lang w:val="en-US" w:eastAsia="nl-NL"/>
        </w:rPr>
      </w:pPr>
    </w:p>
    <w:p w14:paraId="3F2AA9C3" w14:textId="77777777" w:rsidR="008B0033" w:rsidRPr="004D7D60" w:rsidRDefault="008B0033">
      <w:pPr>
        <w:rPr>
          <w:rFonts w:ascii="Tahoma" w:eastAsia="Times New Roman" w:hAnsi="Tahoma" w:cs="Tahoma"/>
          <w:b/>
          <w:lang w:val="en-US" w:eastAsia="nl-NL"/>
        </w:rPr>
      </w:pPr>
      <w:r w:rsidRPr="004D7D60">
        <w:rPr>
          <w:rFonts w:ascii="Tahoma" w:eastAsia="Times New Roman" w:hAnsi="Tahoma" w:cs="Tahoma"/>
          <w:b/>
          <w:lang w:val="en-US" w:eastAsia="nl-NL"/>
        </w:rPr>
        <w:br w:type="page"/>
      </w:r>
    </w:p>
    <w:p w14:paraId="62BF6279" w14:textId="77777777" w:rsidR="00D961DE" w:rsidRPr="004D7D60" w:rsidRDefault="007B5B63" w:rsidP="009804B7">
      <w:pPr>
        <w:spacing w:line="360" w:lineRule="auto"/>
        <w:rPr>
          <w:rFonts w:ascii="Tahoma" w:eastAsia="Times New Roman" w:hAnsi="Tahoma" w:cs="Tahoma"/>
          <w:b/>
          <w:lang w:val="en-US" w:eastAsia="nl-NL"/>
        </w:rPr>
      </w:pPr>
      <w:r w:rsidRPr="004D7D60">
        <w:rPr>
          <w:rFonts w:ascii="Tahoma" w:hAnsi="Tahoma" w:cs="Tahoma"/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10BDF055" wp14:editId="61B9A990">
            <wp:simplePos x="0" y="0"/>
            <wp:positionH relativeFrom="margin">
              <wp:align>left</wp:align>
            </wp:positionH>
            <wp:positionV relativeFrom="paragraph">
              <wp:posOffset>581025</wp:posOffset>
            </wp:positionV>
            <wp:extent cx="6016463" cy="451485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63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DE" w:rsidRPr="004D7D60">
        <w:rPr>
          <w:rFonts w:ascii="Tahoma" w:eastAsia="Times New Roman" w:hAnsi="Tahoma" w:cs="Tahoma"/>
          <w:b/>
          <w:lang w:val="en-US" w:eastAsia="nl-NL"/>
        </w:rPr>
        <w:t>Fig. S2.</w:t>
      </w:r>
      <w:r w:rsidR="00D961DE" w:rsidRPr="004D7D60">
        <w:rPr>
          <w:rFonts w:ascii="Tahoma" w:eastAsia="Times New Roman" w:hAnsi="Tahoma" w:cs="Tahoma"/>
          <w:lang w:val="en-US" w:eastAsia="nl-NL"/>
        </w:rPr>
        <w:t xml:space="preserve"> Fitted Poisson regression</w:t>
      </w:r>
      <w:r w:rsidR="003325E0" w:rsidRPr="004D7D60">
        <w:rPr>
          <w:rFonts w:ascii="Tahoma" w:eastAsia="Times New Roman" w:hAnsi="Tahoma" w:cs="Tahoma"/>
          <w:lang w:val="en-US" w:eastAsia="nl-NL"/>
        </w:rPr>
        <w:t xml:space="preserve"> model</w:t>
      </w:r>
      <w:r w:rsidR="00D961DE" w:rsidRPr="004D7D60">
        <w:rPr>
          <w:rFonts w:ascii="Tahoma" w:eastAsia="Times New Roman" w:hAnsi="Tahoma" w:cs="Tahoma"/>
          <w:lang w:val="en-US" w:eastAsia="nl-NL"/>
        </w:rPr>
        <w:t xml:space="preserve"> </w:t>
      </w:r>
      <w:r w:rsidR="003325E0" w:rsidRPr="004D7D60">
        <w:rPr>
          <w:rFonts w:ascii="Tahoma" w:eastAsia="Times New Roman" w:hAnsi="Tahoma" w:cs="Tahoma"/>
          <w:lang w:val="en-US" w:eastAsia="nl-NL"/>
        </w:rPr>
        <w:t>of</w:t>
      </w:r>
      <w:r w:rsidR="006E0AD4" w:rsidRPr="004D7D60">
        <w:rPr>
          <w:rFonts w:ascii="Tahoma" w:eastAsia="Times New Roman" w:hAnsi="Tahoma" w:cs="Tahoma"/>
          <w:lang w:val="en-US" w:eastAsia="nl-NL"/>
        </w:rPr>
        <w:t xml:space="preserve"> the incidence of</w:t>
      </w:r>
      <w:r w:rsidR="00D961DE" w:rsidRPr="004D7D60">
        <w:rPr>
          <w:rFonts w:ascii="Tahoma" w:eastAsia="Times New Roman" w:hAnsi="Tahoma" w:cs="Tahoma"/>
          <w:lang w:val="en-US" w:eastAsia="nl-NL"/>
        </w:rPr>
        <w:t xml:space="preserve"> self-reported COVID-19</w:t>
      </w:r>
      <w:r w:rsidR="00386D67" w:rsidRPr="004D7D60">
        <w:rPr>
          <w:rFonts w:ascii="Tahoma" w:eastAsia="Times New Roman" w:hAnsi="Tahoma" w:cs="Tahoma"/>
          <w:bCs/>
          <w:lang w:val="en-US" w:eastAsia="nl-NL"/>
        </w:rPr>
        <w:t>-like illness</w:t>
      </w:r>
      <w:r w:rsidR="00386D67" w:rsidRPr="004D7D60">
        <w:rPr>
          <w:rFonts w:ascii="Tahoma" w:eastAsia="Times New Roman" w:hAnsi="Tahoma" w:cs="Tahoma"/>
          <w:lang w:val="en-US" w:eastAsia="nl-NL"/>
        </w:rPr>
        <w:t xml:space="preserve"> </w:t>
      </w:r>
      <w:r w:rsidR="0045250D" w:rsidRPr="004D7D60">
        <w:rPr>
          <w:rFonts w:ascii="Tahoma" w:eastAsia="Times New Roman" w:hAnsi="Tahoma" w:cs="Tahoma"/>
          <w:lang w:val="en-US" w:eastAsia="nl-NL"/>
        </w:rPr>
        <w:t xml:space="preserve">using the 'more-specific' case definition </w:t>
      </w:r>
      <w:r w:rsidR="00D961DE" w:rsidRPr="004D7D60">
        <w:rPr>
          <w:rFonts w:ascii="Tahoma" w:eastAsia="Times New Roman" w:hAnsi="Tahoma" w:cs="Tahoma"/>
          <w:lang w:val="en-US" w:eastAsia="nl-NL"/>
        </w:rPr>
        <w:t>over time</w:t>
      </w:r>
      <w:r w:rsidR="008B0033" w:rsidRPr="004D7D60">
        <w:rPr>
          <w:rFonts w:ascii="Tahoma" w:eastAsia="Times New Roman" w:hAnsi="Tahoma" w:cs="Tahoma"/>
          <w:lang w:val="en-US" w:eastAsia="nl-NL"/>
        </w:rPr>
        <w:t>.</w:t>
      </w:r>
    </w:p>
    <w:p w14:paraId="6331A47B" w14:textId="77777777" w:rsidR="00D961DE" w:rsidRPr="004D7D60" w:rsidRDefault="00D961DE">
      <w:pPr>
        <w:rPr>
          <w:rFonts w:ascii="Tahoma" w:hAnsi="Tahoma" w:cs="Tahoma"/>
          <w:lang w:val="en-US"/>
        </w:rPr>
      </w:pPr>
    </w:p>
    <w:sectPr w:rsidR="00D961DE" w:rsidRPr="004D7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7A6"/>
    <w:multiLevelType w:val="hybridMultilevel"/>
    <w:tmpl w:val="E356D9F0"/>
    <w:lvl w:ilvl="0" w:tplc="6246B0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20AD"/>
    <w:multiLevelType w:val="hybridMultilevel"/>
    <w:tmpl w:val="C47EA86C"/>
    <w:lvl w:ilvl="0" w:tplc="DB1E93C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3668"/>
    <w:multiLevelType w:val="hybridMultilevel"/>
    <w:tmpl w:val="EF60EA6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BC"/>
    <w:rsid w:val="00000460"/>
    <w:rsid w:val="00001315"/>
    <w:rsid w:val="000026C0"/>
    <w:rsid w:val="0002071A"/>
    <w:rsid w:val="00022175"/>
    <w:rsid w:val="000362FA"/>
    <w:rsid w:val="00046EAC"/>
    <w:rsid w:val="00047C71"/>
    <w:rsid w:val="00051CA1"/>
    <w:rsid w:val="0005240E"/>
    <w:rsid w:val="00053643"/>
    <w:rsid w:val="00057B81"/>
    <w:rsid w:val="00060756"/>
    <w:rsid w:val="0007678B"/>
    <w:rsid w:val="00081E8C"/>
    <w:rsid w:val="00082707"/>
    <w:rsid w:val="00083976"/>
    <w:rsid w:val="00084A72"/>
    <w:rsid w:val="0009020C"/>
    <w:rsid w:val="00090F98"/>
    <w:rsid w:val="000A3E27"/>
    <w:rsid w:val="000A56D9"/>
    <w:rsid w:val="000B7A13"/>
    <w:rsid w:val="000C04E7"/>
    <w:rsid w:val="000C2AAC"/>
    <w:rsid w:val="000C360B"/>
    <w:rsid w:val="000C4728"/>
    <w:rsid w:val="000C5717"/>
    <w:rsid w:val="000D6104"/>
    <w:rsid w:val="000E4585"/>
    <w:rsid w:val="000E50CC"/>
    <w:rsid w:val="000F0196"/>
    <w:rsid w:val="00100CC8"/>
    <w:rsid w:val="00107C18"/>
    <w:rsid w:val="00107DEB"/>
    <w:rsid w:val="00123F67"/>
    <w:rsid w:val="00124FA0"/>
    <w:rsid w:val="00133F66"/>
    <w:rsid w:val="00134620"/>
    <w:rsid w:val="00152B64"/>
    <w:rsid w:val="00164742"/>
    <w:rsid w:val="0017032A"/>
    <w:rsid w:val="001709CC"/>
    <w:rsid w:val="001744D5"/>
    <w:rsid w:val="00174C2D"/>
    <w:rsid w:val="00174E6E"/>
    <w:rsid w:val="0017646B"/>
    <w:rsid w:val="00180807"/>
    <w:rsid w:val="00184BCB"/>
    <w:rsid w:val="00186FA8"/>
    <w:rsid w:val="001953B0"/>
    <w:rsid w:val="001A3E20"/>
    <w:rsid w:val="001A57A4"/>
    <w:rsid w:val="001A7C64"/>
    <w:rsid w:val="001B12C8"/>
    <w:rsid w:val="001B1A2C"/>
    <w:rsid w:val="001B33C5"/>
    <w:rsid w:val="001B4038"/>
    <w:rsid w:val="001C1E62"/>
    <w:rsid w:val="001C4011"/>
    <w:rsid w:val="001D0739"/>
    <w:rsid w:val="001D1A23"/>
    <w:rsid w:val="001D2A37"/>
    <w:rsid w:val="001D2E90"/>
    <w:rsid w:val="001E1600"/>
    <w:rsid w:val="001E49FB"/>
    <w:rsid w:val="001F3312"/>
    <w:rsid w:val="0020458E"/>
    <w:rsid w:val="0020471A"/>
    <w:rsid w:val="00205AB4"/>
    <w:rsid w:val="00210240"/>
    <w:rsid w:val="002127DD"/>
    <w:rsid w:val="0021439D"/>
    <w:rsid w:val="00215274"/>
    <w:rsid w:val="00217812"/>
    <w:rsid w:val="00234FBC"/>
    <w:rsid w:val="00235A2D"/>
    <w:rsid w:val="00250608"/>
    <w:rsid w:val="00252FB5"/>
    <w:rsid w:val="00253CD4"/>
    <w:rsid w:val="00254415"/>
    <w:rsid w:val="00266B0E"/>
    <w:rsid w:val="00273724"/>
    <w:rsid w:val="00284457"/>
    <w:rsid w:val="002869EB"/>
    <w:rsid w:val="00291DA2"/>
    <w:rsid w:val="00292023"/>
    <w:rsid w:val="00292278"/>
    <w:rsid w:val="002958A0"/>
    <w:rsid w:val="002A06E9"/>
    <w:rsid w:val="002A0870"/>
    <w:rsid w:val="002A1445"/>
    <w:rsid w:val="002A53DB"/>
    <w:rsid w:val="002A5EBA"/>
    <w:rsid w:val="002B157D"/>
    <w:rsid w:val="002B2A4C"/>
    <w:rsid w:val="002B790C"/>
    <w:rsid w:val="002C02E2"/>
    <w:rsid w:val="002C1461"/>
    <w:rsid w:val="002D6A32"/>
    <w:rsid w:val="002E2180"/>
    <w:rsid w:val="002E22A1"/>
    <w:rsid w:val="002E25A2"/>
    <w:rsid w:val="002E2861"/>
    <w:rsid w:val="002E2B9B"/>
    <w:rsid w:val="002F056E"/>
    <w:rsid w:val="002F277E"/>
    <w:rsid w:val="00300DDB"/>
    <w:rsid w:val="003015B4"/>
    <w:rsid w:val="00301D15"/>
    <w:rsid w:val="00313FB3"/>
    <w:rsid w:val="003325E0"/>
    <w:rsid w:val="00340C48"/>
    <w:rsid w:val="003516CF"/>
    <w:rsid w:val="003523BE"/>
    <w:rsid w:val="0036378C"/>
    <w:rsid w:val="003669D1"/>
    <w:rsid w:val="00367AD9"/>
    <w:rsid w:val="00374132"/>
    <w:rsid w:val="003743C9"/>
    <w:rsid w:val="0038209A"/>
    <w:rsid w:val="003868A3"/>
    <w:rsid w:val="00386D67"/>
    <w:rsid w:val="003931D5"/>
    <w:rsid w:val="003A1370"/>
    <w:rsid w:val="003B13DC"/>
    <w:rsid w:val="003B3C66"/>
    <w:rsid w:val="003B759F"/>
    <w:rsid w:val="003C5654"/>
    <w:rsid w:val="003D620F"/>
    <w:rsid w:val="003F5C96"/>
    <w:rsid w:val="004072F8"/>
    <w:rsid w:val="0041026D"/>
    <w:rsid w:val="00414237"/>
    <w:rsid w:val="00414A48"/>
    <w:rsid w:val="00415F5C"/>
    <w:rsid w:val="0041632D"/>
    <w:rsid w:val="004230EB"/>
    <w:rsid w:val="0042651D"/>
    <w:rsid w:val="00430F18"/>
    <w:rsid w:val="00436948"/>
    <w:rsid w:val="00441403"/>
    <w:rsid w:val="00444350"/>
    <w:rsid w:val="0045250D"/>
    <w:rsid w:val="00465E01"/>
    <w:rsid w:val="00470E46"/>
    <w:rsid w:val="004725CF"/>
    <w:rsid w:val="004837C1"/>
    <w:rsid w:val="004875CC"/>
    <w:rsid w:val="004A2BA2"/>
    <w:rsid w:val="004A465B"/>
    <w:rsid w:val="004A5675"/>
    <w:rsid w:val="004A5A25"/>
    <w:rsid w:val="004B241A"/>
    <w:rsid w:val="004B5676"/>
    <w:rsid w:val="004B5F62"/>
    <w:rsid w:val="004C4209"/>
    <w:rsid w:val="004C5FE4"/>
    <w:rsid w:val="004D2076"/>
    <w:rsid w:val="004D6A05"/>
    <w:rsid w:val="004D7379"/>
    <w:rsid w:val="004D7D60"/>
    <w:rsid w:val="004E3470"/>
    <w:rsid w:val="004F6C90"/>
    <w:rsid w:val="0050234B"/>
    <w:rsid w:val="005034F1"/>
    <w:rsid w:val="0051538B"/>
    <w:rsid w:val="00515D7C"/>
    <w:rsid w:val="00520C45"/>
    <w:rsid w:val="0052285C"/>
    <w:rsid w:val="00523917"/>
    <w:rsid w:val="00530481"/>
    <w:rsid w:val="00544F66"/>
    <w:rsid w:val="005457FC"/>
    <w:rsid w:val="00552A62"/>
    <w:rsid w:val="005761B0"/>
    <w:rsid w:val="00582CF4"/>
    <w:rsid w:val="0059725D"/>
    <w:rsid w:val="005A16A1"/>
    <w:rsid w:val="005B3F0D"/>
    <w:rsid w:val="005C4531"/>
    <w:rsid w:val="005C783B"/>
    <w:rsid w:val="005D331F"/>
    <w:rsid w:val="005D6549"/>
    <w:rsid w:val="005E30DA"/>
    <w:rsid w:val="005E3614"/>
    <w:rsid w:val="005F0C20"/>
    <w:rsid w:val="00613D3A"/>
    <w:rsid w:val="006164BF"/>
    <w:rsid w:val="00620420"/>
    <w:rsid w:val="00624932"/>
    <w:rsid w:val="006260A8"/>
    <w:rsid w:val="006261FB"/>
    <w:rsid w:val="006353FC"/>
    <w:rsid w:val="00637D5A"/>
    <w:rsid w:val="00641A9B"/>
    <w:rsid w:val="0064330F"/>
    <w:rsid w:val="0064342A"/>
    <w:rsid w:val="00643F0E"/>
    <w:rsid w:val="00645B56"/>
    <w:rsid w:val="006466F4"/>
    <w:rsid w:val="00652477"/>
    <w:rsid w:val="00653AAF"/>
    <w:rsid w:val="006558A2"/>
    <w:rsid w:val="0066096E"/>
    <w:rsid w:val="00664C6B"/>
    <w:rsid w:val="00675E0E"/>
    <w:rsid w:val="006865D8"/>
    <w:rsid w:val="00691B4D"/>
    <w:rsid w:val="00692386"/>
    <w:rsid w:val="006944CA"/>
    <w:rsid w:val="006955D4"/>
    <w:rsid w:val="006B43BD"/>
    <w:rsid w:val="006C151F"/>
    <w:rsid w:val="006D79C9"/>
    <w:rsid w:val="006E0AD4"/>
    <w:rsid w:val="006E41D2"/>
    <w:rsid w:val="006E75F7"/>
    <w:rsid w:val="006F04EE"/>
    <w:rsid w:val="006F122C"/>
    <w:rsid w:val="006F1435"/>
    <w:rsid w:val="006F68E6"/>
    <w:rsid w:val="0070286F"/>
    <w:rsid w:val="00713ED8"/>
    <w:rsid w:val="007200E2"/>
    <w:rsid w:val="00720DBA"/>
    <w:rsid w:val="007340A1"/>
    <w:rsid w:val="007401CD"/>
    <w:rsid w:val="00744B72"/>
    <w:rsid w:val="007511B6"/>
    <w:rsid w:val="00766324"/>
    <w:rsid w:val="007756E3"/>
    <w:rsid w:val="00782DC2"/>
    <w:rsid w:val="00790F07"/>
    <w:rsid w:val="007A1133"/>
    <w:rsid w:val="007B2E89"/>
    <w:rsid w:val="007B5B63"/>
    <w:rsid w:val="007B5F79"/>
    <w:rsid w:val="007D4F18"/>
    <w:rsid w:val="007E391A"/>
    <w:rsid w:val="007E4A4B"/>
    <w:rsid w:val="007F3F73"/>
    <w:rsid w:val="007F7CC5"/>
    <w:rsid w:val="008109D2"/>
    <w:rsid w:val="00810D6B"/>
    <w:rsid w:val="0081341E"/>
    <w:rsid w:val="008137CE"/>
    <w:rsid w:val="0082056A"/>
    <w:rsid w:val="0082301F"/>
    <w:rsid w:val="008256D1"/>
    <w:rsid w:val="00827D34"/>
    <w:rsid w:val="008311C6"/>
    <w:rsid w:val="008503DE"/>
    <w:rsid w:val="0085404E"/>
    <w:rsid w:val="00860B20"/>
    <w:rsid w:val="0086336A"/>
    <w:rsid w:val="008646D7"/>
    <w:rsid w:val="00864948"/>
    <w:rsid w:val="008666FE"/>
    <w:rsid w:val="00871F64"/>
    <w:rsid w:val="008840AE"/>
    <w:rsid w:val="00884A7C"/>
    <w:rsid w:val="008853DD"/>
    <w:rsid w:val="008900A0"/>
    <w:rsid w:val="008A0CB1"/>
    <w:rsid w:val="008A1519"/>
    <w:rsid w:val="008A7E4E"/>
    <w:rsid w:val="008B0033"/>
    <w:rsid w:val="008B2AF2"/>
    <w:rsid w:val="008B4FFC"/>
    <w:rsid w:val="008C2A48"/>
    <w:rsid w:val="008D3066"/>
    <w:rsid w:val="008D6780"/>
    <w:rsid w:val="008E3A01"/>
    <w:rsid w:val="008E40B5"/>
    <w:rsid w:val="008E4610"/>
    <w:rsid w:val="008E72B3"/>
    <w:rsid w:val="008E76F0"/>
    <w:rsid w:val="008F0108"/>
    <w:rsid w:val="008F1018"/>
    <w:rsid w:val="008F2625"/>
    <w:rsid w:val="008F2A1F"/>
    <w:rsid w:val="008F7A80"/>
    <w:rsid w:val="009040DB"/>
    <w:rsid w:val="00913086"/>
    <w:rsid w:val="00914374"/>
    <w:rsid w:val="00921A06"/>
    <w:rsid w:val="009407F2"/>
    <w:rsid w:val="00942432"/>
    <w:rsid w:val="0094427C"/>
    <w:rsid w:val="00951F53"/>
    <w:rsid w:val="009643F9"/>
    <w:rsid w:val="00965E55"/>
    <w:rsid w:val="009752F6"/>
    <w:rsid w:val="009804B7"/>
    <w:rsid w:val="0098122C"/>
    <w:rsid w:val="00984E13"/>
    <w:rsid w:val="009851C6"/>
    <w:rsid w:val="00987817"/>
    <w:rsid w:val="00987F45"/>
    <w:rsid w:val="009B0615"/>
    <w:rsid w:val="009B6DD4"/>
    <w:rsid w:val="009B7CB0"/>
    <w:rsid w:val="009C02F2"/>
    <w:rsid w:val="009D0220"/>
    <w:rsid w:val="009D506E"/>
    <w:rsid w:val="009D7B88"/>
    <w:rsid w:val="009E09D5"/>
    <w:rsid w:val="009E363F"/>
    <w:rsid w:val="009E4593"/>
    <w:rsid w:val="009E49BD"/>
    <w:rsid w:val="009F0AB6"/>
    <w:rsid w:val="009F32A9"/>
    <w:rsid w:val="00A13F97"/>
    <w:rsid w:val="00A20691"/>
    <w:rsid w:val="00A222B4"/>
    <w:rsid w:val="00A23990"/>
    <w:rsid w:val="00A27552"/>
    <w:rsid w:val="00A31985"/>
    <w:rsid w:val="00A31ED1"/>
    <w:rsid w:val="00A32DA5"/>
    <w:rsid w:val="00A33458"/>
    <w:rsid w:val="00A33747"/>
    <w:rsid w:val="00A34C20"/>
    <w:rsid w:val="00A449AF"/>
    <w:rsid w:val="00A45544"/>
    <w:rsid w:val="00A511E4"/>
    <w:rsid w:val="00A51C69"/>
    <w:rsid w:val="00A5278B"/>
    <w:rsid w:val="00A62699"/>
    <w:rsid w:val="00A7160F"/>
    <w:rsid w:val="00A77FEC"/>
    <w:rsid w:val="00A81A07"/>
    <w:rsid w:val="00A90C47"/>
    <w:rsid w:val="00A91755"/>
    <w:rsid w:val="00A93DB4"/>
    <w:rsid w:val="00A95441"/>
    <w:rsid w:val="00A978F1"/>
    <w:rsid w:val="00AB4FBD"/>
    <w:rsid w:val="00AB7397"/>
    <w:rsid w:val="00AC1CC4"/>
    <w:rsid w:val="00AC7249"/>
    <w:rsid w:val="00AD10A4"/>
    <w:rsid w:val="00AE1BBB"/>
    <w:rsid w:val="00AE1D85"/>
    <w:rsid w:val="00AE28DB"/>
    <w:rsid w:val="00AF30CF"/>
    <w:rsid w:val="00AF48F5"/>
    <w:rsid w:val="00B005BC"/>
    <w:rsid w:val="00B05C5F"/>
    <w:rsid w:val="00B1477B"/>
    <w:rsid w:val="00B21100"/>
    <w:rsid w:val="00B25DCC"/>
    <w:rsid w:val="00B2784A"/>
    <w:rsid w:val="00B32823"/>
    <w:rsid w:val="00B51728"/>
    <w:rsid w:val="00B568E7"/>
    <w:rsid w:val="00B56F61"/>
    <w:rsid w:val="00B6368F"/>
    <w:rsid w:val="00B72A3E"/>
    <w:rsid w:val="00B7500D"/>
    <w:rsid w:val="00B771B8"/>
    <w:rsid w:val="00B8191C"/>
    <w:rsid w:val="00B95FCF"/>
    <w:rsid w:val="00B97DA2"/>
    <w:rsid w:val="00BA5E99"/>
    <w:rsid w:val="00BB3D93"/>
    <w:rsid w:val="00BB7EE6"/>
    <w:rsid w:val="00BC1FC5"/>
    <w:rsid w:val="00BC36EE"/>
    <w:rsid w:val="00BC642C"/>
    <w:rsid w:val="00BD70F8"/>
    <w:rsid w:val="00BD7260"/>
    <w:rsid w:val="00BE164C"/>
    <w:rsid w:val="00BE2B22"/>
    <w:rsid w:val="00BE4191"/>
    <w:rsid w:val="00BE591D"/>
    <w:rsid w:val="00BF06D2"/>
    <w:rsid w:val="00BF5DCE"/>
    <w:rsid w:val="00C062FB"/>
    <w:rsid w:val="00C06AB3"/>
    <w:rsid w:val="00C1519E"/>
    <w:rsid w:val="00C16CE4"/>
    <w:rsid w:val="00C22D94"/>
    <w:rsid w:val="00C249B8"/>
    <w:rsid w:val="00C27C5A"/>
    <w:rsid w:val="00C31DB7"/>
    <w:rsid w:val="00C41122"/>
    <w:rsid w:val="00C501A0"/>
    <w:rsid w:val="00C51B69"/>
    <w:rsid w:val="00C56480"/>
    <w:rsid w:val="00C6331A"/>
    <w:rsid w:val="00C67AE3"/>
    <w:rsid w:val="00C70116"/>
    <w:rsid w:val="00C72C90"/>
    <w:rsid w:val="00C82E51"/>
    <w:rsid w:val="00C87535"/>
    <w:rsid w:val="00C92024"/>
    <w:rsid w:val="00C97899"/>
    <w:rsid w:val="00CA6EF3"/>
    <w:rsid w:val="00CA731B"/>
    <w:rsid w:val="00CB06B4"/>
    <w:rsid w:val="00CB149B"/>
    <w:rsid w:val="00CB4DAF"/>
    <w:rsid w:val="00CB6578"/>
    <w:rsid w:val="00CB74FE"/>
    <w:rsid w:val="00CC616E"/>
    <w:rsid w:val="00CD07D8"/>
    <w:rsid w:val="00CD63D1"/>
    <w:rsid w:val="00CF2707"/>
    <w:rsid w:val="00D003F6"/>
    <w:rsid w:val="00D023F3"/>
    <w:rsid w:val="00D03110"/>
    <w:rsid w:val="00D06B63"/>
    <w:rsid w:val="00D2081E"/>
    <w:rsid w:val="00D23D15"/>
    <w:rsid w:val="00D27415"/>
    <w:rsid w:val="00D32CEF"/>
    <w:rsid w:val="00D35DCB"/>
    <w:rsid w:val="00D51B7F"/>
    <w:rsid w:val="00D5645A"/>
    <w:rsid w:val="00D62F10"/>
    <w:rsid w:val="00D636DE"/>
    <w:rsid w:val="00D63D41"/>
    <w:rsid w:val="00D6447E"/>
    <w:rsid w:val="00D70B30"/>
    <w:rsid w:val="00D74C4E"/>
    <w:rsid w:val="00D80EBF"/>
    <w:rsid w:val="00D80EC6"/>
    <w:rsid w:val="00D82C3C"/>
    <w:rsid w:val="00D85AFF"/>
    <w:rsid w:val="00D909BF"/>
    <w:rsid w:val="00D961DE"/>
    <w:rsid w:val="00D96C42"/>
    <w:rsid w:val="00DA3B1D"/>
    <w:rsid w:val="00DB07B5"/>
    <w:rsid w:val="00DB1E14"/>
    <w:rsid w:val="00DB6A2B"/>
    <w:rsid w:val="00DC2599"/>
    <w:rsid w:val="00DD6331"/>
    <w:rsid w:val="00DD69BC"/>
    <w:rsid w:val="00DE17CA"/>
    <w:rsid w:val="00DE210A"/>
    <w:rsid w:val="00DE5B20"/>
    <w:rsid w:val="00DE609F"/>
    <w:rsid w:val="00DF51BA"/>
    <w:rsid w:val="00E01006"/>
    <w:rsid w:val="00E01066"/>
    <w:rsid w:val="00E02E53"/>
    <w:rsid w:val="00E04E78"/>
    <w:rsid w:val="00E164CC"/>
    <w:rsid w:val="00E1676B"/>
    <w:rsid w:val="00E17989"/>
    <w:rsid w:val="00E32D5F"/>
    <w:rsid w:val="00E35B2D"/>
    <w:rsid w:val="00E43443"/>
    <w:rsid w:val="00E468A4"/>
    <w:rsid w:val="00E55735"/>
    <w:rsid w:val="00E622D5"/>
    <w:rsid w:val="00E81F7D"/>
    <w:rsid w:val="00E85FE3"/>
    <w:rsid w:val="00E92D5D"/>
    <w:rsid w:val="00E95DBD"/>
    <w:rsid w:val="00EB05E2"/>
    <w:rsid w:val="00EB2D11"/>
    <w:rsid w:val="00EC4DF8"/>
    <w:rsid w:val="00EE0832"/>
    <w:rsid w:val="00EE341C"/>
    <w:rsid w:val="00EF1BF9"/>
    <w:rsid w:val="00F0656D"/>
    <w:rsid w:val="00F10418"/>
    <w:rsid w:val="00F157DC"/>
    <w:rsid w:val="00F21D11"/>
    <w:rsid w:val="00F22528"/>
    <w:rsid w:val="00F24B8B"/>
    <w:rsid w:val="00F3179A"/>
    <w:rsid w:val="00F32FE9"/>
    <w:rsid w:val="00F33080"/>
    <w:rsid w:val="00F47089"/>
    <w:rsid w:val="00F707C8"/>
    <w:rsid w:val="00F7589D"/>
    <w:rsid w:val="00F76A92"/>
    <w:rsid w:val="00F93AD1"/>
    <w:rsid w:val="00F9549A"/>
    <w:rsid w:val="00F95F3B"/>
    <w:rsid w:val="00F965C7"/>
    <w:rsid w:val="00FA52DE"/>
    <w:rsid w:val="00FA7708"/>
    <w:rsid w:val="00FB23A6"/>
    <w:rsid w:val="00FB2CE5"/>
    <w:rsid w:val="00FB319C"/>
    <w:rsid w:val="00FB6720"/>
    <w:rsid w:val="00FC3712"/>
    <w:rsid w:val="00FC608D"/>
    <w:rsid w:val="00FC7E4A"/>
    <w:rsid w:val="00FD4C0E"/>
    <w:rsid w:val="00FE2D0B"/>
    <w:rsid w:val="00FE326D"/>
    <w:rsid w:val="00FE687A"/>
    <w:rsid w:val="00FF147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0F1E"/>
  <w15:chartTrackingRefBased/>
  <w15:docId w15:val="{139A296E-C612-42D0-BE1B-A6051CC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3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F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4F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B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4FB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p">
    <w:name w:val="p"/>
    <w:basedOn w:val="Normal"/>
    <w:rsid w:val="002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B8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8256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B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5EB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5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opendata.cbs.nl/stat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data.cbs.nl/statli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BCAE-78BF-4853-B6C3-ADC080C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McDonald</dc:creator>
  <cp:keywords/>
  <dc:description/>
  <cp:lastModifiedBy>Anouska Colledge</cp:lastModifiedBy>
  <cp:revision>2</cp:revision>
  <cp:lastPrinted>2020-10-01T16:07:00Z</cp:lastPrinted>
  <dcterms:created xsi:type="dcterms:W3CDTF">2021-05-17T14:12:00Z</dcterms:created>
  <dcterms:modified xsi:type="dcterms:W3CDTF">2021-05-17T14:12:00Z</dcterms:modified>
</cp:coreProperties>
</file>