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994A" w14:textId="7A6D9B0F" w:rsidR="000153DE" w:rsidRPr="00AA7BAC" w:rsidRDefault="00AA7BAC" w:rsidP="00AA7BAC">
      <w:pPr>
        <w:jc w:val="left"/>
        <w:rPr>
          <w:rFonts w:ascii="Arial" w:eastAsia="Gulim" w:hAnsi="Arial" w:cs="Arial"/>
          <w:color w:val="000000" w:themeColor="text1"/>
          <w:kern w:val="0"/>
          <w:sz w:val="24"/>
          <w:szCs w:val="24"/>
        </w:rPr>
      </w:pPr>
      <w:r w:rsidRPr="00AA7B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Supplementary Table S1. </w:t>
      </w:r>
      <w:r w:rsidRPr="00AA7B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year of survey, serological testing method, ages of subject and sample size</w:t>
      </w:r>
      <w:r w:rsidRPr="00AA7B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AA7B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seroepidemiological</w:t>
      </w:r>
      <w:proofErr w:type="spellEnd"/>
      <w:r w:rsidRPr="00AA7B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studies in Japan.</w:t>
      </w:r>
    </w:p>
    <w:p w14:paraId="0B97722B" w14:textId="77777777" w:rsidR="00000020" w:rsidRPr="00AA7BAC" w:rsidRDefault="00000020">
      <w:pPr>
        <w:rPr>
          <w:rFonts w:ascii="Arial" w:eastAsia="Gulim" w:hAnsi="Arial" w:cs="Arial"/>
          <w:color w:val="000000" w:themeColor="text1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2"/>
        <w:gridCol w:w="1457"/>
        <w:gridCol w:w="1783"/>
        <w:gridCol w:w="1030"/>
        <w:gridCol w:w="2994"/>
      </w:tblGrid>
      <w:tr w:rsidR="00AA7BAC" w:rsidRPr="00AA7BAC" w14:paraId="53403EBD" w14:textId="77777777" w:rsidTr="00995F04">
        <w:tc>
          <w:tcPr>
            <w:tcW w:w="1838" w:type="dxa"/>
          </w:tcPr>
          <w:p w14:paraId="4C039DA2" w14:textId="77777777" w:rsidR="00000020" w:rsidRPr="00AA7BAC" w:rsidRDefault="00000020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Authors</w:t>
            </w:r>
          </w:p>
        </w:tc>
        <w:tc>
          <w:tcPr>
            <w:tcW w:w="992" w:type="dxa"/>
          </w:tcPr>
          <w:p w14:paraId="41C32AAA" w14:textId="59FC431B" w:rsidR="00000020" w:rsidRPr="00AA7BAC" w:rsidRDefault="00000020" w:rsidP="00AA7BAC">
            <w:pPr>
              <w:jc w:val="left"/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Y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ear</w:t>
            </w:r>
            <w:r w:rsid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 xml:space="preserve"> of observation</w:t>
            </w:r>
          </w:p>
        </w:tc>
        <w:tc>
          <w:tcPr>
            <w:tcW w:w="1843" w:type="dxa"/>
          </w:tcPr>
          <w:p w14:paraId="77489B4A" w14:textId="77E7066D" w:rsidR="00000020" w:rsidRPr="00AA7BAC" w:rsidRDefault="00AA7BAC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Diagnostic testing method</w:t>
            </w:r>
          </w:p>
        </w:tc>
        <w:tc>
          <w:tcPr>
            <w:tcW w:w="1030" w:type="dxa"/>
          </w:tcPr>
          <w:p w14:paraId="377A566D" w14:textId="77777777" w:rsidR="00000020" w:rsidRPr="00AA7BAC" w:rsidRDefault="00000020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S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ample size</w:t>
            </w:r>
          </w:p>
        </w:tc>
        <w:tc>
          <w:tcPr>
            <w:tcW w:w="3313" w:type="dxa"/>
          </w:tcPr>
          <w:p w14:paraId="6B5266D7" w14:textId="69308970" w:rsidR="00000020" w:rsidRPr="00AA7BAC" w:rsidRDefault="00AA7BAC" w:rsidP="00000020">
            <w:pPr>
              <w:rPr>
                <w:rFonts w:ascii="Arial" w:eastAsia="ＭＳ 明朝" w:hAnsi="Arial" w:cs="Arial" w:hint="eastAsia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ascii="Arial" w:eastAsia="ＭＳ 明朝" w:hAnsi="Arial" w:cs="Arial"/>
                <w:color w:val="000000" w:themeColor="text1"/>
                <w:kern w:val="0"/>
                <w:sz w:val="24"/>
                <w:szCs w:val="24"/>
                <w:lang w:eastAsia="ja-JP"/>
              </w:rPr>
              <w:t>ges of subject</w:t>
            </w:r>
          </w:p>
        </w:tc>
      </w:tr>
      <w:tr w:rsidR="00AA7BAC" w:rsidRPr="00AA7BAC" w14:paraId="1C34FD60" w14:textId="77777777" w:rsidTr="00995F04">
        <w:trPr>
          <w:trHeight w:val="848"/>
        </w:trPr>
        <w:tc>
          <w:tcPr>
            <w:tcW w:w="1838" w:type="dxa"/>
          </w:tcPr>
          <w:p w14:paraId="62B3C395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Fujisawa et al.</w:t>
            </w:r>
          </w:p>
        </w:tc>
        <w:tc>
          <w:tcPr>
            <w:tcW w:w="992" w:type="dxa"/>
          </w:tcPr>
          <w:p w14:paraId="25630CB0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1974</w:t>
            </w:r>
          </w:p>
          <w:p w14:paraId="63EA8271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1984</w:t>
            </w:r>
          </w:p>
          <w:p w14:paraId="369B2655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1994</w:t>
            </w:r>
          </w:p>
        </w:tc>
        <w:tc>
          <w:tcPr>
            <w:tcW w:w="1843" w:type="dxa"/>
          </w:tcPr>
          <w:p w14:paraId="791A5953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 xml:space="preserve">Serum 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IgG</w:t>
            </w:r>
          </w:p>
        </w:tc>
        <w:tc>
          <w:tcPr>
            <w:tcW w:w="1030" w:type="dxa"/>
          </w:tcPr>
          <w:p w14:paraId="02E1CC2D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349</w:t>
            </w:r>
          </w:p>
          <w:p w14:paraId="2B629A1D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324</w:t>
            </w:r>
          </w:p>
          <w:p w14:paraId="00BF141F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342</w:t>
            </w:r>
          </w:p>
        </w:tc>
        <w:tc>
          <w:tcPr>
            <w:tcW w:w="3313" w:type="dxa"/>
          </w:tcPr>
          <w:p w14:paraId="3D739B9D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0-70+</w:t>
            </w:r>
          </w:p>
          <w:p w14:paraId="1725B247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Table</w:t>
            </w:r>
          </w:p>
        </w:tc>
      </w:tr>
      <w:tr w:rsidR="00AA7BAC" w:rsidRPr="00AA7BAC" w14:paraId="75B4A8ED" w14:textId="77777777" w:rsidTr="00995F04">
        <w:trPr>
          <w:trHeight w:val="562"/>
        </w:trPr>
        <w:tc>
          <w:tcPr>
            <w:tcW w:w="1838" w:type="dxa"/>
          </w:tcPr>
          <w:p w14:paraId="37E90C77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Kumagai et al.</w:t>
            </w:r>
          </w:p>
        </w:tc>
        <w:tc>
          <w:tcPr>
            <w:tcW w:w="992" w:type="dxa"/>
          </w:tcPr>
          <w:p w14:paraId="028FFABD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1986</w:t>
            </w:r>
          </w:p>
          <w:p w14:paraId="6892DF67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1994</w:t>
            </w:r>
          </w:p>
        </w:tc>
        <w:tc>
          <w:tcPr>
            <w:tcW w:w="1843" w:type="dxa"/>
          </w:tcPr>
          <w:p w14:paraId="65915BD8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Serum IgG</w:t>
            </w:r>
          </w:p>
        </w:tc>
        <w:tc>
          <w:tcPr>
            <w:tcW w:w="1030" w:type="dxa"/>
          </w:tcPr>
          <w:p w14:paraId="147D4DC1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641</w:t>
            </w:r>
          </w:p>
          <w:p w14:paraId="261CA840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549</w:t>
            </w:r>
          </w:p>
        </w:tc>
        <w:tc>
          <w:tcPr>
            <w:tcW w:w="3313" w:type="dxa"/>
          </w:tcPr>
          <w:p w14:paraId="346F6F80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6-19 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112</w:t>
            </w:r>
          </w:p>
          <w:p w14:paraId="32154995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20-80 552</w:t>
            </w:r>
          </w:p>
        </w:tc>
      </w:tr>
      <w:tr w:rsidR="00AA7BAC" w:rsidRPr="00AA7BAC" w14:paraId="4F37F010" w14:textId="77777777" w:rsidTr="00995F04">
        <w:tc>
          <w:tcPr>
            <w:tcW w:w="1838" w:type="dxa"/>
          </w:tcPr>
          <w:p w14:paraId="2EC17719" w14:textId="77777777" w:rsidR="00000020" w:rsidRPr="00AA7BAC" w:rsidRDefault="00000020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Asaka et al.</w:t>
            </w:r>
          </w:p>
        </w:tc>
        <w:tc>
          <w:tcPr>
            <w:tcW w:w="992" w:type="dxa"/>
          </w:tcPr>
          <w:p w14:paraId="4F02BC3E" w14:textId="77777777" w:rsidR="00000020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1991</w:t>
            </w:r>
          </w:p>
        </w:tc>
        <w:tc>
          <w:tcPr>
            <w:tcW w:w="1843" w:type="dxa"/>
          </w:tcPr>
          <w:p w14:paraId="36FC7F46" w14:textId="77777777" w:rsidR="00995F04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Serun IgG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 xml:space="preserve">, </w:t>
            </w:r>
          </w:p>
          <w:p w14:paraId="0FAB77B9" w14:textId="77777777" w:rsidR="00000020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Urea breathing test</w:t>
            </w:r>
          </w:p>
        </w:tc>
        <w:tc>
          <w:tcPr>
            <w:tcW w:w="1030" w:type="dxa"/>
          </w:tcPr>
          <w:p w14:paraId="401CBF23" w14:textId="77777777" w:rsidR="00000020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426</w:t>
            </w:r>
          </w:p>
        </w:tc>
        <w:tc>
          <w:tcPr>
            <w:tcW w:w="3313" w:type="dxa"/>
          </w:tcPr>
          <w:p w14:paraId="29DD6DC5" w14:textId="77777777" w:rsidR="00000020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0-6 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75</w:t>
            </w:r>
          </w:p>
          <w:p w14:paraId="2EC8E00E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High school and college 56</w:t>
            </w:r>
          </w:p>
          <w:p w14:paraId="6B48497B" w14:textId="77777777" w:rsidR="009971F6" w:rsidRPr="00AA7BAC" w:rsidRDefault="009971F6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Health screening center 295</w:t>
            </w:r>
          </w:p>
        </w:tc>
      </w:tr>
      <w:tr w:rsidR="00AA7BAC" w:rsidRPr="00AA7BAC" w14:paraId="762AC8F2" w14:textId="77777777" w:rsidTr="00995F04">
        <w:tc>
          <w:tcPr>
            <w:tcW w:w="1838" w:type="dxa"/>
          </w:tcPr>
          <w:p w14:paraId="300183BC" w14:textId="77777777" w:rsidR="00000020" w:rsidRPr="00AA7BAC" w:rsidRDefault="00000020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Malaty et al</w:t>
            </w:r>
          </w:p>
        </w:tc>
        <w:tc>
          <w:tcPr>
            <w:tcW w:w="992" w:type="dxa"/>
          </w:tcPr>
          <w:p w14:paraId="452788AE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1994</w:t>
            </w:r>
          </w:p>
        </w:tc>
        <w:tc>
          <w:tcPr>
            <w:tcW w:w="1843" w:type="dxa"/>
          </w:tcPr>
          <w:p w14:paraId="18B35CB2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Serum IgG</w:t>
            </w:r>
          </w:p>
        </w:tc>
        <w:tc>
          <w:tcPr>
            <w:tcW w:w="1030" w:type="dxa"/>
          </w:tcPr>
          <w:p w14:paraId="33F7D834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480</w:t>
            </w:r>
          </w:p>
        </w:tc>
        <w:tc>
          <w:tcPr>
            <w:tcW w:w="3313" w:type="dxa"/>
          </w:tcPr>
          <w:p w14:paraId="462E1DEE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A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dult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 xml:space="preserve"> 394</w:t>
            </w:r>
          </w:p>
          <w:p w14:paraId="723F0189" w14:textId="77777777" w:rsidR="00995F04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Children 86</w:t>
            </w:r>
          </w:p>
        </w:tc>
      </w:tr>
      <w:tr w:rsidR="00AA7BAC" w:rsidRPr="00AA7BAC" w14:paraId="75A039F0" w14:textId="77777777" w:rsidTr="00995F04">
        <w:tc>
          <w:tcPr>
            <w:tcW w:w="1838" w:type="dxa"/>
          </w:tcPr>
          <w:p w14:paraId="626BE692" w14:textId="77777777" w:rsidR="00000020" w:rsidRPr="00AA7BAC" w:rsidRDefault="00000020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A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kamatsu et al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0795637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2007</w:t>
            </w:r>
          </w:p>
          <w:p w14:paraId="29ED5A64" w14:textId="77777777" w:rsidR="00995F04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2008</w:t>
            </w:r>
          </w:p>
          <w:p w14:paraId="11B18313" w14:textId="77777777" w:rsidR="00995F04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14:paraId="61FE3416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U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rine 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antibody</w:t>
            </w:r>
          </w:p>
        </w:tc>
        <w:tc>
          <w:tcPr>
            <w:tcW w:w="1030" w:type="dxa"/>
          </w:tcPr>
          <w:p w14:paraId="70211511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409</w:t>
            </w:r>
          </w:p>
          <w:p w14:paraId="40322EA7" w14:textId="77777777" w:rsidR="00995F04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370</w:t>
            </w:r>
          </w:p>
          <w:p w14:paraId="603491B6" w14:textId="77777777" w:rsidR="00995F04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445</w:t>
            </w:r>
          </w:p>
        </w:tc>
        <w:tc>
          <w:tcPr>
            <w:tcW w:w="3313" w:type="dxa"/>
          </w:tcPr>
          <w:p w14:paraId="5BC6D32D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16-17</w:t>
            </w:r>
          </w:p>
        </w:tc>
      </w:tr>
      <w:tr w:rsidR="00AA7BAC" w:rsidRPr="00AA7BAC" w14:paraId="24A07CE8" w14:textId="77777777" w:rsidTr="00995F04">
        <w:tc>
          <w:tcPr>
            <w:tcW w:w="1838" w:type="dxa"/>
          </w:tcPr>
          <w:p w14:paraId="1EDBAF2A" w14:textId="77777777" w:rsidR="00000020" w:rsidRPr="00AA7BAC" w:rsidRDefault="00000020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H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irayama 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et al.</w:t>
            </w:r>
          </w:p>
        </w:tc>
        <w:tc>
          <w:tcPr>
            <w:tcW w:w="992" w:type="dxa"/>
          </w:tcPr>
          <w:p w14:paraId="6CDBA536" w14:textId="77777777" w:rsidR="00000020" w:rsidRPr="00AA7BAC" w:rsidRDefault="0059323D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2008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-2012</w:t>
            </w:r>
          </w:p>
        </w:tc>
        <w:tc>
          <w:tcPr>
            <w:tcW w:w="1843" w:type="dxa"/>
          </w:tcPr>
          <w:p w14:paraId="415E0958" w14:textId="77777777" w:rsidR="00000020" w:rsidRPr="00AA7BAC" w:rsidRDefault="0059323D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S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erum 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antibody</w:t>
            </w:r>
          </w:p>
        </w:tc>
        <w:tc>
          <w:tcPr>
            <w:tcW w:w="1030" w:type="dxa"/>
          </w:tcPr>
          <w:p w14:paraId="4F995134" w14:textId="77777777" w:rsidR="00000020" w:rsidRPr="00AA7BAC" w:rsidRDefault="0059323D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21,144</w:t>
            </w:r>
          </w:p>
        </w:tc>
        <w:tc>
          <w:tcPr>
            <w:tcW w:w="3313" w:type="dxa"/>
          </w:tcPr>
          <w:p w14:paraId="47CD28BC" w14:textId="77777777" w:rsidR="00000020" w:rsidRPr="00AA7BAC" w:rsidRDefault="0059323D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30-79</w:t>
            </w:r>
          </w:p>
        </w:tc>
      </w:tr>
      <w:tr w:rsidR="00AA7BAC" w:rsidRPr="00AA7BAC" w14:paraId="7B0ED8C7" w14:textId="77777777" w:rsidTr="00995F04">
        <w:tc>
          <w:tcPr>
            <w:tcW w:w="1838" w:type="dxa"/>
          </w:tcPr>
          <w:p w14:paraId="3BE48422" w14:textId="77777777" w:rsidR="00000020" w:rsidRPr="00AA7BAC" w:rsidRDefault="00000020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O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kuda 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et al.</w:t>
            </w:r>
          </w:p>
        </w:tc>
        <w:tc>
          <w:tcPr>
            <w:tcW w:w="992" w:type="dxa"/>
          </w:tcPr>
          <w:p w14:paraId="48ADDA80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2010</w:t>
            </w:r>
          </w:p>
          <w:p w14:paraId="50A44BA6" w14:textId="77777777" w:rsidR="00995F04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14:paraId="49F6EF67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S</w:t>
            </w: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tool </w:t>
            </w: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antigen,</w:t>
            </w:r>
          </w:p>
          <w:p w14:paraId="214B22EE" w14:textId="69FEB082" w:rsidR="00995F04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 xml:space="preserve">Stool real time </w:t>
            </w:r>
            <w:r w:rsid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polymerase chain reaction</w:t>
            </w:r>
          </w:p>
        </w:tc>
        <w:tc>
          <w:tcPr>
            <w:tcW w:w="1030" w:type="dxa"/>
          </w:tcPr>
          <w:p w14:paraId="5A87B623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689</w:t>
            </w:r>
          </w:p>
          <w:p w14:paraId="236346F7" w14:textId="77777777" w:rsidR="00995F04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835</w:t>
            </w:r>
          </w:p>
        </w:tc>
        <w:tc>
          <w:tcPr>
            <w:tcW w:w="3313" w:type="dxa"/>
          </w:tcPr>
          <w:p w14:paraId="32A63AF0" w14:textId="77777777" w:rsidR="00000020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 w:hint="eastAsia"/>
                <w:color w:val="000000" w:themeColor="text1"/>
                <w:kern w:val="0"/>
                <w:sz w:val="24"/>
                <w:szCs w:val="24"/>
              </w:rPr>
              <w:t>0-8</w:t>
            </w:r>
          </w:p>
          <w:p w14:paraId="2E2FCE6C" w14:textId="77777777" w:rsidR="00995F04" w:rsidRPr="00AA7BAC" w:rsidRDefault="00995F04" w:rsidP="00000020">
            <w:pPr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7BAC">
              <w:rPr>
                <w:rFonts w:ascii="Arial" w:eastAsia="Gulim" w:hAnsi="Arial" w:cs="Arial"/>
                <w:color w:val="000000" w:themeColor="text1"/>
                <w:kern w:val="0"/>
                <w:sz w:val="24"/>
                <w:szCs w:val="24"/>
              </w:rPr>
              <w:t>0-11</w:t>
            </w:r>
          </w:p>
        </w:tc>
      </w:tr>
    </w:tbl>
    <w:p w14:paraId="565645BE" w14:textId="35C52A9F" w:rsidR="00D26E5B" w:rsidRPr="00AA7BAC" w:rsidRDefault="00D26E5B" w:rsidP="000153DE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sectPr w:rsidR="00D26E5B" w:rsidRPr="00AA7B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C96B7" w14:textId="77777777" w:rsidR="00101C14" w:rsidRDefault="00101C14" w:rsidP="000153DE">
      <w:pPr>
        <w:spacing w:after="0" w:line="240" w:lineRule="auto"/>
      </w:pPr>
      <w:r>
        <w:separator/>
      </w:r>
    </w:p>
  </w:endnote>
  <w:endnote w:type="continuationSeparator" w:id="0">
    <w:p w14:paraId="29461146" w14:textId="77777777" w:rsidR="00101C14" w:rsidRDefault="00101C14" w:rsidP="0001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A861" w14:textId="77777777" w:rsidR="00101C14" w:rsidRDefault="00101C14" w:rsidP="000153DE">
      <w:pPr>
        <w:spacing w:after="0" w:line="240" w:lineRule="auto"/>
      </w:pPr>
      <w:r>
        <w:separator/>
      </w:r>
    </w:p>
  </w:footnote>
  <w:footnote w:type="continuationSeparator" w:id="0">
    <w:p w14:paraId="45E9C4BE" w14:textId="77777777" w:rsidR="00101C14" w:rsidRDefault="00101C14" w:rsidP="00015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62"/>
    <w:multiLevelType w:val="hybridMultilevel"/>
    <w:tmpl w:val="443879E8"/>
    <w:lvl w:ilvl="0" w:tplc="ECDC7C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0342700"/>
    <w:multiLevelType w:val="hybridMultilevel"/>
    <w:tmpl w:val="443879E8"/>
    <w:lvl w:ilvl="0" w:tplc="ECDC7C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34D51D2"/>
    <w:multiLevelType w:val="hybridMultilevel"/>
    <w:tmpl w:val="3850E7D4"/>
    <w:lvl w:ilvl="0" w:tplc="2A7A1664">
      <w:start w:val="1986"/>
      <w:numFmt w:val="decimal"/>
      <w:lvlText w:val="%1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C"/>
    <w:rsid w:val="00000020"/>
    <w:rsid w:val="000153DE"/>
    <w:rsid w:val="000D72BE"/>
    <w:rsid w:val="00101C14"/>
    <w:rsid w:val="00155254"/>
    <w:rsid w:val="001F36A9"/>
    <w:rsid w:val="001F4759"/>
    <w:rsid w:val="00426B48"/>
    <w:rsid w:val="00582E05"/>
    <w:rsid w:val="0059323D"/>
    <w:rsid w:val="00664A32"/>
    <w:rsid w:val="006C4F3B"/>
    <w:rsid w:val="00756364"/>
    <w:rsid w:val="00995F04"/>
    <w:rsid w:val="009971F6"/>
    <w:rsid w:val="009F232B"/>
    <w:rsid w:val="00A217D5"/>
    <w:rsid w:val="00AA7BAC"/>
    <w:rsid w:val="00B252E5"/>
    <w:rsid w:val="00B83927"/>
    <w:rsid w:val="00BD054C"/>
    <w:rsid w:val="00CA1D99"/>
    <w:rsid w:val="00D26E5B"/>
    <w:rsid w:val="00D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9F36E"/>
  <w15:chartTrackingRefBased/>
  <w15:docId w15:val="{A1D219AF-BAAE-4AF3-AD9C-42527FF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3DE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3DE"/>
  </w:style>
  <w:style w:type="paragraph" w:styleId="a5">
    <w:name w:val="footer"/>
    <w:basedOn w:val="a"/>
    <w:link w:val="a6"/>
    <w:uiPriority w:val="99"/>
    <w:unhideWhenUsed/>
    <w:rsid w:val="000153DE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3DE"/>
  </w:style>
  <w:style w:type="paragraph" w:styleId="a7">
    <w:name w:val="List Paragraph"/>
    <w:basedOn w:val="a"/>
    <w:uiPriority w:val="34"/>
    <w:qFormat/>
    <w:rsid w:val="00426B48"/>
    <w:pPr>
      <w:ind w:leftChars="400" w:left="800"/>
    </w:pPr>
  </w:style>
  <w:style w:type="character" w:styleId="a8">
    <w:name w:val="Hyperlink"/>
    <w:basedOn w:val="a0"/>
    <w:uiPriority w:val="99"/>
    <w:unhideWhenUsed/>
    <w:rsid w:val="001F475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00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744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88020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11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KI-DEOK LEE</dc:creator>
  <cp:keywords/>
  <dc:description/>
  <cp:lastModifiedBy>NISHIURA Hiroshi</cp:lastModifiedBy>
  <cp:revision>2</cp:revision>
  <dcterms:created xsi:type="dcterms:W3CDTF">2021-07-13T23:16:00Z</dcterms:created>
  <dcterms:modified xsi:type="dcterms:W3CDTF">2021-07-13T23:16:00Z</dcterms:modified>
</cp:coreProperties>
</file>