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2.png" ContentType="image/png"/>
  <Override PartName="/word/media/image11.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2.png" ContentType="image/png"/>
  <Override PartName="/word/media/image1.png" ContentType="image/png"/>
  <Override PartName="/word/media/image3.png" ContentType="image/png"/>
  <Override PartName="/word/media/image4.png" ContentType="image/png"/>
  <Override PartName="/word/media/image5.png" ContentType="image/png"/>
  <Override PartName="/word/media/image6.png" ContentType="image/pn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false"/>
        <w:keepLines w:val="false"/>
        <w:widowControl w:val="false"/>
        <w:spacing w:lineRule="auto" w:line="480" w:before="0" w:after="140"/>
        <w:ind w:left="0" w:right="0" w:hanging="0"/>
        <w:jc w:val="left"/>
        <w:rPr>
          <w:rFonts w:eastAsia="Liberation Serif" w:cs="Liberation Serif"/>
          <w:b/>
          <w:b/>
          <w:i w:val="false"/>
          <w:i w:val="false"/>
          <w:caps w:val="false"/>
          <w:smallCaps w:val="false"/>
          <w:strike w:val="false"/>
          <w:dstrike w:val="false"/>
          <w:color w:val="000000"/>
          <w:position w:val="0"/>
          <w:sz w:val="24"/>
          <w:sz w:val="24"/>
          <w:szCs w:val="24"/>
          <w:u w:val="none"/>
          <w:vertAlign w:val="baseline"/>
        </w:rPr>
      </w:pPr>
      <w:r>
        <w:rPr>
          <w:rFonts w:eastAsia="Liberation Serif" w:cs="Liberation Serif"/>
          <w:b/>
          <w:i w:val="false"/>
          <w:caps w:val="false"/>
          <w:smallCaps w:val="false"/>
          <w:strike w:val="false"/>
          <w:dstrike w:val="false"/>
          <w:color w:val="000000"/>
          <w:position w:val="0"/>
          <w:sz w:val="24"/>
          <w:sz w:val="24"/>
          <w:szCs w:val="24"/>
          <w:u w:val="none"/>
          <w:vertAlign w:val="baseline"/>
        </w:rPr>
        <w:t>Supplementary figures</w:t>
      </w:r>
    </w:p>
    <w:p>
      <w:pPr>
        <w:pStyle w:val="Normal"/>
        <w:keepNext w:val="false"/>
        <w:keepLines w:val="false"/>
        <w:widowControl w:val="false"/>
        <w:spacing w:lineRule="auto" w:line="480" w:before="0" w:after="140"/>
        <w:ind w:left="0" w:right="0" w:hanging="0"/>
        <w:jc w:val="left"/>
        <w:rPr/>
      </w:pPr>
      <w:r>
        <w:rPr/>
        <w:drawing>
          <wp:inline distT="0" distB="0" distL="0" distR="0">
            <wp:extent cx="6332220" cy="316230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6332220" cy="3162300"/>
                    </a:xfrm>
                    <a:prstGeom prst="rect">
                      <a:avLst/>
                    </a:prstGeom>
                  </pic:spPr>
                </pic:pic>
              </a:graphicData>
            </a:graphic>
          </wp:inline>
        </w:drawing>
      </w:r>
    </w:p>
    <w:p>
      <w:pPr>
        <w:pStyle w:val="Normal"/>
        <w:keepNext w:val="false"/>
        <w:keepLines w:val="false"/>
        <w:widowControl w:val="false"/>
        <w:spacing w:lineRule="auto" w:line="480" w:before="0" w:after="140"/>
        <w:ind w:left="0" w:right="0" w:hanging="0"/>
        <w:jc w:val="left"/>
        <w:rPr>
          <w:i/>
          <w:i/>
        </w:rPr>
      </w:pPr>
      <w:r>
        <w:rPr>
          <w:i/>
        </w:rPr>
        <w:t>Fig. S1: proportion of cases isolating in off-campus housing. Open circles indicate the proportion of notified cases that day that entered isolation that day. Black line and shaded region shows a generalized additive model with logit link fitted to this data, and the 95% confidence interval, respectively.</w:t>
      </w:r>
    </w:p>
    <w:p>
      <w:pPr>
        <w:pStyle w:val="Normal"/>
        <w:keepNext w:val="false"/>
        <w:keepLines w:val="false"/>
        <w:widowControl w:val="false"/>
        <w:spacing w:lineRule="auto" w:line="480" w:before="0" w:after="140"/>
        <w:ind w:left="0" w:right="0" w:hanging="0"/>
        <w:jc w:val="left"/>
        <w:rPr/>
      </w:pPr>
      <w:r>
        <w:rPr/>
        <w:drawing>
          <wp:inline distT="0" distB="0" distL="0" distR="0">
            <wp:extent cx="6332220" cy="6337300"/>
            <wp:effectExtent l="0" t="0" r="0" b="0"/>
            <wp:docPr id="2"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descr=""/>
                    <pic:cNvPicPr>
                      <a:picLocks noChangeAspect="1" noChangeArrowheads="1"/>
                    </pic:cNvPicPr>
                  </pic:nvPicPr>
                  <pic:blipFill>
                    <a:blip r:embed="rId3"/>
                    <a:stretch>
                      <a:fillRect/>
                    </a:stretch>
                  </pic:blipFill>
                  <pic:spPr bwMode="auto">
                    <a:xfrm>
                      <a:off x="0" y="0"/>
                      <a:ext cx="6332220" cy="6337300"/>
                    </a:xfrm>
                    <a:prstGeom prst="rect">
                      <a:avLst/>
                    </a:prstGeom>
                  </pic:spPr>
                </pic:pic>
              </a:graphicData>
            </a:graphic>
          </wp:inline>
        </w:drawing>
      </w:r>
      <w:r>
        <w:rPr>
          <w:rFonts w:eastAsia="Liberation Serif" w:cs="Liberation Serif"/>
          <w:b w:val="false"/>
          <w:i/>
          <w:caps w:val="false"/>
          <w:smallCaps w:val="false"/>
          <w:strike w:val="false"/>
          <w:dstrike w:val="false"/>
          <w:color w:val="000000"/>
          <w:position w:val="0"/>
          <w:sz w:val="24"/>
          <w:sz w:val="24"/>
          <w:szCs w:val="24"/>
          <w:u w:val="none"/>
          <w:vertAlign w:val="baseline"/>
        </w:rPr>
        <w:t>Fig</w:t>
      </w:r>
      <w:r>
        <w:rPr>
          <w:i/>
        </w:rPr>
        <w:t>.</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S</w:t>
      </w:r>
      <w:r>
        <w:rPr>
          <w:i/>
        </w:rPr>
        <w:t>2</w:t>
      </w:r>
      <w:r>
        <w:rPr>
          <w:rFonts w:eastAsia="Liberation Serif" w:cs="Liberation Serif"/>
          <w:b w:val="false"/>
          <w:i/>
          <w:caps w:val="false"/>
          <w:smallCaps w:val="false"/>
          <w:strike w:val="false"/>
          <w:dstrike w:val="false"/>
          <w:color w:val="000000"/>
          <w:position w:val="0"/>
          <w:sz w:val="24"/>
          <w:sz w:val="24"/>
          <w:szCs w:val="24"/>
          <w:u w:val="none"/>
          <w:vertAlign w:val="baseline"/>
        </w:rPr>
        <w:t>: cross-correlation plot of case notifications and SARS-CoV-2 RNA concentration in the wastewater. Negative lags indicate that the RNA concentration is a leading indicator of changes in the case notification.</w:t>
      </w:r>
    </w:p>
    <w:p>
      <w:pPr>
        <w:pStyle w:val="Normal"/>
        <w:keepNext w:val="false"/>
        <w:keepLines w:val="false"/>
        <w:widowControl w:val="false"/>
        <w:spacing w:lineRule="auto" w:line="480" w:before="0" w:after="140"/>
        <w:ind w:left="0" w:right="0" w:hanging="0"/>
        <w:jc w:val="left"/>
        <w:rPr/>
      </w:pPr>
      <w:r>
        <w:rPr/>
        <w:drawing>
          <wp:inline distT="0" distB="0" distL="0" distR="0">
            <wp:extent cx="6332220" cy="6337300"/>
            <wp:effectExtent l="0" t="0" r="0" b="0"/>
            <wp:docPr id="3"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descr=""/>
                    <pic:cNvPicPr>
                      <a:picLocks noChangeAspect="1" noChangeArrowheads="1"/>
                    </pic:cNvPicPr>
                  </pic:nvPicPr>
                  <pic:blipFill>
                    <a:blip r:embed="rId4"/>
                    <a:stretch>
                      <a:fillRect/>
                    </a:stretch>
                  </pic:blipFill>
                  <pic:spPr bwMode="auto">
                    <a:xfrm>
                      <a:off x="0" y="0"/>
                      <a:ext cx="6332220" cy="6337300"/>
                    </a:xfrm>
                    <a:prstGeom prst="rect">
                      <a:avLst/>
                    </a:prstGeom>
                  </pic:spPr>
                </pic:pic>
              </a:graphicData>
            </a:graphic>
          </wp:inline>
        </w:drawing>
      </w:r>
    </w:p>
    <w:p>
      <w:pPr>
        <w:pStyle w:val="Normal"/>
        <w:keepNext w:val="false"/>
        <w:keepLines w:val="false"/>
        <w:widowControl w:val="false"/>
        <w:spacing w:lineRule="auto" w:line="480" w:before="0" w:after="140"/>
        <w:ind w:left="0" w:right="0" w:hanging="0"/>
        <w:jc w:val="left"/>
        <w:rPr/>
      </w:pPr>
      <w:r>
        <w:rPr>
          <w:rFonts w:eastAsia="Liberation Serif" w:cs="Liberation Serif"/>
          <w:b w:val="false"/>
          <w:i/>
          <w:caps w:val="false"/>
          <w:smallCaps w:val="false"/>
          <w:strike w:val="false"/>
          <w:dstrike w:val="false"/>
          <w:color w:val="000000"/>
          <w:position w:val="0"/>
          <w:sz w:val="24"/>
          <w:sz w:val="24"/>
          <w:szCs w:val="24"/>
          <w:u w:val="none"/>
          <w:vertAlign w:val="baseline"/>
        </w:rPr>
        <w:t>Fig</w:t>
      </w:r>
      <w:r>
        <w:rPr>
          <w:i/>
        </w:rPr>
        <w:t>.</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S</w:t>
      </w:r>
      <w:r>
        <w:rPr>
          <w:i/>
        </w:rPr>
        <w:t>3</w:t>
      </w:r>
      <w:r>
        <w:rPr>
          <w:rFonts w:eastAsia="Liberation Serif" w:cs="Liberation Serif"/>
          <w:b w:val="false"/>
          <w:i/>
          <w:caps w:val="false"/>
          <w:smallCaps w:val="false"/>
          <w:strike w:val="false"/>
          <w:dstrike w:val="false"/>
          <w:color w:val="000000"/>
          <w:position w:val="0"/>
          <w:sz w:val="24"/>
          <w:sz w:val="24"/>
          <w:szCs w:val="24"/>
          <w:u w:val="none"/>
          <w:vertAlign w:val="baseline"/>
        </w:rPr>
        <w:t>: examples of possible shedding distributions. The top panel shows some example (arbitrary) shedding distributions. The bottom four panels show the implied temporal pattern of SARS-CoV-2 in the wastewater for each shedding distribution and for different delays</w:t>
      </w:r>
    </w:p>
    <w:p>
      <w:pPr>
        <w:pStyle w:val="Normal"/>
        <w:keepNext w:val="false"/>
        <w:keepLines w:val="false"/>
        <w:widowControl w:val="false"/>
        <w:spacing w:lineRule="auto" w:line="480" w:before="0" w:after="140"/>
        <w:ind w:left="0" w:right="0" w:hanging="0"/>
        <w:jc w:val="left"/>
        <w:rPr/>
      </w:pPr>
      <w:r>
        <w:rPr/>
        <w:drawing>
          <wp:inline distT="0" distB="0" distL="0" distR="0">
            <wp:extent cx="6332220" cy="6337300"/>
            <wp:effectExtent l="0" t="0" r="0" b="0"/>
            <wp:docPr id="4"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descr=""/>
                    <pic:cNvPicPr>
                      <a:picLocks noChangeAspect="1" noChangeArrowheads="1"/>
                    </pic:cNvPicPr>
                  </pic:nvPicPr>
                  <pic:blipFill>
                    <a:blip r:embed="rId5"/>
                    <a:srcRect l="38" t="0" r="38" b="0"/>
                    <a:stretch>
                      <a:fillRect/>
                    </a:stretch>
                  </pic:blipFill>
                  <pic:spPr bwMode="auto">
                    <a:xfrm>
                      <a:off x="0" y="0"/>
                      <a:ext cx="6332220" cy="6337300"/>
                    </a:xfrm>
                    <a:prstGeom prst="rect">
                      <a:avLst/>
                    </a:prstGeom>
                  </pic:spPr>
                </pic:pic>
              </a:graphicData>
            </a:graphic>
          </wp:inline>
        </w:drawing>
      </w:r>
      <w:r>
        <w:rPr>
          <w:i/>
        </w:rPr>
        <w:t>Fig. S4: Shedding reconstruction with delay from symptom onset to test of 2, but on a natural rather than a log scale. Otherwise, as in Fig. 2.</w:t>
      </w:r>
    </w:p>
    <w:p>
      <w:pPr>
        <w:pStyle w:val="Normal"/>
        <w:keepNext w:val="false"/>
        <w:keepLines w:val="false"/>
        <w:widowControl w:val="false"/>
        <w:spacing w:lineRule="auto" w:line="480" w:before="0" w:after="140"/>
        <w:ind w:left="0" w:right="0" w:hanging="0"/>
        <w:jc w:val="left"/>
        <w:rPr/>
      </w:pPr>
      <w:r>
        <w:rPr/>
        <w:drawing>
          <wp:inline distT="0" distB="0" distL="0" distR="0">
            <wp:extent cx="6332220" cy="6337300"/>
            <wp:effectExtent l="0" t="0" r="0" b="0"/>
            <wp:docPr id="5"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png" descr=""/>
                    <pic:cNvPicPr>
                      <a:picLocks noChangeAspect="1" noChangeArrowheads="1"/>
                    </pic:cNvPicPr>
                  </pic:nvPicPr>
                  <pic:blipFill>
                    <a:blip r:embed="rId6"/>
                    <a:srcRect l="119" t="0" r="119" b="0"/>
                    <a:stretch>
                      <a:fillRect/>
                    </a:stretch>
                  </pic:blipFill>
                  <pic:spPr bwMode="auto">
                    <a:xfrm>
                      <a:off x="0" y="0"/>
                      <a:ext cx="6332220" cy="6337300"/>
                    </a:xfrm>
                    <a:prstGeom prst="rect">
                      <a:avLst/>
                    </a:prstGeom>
                  </pic:spPr>
                </pic:pic>
              </a:graphicData>
            </a:graphic>
          </wp:inline>
        </w:drawing>
      </w:r>
    </w:p>
    <w:p>
      <w:pPr>
        <w:pStyle w:val="Normal"/>
        <w:keepNext w:val="false"/>
        <w:keepLines w:val="false"/>
        <w:widowControl w:val="false"/>
        <w:spacing w:lineRule="auto" w:line="480" w:before="0" w:after="140"/>
        <w:ind w:left="0" w:right="0" w:hanging="0"/>
        <w:jc w:val="left"/>
        <w:rPr/>
      </w:pPr>
      <w:r>
        <w:rPr>
          <w:rFonts w:eastAsia="Liberation Serif" w:cs="Liberation Serif"/>
          <w:b w:val="false"/>
          <w:i/>
          <w:caps w:val="false"/>
          <w:smallCaps w:val="false"/>
          <w:strike w:val="false"/>
          <w:dstrike w:val="false"/>
          <w:color w:val="000000"/>
          <w:position w:val="0"/>
          <w:sz w:val="24"/>
          <w:sz w:val="24"/>
          <w:szCs w:val="24"/>
          <w:u w:val="none"/>
          <w:vertAlign w:val="baseline"/>
        </w:rPr>
        <w:t>Fig</w:t>
      </w:r>
      <w:r>
        <w:rPr>
          <w:i/>
        </w:rPr>
        <w:t>.</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S</w:t>
      </w:r>
      <w:r>
        <w:rPr>
          <w:i/>
        </w:rPr>
        <w:t>5</w:t>
      </w:r>
      <w:r>
        <w:rPr>
          <w:rFonts w:eastAsia="Liberation Serif" w:cs="Liberation Serif"/>
          <w:b w:val="false"/>
          <w:i/>
          <w:caps w:val="false"/>
          <w:smallCaps w:val="false"/>
          <w:strike w:val="false"/>
          <w:dstrike w:val="false"/>
          <w:color w:val="000000"/>
          <w:position w:val="0"/>
          <w:sz w:val="24"/>
          <w:sz w:val="24"/>
          <w:szCs w:val="24"/>
          <w:u w:val="none"/>
          <w:vertAlign w:val="baseline"/>
        </w:rPr>
        <w:t>: Shedding reconstruction with delay from symptom onset to test of 0. Otherwise, as in Fig</w:t>
      </w:r>
      <w:r>
        <w:rPr>
          <w:i/>
        </w:rPr>
        <w:t>.</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2.</w:t>
      </w:r>
    </w:p>
    <w:p>
      <w:pPr>
        <w:pStyle w:val="Normal"/>
        <w:keepNext w:val="false"/>
        <w:keepLines w:val="false"/>
        <w:widowControl w:val="false"/>
        <w:spacing w:lineRule="auto" w:line="480" w:before="0" w:after="140"/>
        <w:ind w:left="0" w:right="0" w:hanging="0"/>
        <w:jc w:val="left"/>
        <w:rPr/>
      </w:pPr>
      <w:r>
        <w:rPr/>
        <w:drawing>
          <wp:inline distT="0" distB="0" distL="0" distR="0">
            <wp:extent cx="6332220" cy="6337300"/>
            <wp:effectExtent l="0" t="0" r="0" b="0"/>
            <wp:docPr id="6"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descr=""/>
                    <pic:cNvPicPr>
                      <a:picLocks noChangeAspect="1" noChangeArrowheads="1"/>
                    </pic:cNvPicPr>
                  </pic:nvPicPr>
                  <pic:blipFill>
                    <a:blip r:embed="rId7"/>
                    <a:srcRect l="38" t="0" r="38" b="0"/>
                    <a:stretch>
                      <a:fillRect/>
                    </a:stretch>
                  </pic:blipFill>
                  <pic:spPr bwMode="auto">
                    <a:xfrm>
                      <a:off x="0" y="0"/>
                      <a:ext cx="6332220" cy="6337300"/>
                    </a:xfrm>
                    <a:prstGeom prst="rect">
                      <a:avLst/>
                    </a:prstGeom>
                  </pic:spPr>
                </pic:pic>
              </a:graphicData>
            </a:graphic>
          </wp:inline>
        </w:drawing>
      </w:r>
    </w:p>
    <w:p>
      <w:pPr>
        <w:pStyle w:val="Normal"/>
        <w:keepNext w:val="false"/>
        <w:keepLines w:val="false"/>
        <w:widowControl w:val="false"/>
        <w:spacing w:lineRule="auto" w:line="480" w:before="0" w:after="140"/>
        <w:ind w:left="0" w:right="0" w:hanging="0"/>
        <w:jc w:val="left"/>
        <w:rPr/>
      </w:pPr>
      <w:r>
        <w:rPr>
          <w:rFonts w:eastAsia="Liberation Serif" w:cs="Liberation Serif"/>
          <w:b w:val="false"/>
          <w:i/>
          <w:caps w:val="false"/>
          <w:smallCaps w:val="false"/>
          <w:strike w:val="false"/>
          <w:dstrike w:val="false"/>
          <w:color w:val="000000"/>
          <w:position w:val="0"/>
          <w:sz w:val="24"/>
          <w:sz w:val="24"/>
          <w:szCs w:val="24"/>
          <w:u w:val="none"/>
          <w:vertAlign w:val="baseline"/>
        </w:rPr>
        <w:t>Fig</w:t>
      </w:r>
      <w:r>
        <w:rPr>
          <w:i/>
        </w:rPr>
        <w:t>.</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S</w:t>
      </w:r>
      <w:r>
        <w:rPr>
          <w:i/>
        </w:rPr>
        <w:t>6</w:t>
      </w:r>
      <w:r>
        <w:rPr>
          <w:rFonts w:eastAsia="Liberation Serif" w:cs="Liberation Serif"/>
          <w:b w:val="false"/>
          <w:i/>
          <w:caps w:val="false"/>
          <w:smallCaps w:val="false"/>
          <w:strike w:val="false"/>
          <w:dstrike w:val="false"/>
          <w:color w:val="000000"/>
          <w:position w:val="0"/>
          <w:sz w:val="24"/>
          <w:sz w:val="24"/>
          <w:szCs w:val="24"/>
          <w:u w:val="none"/>
          <w:vertAlign w:val="baseline"/>
        </w:rPr>
        <w:t>: Shedding reconstruction with delay from symptom onset to test of 1 day. Otherwise, as in Fig</w:t>
      </w:r>
      <w:r>
        <w:rPr>
          <w:i/>
        </w:rPr>
        <w:t>.</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2.</w:t>
      </w:r>
    </w:p>
    <w:p>
      <w:pPr>
        <w:pStyle w:val="Normal"/>
        <w:keepNext w:val="false"/>
        <w:keepLines w:val="false"/>
        <w:widowControl w:val="false"/>
        <w:spacing w:lineRule="auto" w:line="480" w:before="0" w:after="140"/>
        <w:ind w:left="0" w:right="0" w:hanging="0"/>
        <w:jc w:val="left"/>
        <w:rPr/>
      </w:pPr>
      <w:r>
        <w:rPr/>
        <w:drawing>
          <wp:inline distT="0" distB="0" distL="0" distR="0">
            <wp:extent cx="6332220" cy="6337300"/>
            <wp:effectExtent l="0" t="0" r="0" b="0"/>
            <wp:docPr id="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descr=""/>
                    <pic:cNvPicPr>
                      <a:picLocks noChangeAspect="1" noChangeArrowheads="1"/>
                    </pic:cNvPicPr>
                  </pic:nvPicPr>
                  <pic:blipFill>
                    <a:blip r:embed="rId8"/>
                    <a:srcRect l="38" t="0" r="38" b="0"/>
                    <a:stretch>
                      <a:fillRect/>
                    </a:stretch>
                  </pic:blipFill>
                  <pic:spPr bwMode="auto">
                    <a:xfrm>
                      <a:off x="0" y="0"/>
                      <a:ext cx="6332220" cy="6337300"/>
                    </a:xfrm>
                    <a:prstGeom prst="rect">
                      <a:avLst/>
                    </a:prstGeom>
                  </pic:spPr>
                </pic:pic>
              </a:graphicData>
            </a:graphic>
          </wp:inline>
        </w:drawing>
      </w:r>
    </w:p>
    <w:p>
      <w:pPr>
        <w:pStyle w:val="Normal"/>
        <w:keepNext w:val="false"/>
        <w:keepLines w:val="false"/>
        <w:widowControl w:val="false"/>
        <w:spacing w:lineRule="auto" w:line="480" w:before="0" w:after="140"/>
        <w:ind w:left="0" w:right="0" w:hanging="0"/>
        <w:jc w:val="left"/>
        <w:rPr/>
      </w:pPr>
      <w:r>
        <w:rPr>
          <w:rFonts w:eastAsia="Liberation Serif" w:cs="Liberation Serif"/>
          <w:b w:val="false"/>
          <w:i/>
          <w:caps w:val="false"/>
          <w:smallCaps w:val="false"/>
          <w:strike w:val="false"/>
          <w:dstrike w:val="false"/>
          <w:color w:val="000000"/>
          <w:position w:val="0"/>
          <w:sz w:val="24"/>
          <w:sz w:val="24"/>
          <w:szCs w:val="24"/>
          <w:u w:val="none"/>
          <w:vertAlign w:val="baseline"/>
        </w:rPr>
        <w:t>Fig</w:t>
      </w:r>
      <w:r>
        <w:rPr>
          <w:i/>
        </w:rPr>
        <w:t>.</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S</w:t>
      </w:r>
      <w:r>
        <w:rPr>
          <w:i/>
        </w:rPr>
        <w:t>7</w:t>
      </w:r>
      <w:r>
        <w:rPr>
          <w:rFonts w:eastAsia="Liberation Serif" w:cs="Liberation Serif"/>
          <w:b w:val="false"/>
          <w:i/>
          <w:caps w:val="false"/>
          <w:smallCaps w:val="false"/>
          <w:strike w:val="false"/>
          <w:dstrike w:val="false"/>
          <w:color w:val="000000"/>
          <w:position w:val="0"/>
          <w:sz w:val="24"/>
          <w:sz w:val="24"/>
          <w:szCs w:val="24"/>
          <w:u w:val="none"/>
          <w:vertAlign w:val="baseline"/>
        </w:rPr>
        <w:t>: Shedding reconstruction with delay from symptom onset to test of 5 days. Otherwise, as in Fig</w:t>
      </w:r>
      <w:r>
        <w:rPr>
          <w:i/>
        </w:rPr>
        <w:t>.</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2.</w:t>
      </w:r>
    </w:p>
    <w:p>
      <w:pPr>
        <w:pStyle w:val="Normal"/>
        <w:keepNext w:val="false"/>
        <w:keepLines w:val="false"/>
        <w:widowControl w:val="false"/>
        <w:spacing w:lineRule="auto" w:line="480" w:before="0" w:after="140"/>
        <w:ind w:left="0" w:right="0" w:hanging="0"/>
        <w:jc w:val="left"/>
        <w:rPr/>
      </w:pPr>
      <w:r>
        <w:rPr/>
        <w:drawing>
          <wp:inline distT="0" distB="0" distL="0" distR="0">
            <wp:extent cx="6332220" cy="6337300"/>
            <wp:effectExtent l="0" t="0" r="0" b="0"/>
            <wp:docPr id="8"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descr=""/>
                    <pic:cNvPicPr>
                      <a:picLocks noChangeAspect="1" noChangeArrowheads="1"/>
                    </pic:cNvPicPr>
                  </pic:nvPicPr>
                  <pic:blipFill>
                    <a:blip r:embed="rId9"/>
                    <a:srcRect l="39" t="0" r="39" b="0"/>
                    <a:stretch>
                      <a:fillRect/>
                    </a:stretch>
                  </pic:blipFill>
                  <pic:spPr bwMode="auto">
                    <a:xfrm>
                      <a:off x="0" y="0"/>
                      <a:ext cx="6332220" cy="6337300"/>
                    </a:xfrm>
                    <a:prstGeom prst="rect">
                      <a:avLst/>
                    </a:prstGeom>
                  </pic:spPr>
                </pic:pic>
              </a:graphicData>
            </a:graphic>
          </wp:inline>
        </w:drawing>
      </w:r>
    </w:p>
    <w:p>
      <w:pPr>
        <w:pStyle w:val="Normal"/>
        <w:keepNext w:val="false"/>
        <w:keepLines w:val="false"/>
        <w:widowControl w:val="false"/>
        <w:spacing w:lineRule="auto" w:line="480" w:before="0" w:after="140"/>
        <w:ind w:left="0" w:right="0" w:hanging="0"/>
        <w:jc w:val="left"/>
        <w:rPr/>
      </w:pPr>
      <w:r>
        <w:rPr>
          <w:rFonts w:eastAsia="Liberation Serif" w:cs="Liberation Serif"/>
          <w:b w:val="false"/>
          <w:i/>
          <w:caps w:val="false"/>
          <w:smallCaps w:val="false"/>
          <w:strike w:val="false"/>
          <w:dstrike w:val="false"/>
          <w:color w:val="000000"/>
          <w:position w:val="0"/>
          <w:sz w:val="24"/>
          <w:sz w:val="24"/>
          <w:szCs w:val="24"/>
          <w:u w:val="none"/>
          <w:vertAlign w:val="baseline"/>
        </w:rPr>
        <w:t>Fig. S</w:t>
      </w:r>
      <w:r>
        <w:rPr>
          <w:i/>
        </w:rPr>
        <w:t>8</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Example mean wastewater concentration timeseries for toy incidence curves, </w:t>
      </w:r>
      <w:r>
        <w:rPr>
          <w:i/>
        </w:rPr>
        <w:t>to show the relationship between potential incidence curves and wastewater data</w:t>
      </w:r>
      <w:r>
        <w:rPr>
          <w:rFonts w:eastAsia="Liberation Serif" w:cs="Liberation Serif"/>
          <w:b w:val="false"/>
          <w:i/>
          <w:caps w:val="false"/>
          <w:smallCaps w:val="false"/>
          <w:strike w:val="false"/>
          <w:dstrike w:val="false"/>
          <w:color w:val="000000"/>
          <w:position w:val="0"/>
          <w:sz w:val="24"/>
          <w:sz w:val="24"/>
          <w:szCs w:val="24"/>
          <w:u w:val="none"/>
          <w:vertAlign w:val="baseline"/>
        </w:rPr>
        <w:t>. In all panels, a mean delay of two days from symptom onset to test was used. Purple lines show synthetic examplar incidence curves, green lines show the implied mean RNA concentration in wastewater from these synthetic incidence curves.</w:t>
      </w:r>
    </w:p>
    <w:p>
      <w:pPr>
        <w:pStyle w:val="Normal"/>
        <w:keepNext w:val="false"/>
        <w:keepLines w:val="false"/>
        <w:widowControl w:val="false"/>
        <w:spacing w:lineRule="auto" w:line="480" w:before="0" w:after="140"/>
        <w:ind w:left="0" w:right="0" w:hanging="0"/>
        <w:jc w:val="left"/>
        <w:rPr/>
      </w:pPr>
      <w:r>
        <w:rPr/>
        <w:drawing>
          <wp:inline distT="0" distB="0" distL="0" distR="0">
            <wp:extent cx="6332220" cy="6337300"/>
            <wp:effectExtent l="0" t="0" r="0" b="0"/>
            <wp:docPr id="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descr=""/>
                    <pic:cNvPicPr>
                      <a:picLocks noChangeAspect="1" noChangeArrowheads="1"/>
                    </pic:cNvPicPr>
                  </pic:nvPicPr>
                  <pic:blipFill>
                    <a:blip r:embed="rId10"/>
                    <a:stretch>
                      <a:fillRect/>
                    </a:stretch>
                  </pic:blipFill>
                  <pic:spPr bwMode="auto">
                    <a:xfrm>
                      <a:off x="0" y="0"/>
                      <a:ext cx="6332220" cy="6337300"/>
                    </a:xfrm>
                    <a:prstGeom prst="rect">
                      <a:avLst/>
                    </a:prstGeom>
                  </pic:spPr>
                </pic:pic>
              </a:graphicData>
            </a:graphic>
          </wp:inline>
        </w:drawing>
      </w:r>
    </w:p>
    <w:p>
      <w:pPr>
        <w:pStyle w:val="Normal"/>
        <w:keepNext w:val="false"/>
        <w:keepLines w:val="false"/>
        <w:widowControl w:val="false"/>
        <w:spacing w:lineRule="auto" w:line="480" w:before="0" w:after="140"/>
        <w:ind w:left="0" w:right="0" w:hanging="0"/>
        <w:jc w:val="left"/>
        <w:rPr/>
      </w:pPr>
      <w:r>
        <w:rPr/>
        <w:drawing>
          <wp:inline distT="0" distB="0" distL="0" distR="0">
            <wp:extent cx="6334125" cy="4242435"/>
            <wp:effectExtent l="0" t="0" r="0" b="0"/>
            <wp:docPr id="10"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descr=""/>
                    <pic:cNvPicPr>
                      <a:picLocks noChangeAspect="1" noChangeArrowheads="1"/>
                    </pic:cNvPicPr>
                  </pic:nvPicPr>
                  <pic:blipFill>
                    <a:blip r:embed="rId11"/>
                    <a:srcRect l="0" t="0" r="0" b="33014"/>
                    <a:stretch>
                      <a:fillRect/>
                    </a:stretch>
                  </pic:blipFill>
                  <pic:spPr bwMode="auto">
                    <a:xfrm>
                      <a:off x="0" y="0"/>
                      <a:ext cx="6334125" cy="4242435"/>
                    </a:xfrm>
                    <a:prstGeom prst="rect">
                      <a:avLst/>
                    </a:prstGeom>
                  </pic:spPr>
                </pic:pic>
              </a:graphicData>
            </a:graphic>
          </wp:inline>
        </w:drawing>
      </w:r>
    </w:p>
    <w:p>
      <w:pPr>
        <w:pStyle w:val="Normal"/>
        <w:keepNext w:val="false"/>
        <w:keepLines w:val="false"/>
        <w:widowControl w:val="false"/>
        <w:spacing w:lineRule="auto" w:line="480" w:before="0" w:after="140"/>
        <w:ind w:left="0" w:right="0" w:hanging="0"/>
        <w:jc w:val="left"/>
        <w:rPr/>
      </w:pPr>
      <w:r>
        <w:rPr>
          <w:i/>
        </w:rPr>
        <w:t>Fig. S9: MCMC chains (left column) and posterior parameter densities (right column). par 1 is the gamma shape parameter (α), par 2 is the gamma rate parameter (β), par 3 is the scaling coefficient (θ), par 4 is the negative binomial size parameter (r), and par 5 is the proportion of infections reported (p</w:t>
      </w:r>
      <w:r>
        <w:rPr>
          <w:i/>
          <w:vertAlign w:val="subscript"/>
        </w:rPr>
        <w:t>r</w:t>
      </w:r>
      <w:r>
        <w:rPr>
          <w:i/>
        </w:rPr>
        <w:t>). There are three chains of 1x10</w:t>
      </w:r>
      <w:r>
        <w:rPr>
          <w:i/>
          <w:vertAlign w:val="superscript"/>
        </w:rPr>
        <w:t>5</w:t>
      </w:r>
      <w:r>
        <w:rPr>
          <w:i/>
        </w:rPr>
        <w:t xml:space="preserve"> iterations each, and the first 3x10</w:t>
      </w:r>
      <w:r>
        <w:rPr>
          <w:i/>
          <w:vertAlign w:val="superscript"/>
        </w:rPr>
        <w:t>4</w:t>
      </w:r>
      <w:r>
        <w:rPr>
          <w:i/>
        </w:rPr>
        <w:t xml:space="preserve"> iterations of each chain are burned.</w:t>
      </w:r>
    </w:p>
    <w:p>
      <w:pPr>
        <w:pStyle w:val="Normal"/>
        <w:keepNext w:val="false"/>
        <w:keepLines w:val="false"/>
        <w:widowControl w:val="false"/>
        <w:spacing w:lineRule="auto" w:line="480" w:before="0" w:after="140"/>
        <w:ind w:left="0" w:right="0" w:hanging="0"/>
        <w:jc w:val="left"/>
        <w:rPr/>
      </w:pPr>
      <w:r>
        <w:rPr/>
        <w:drawing>
          <wp:inline distT="0" distB="0" distL="0" distR="0">
            <wp:extent cx="6332220" cy="6337300"/>
            <wp:effectExtent l="0" t="0" r="0" b="0"/>
            <wp:docPr id="1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descr=""/>
                    <pic:cNvPicPr>
                      <a:picLocks noChangeAspect="1" noChangeArrowheads="1"/>
                    </pic:cNvPicPr>
                  </pic:nvPicPr>
                  <pic:blipFill>
                    <a:blip r:embed="rId12"/>
                    <a:stretch>
                      <a:fillRect/>
                    </a:stretch>
                  </pic:blipFill>
                  <pic:spPr bwMode="auto">
                    <a:xfrm>
                      <a:off x="0" y="0"/>
                      <a:ext cx="6332220" cy="6337300"/>
                    </a:xfrm>
                    <a:prstGeom prst="rect">
                      <a:avLst/>
                    </a:prstGeom>
                  </pic:spPr>
                </pic:pic>
              </a:graphicData>
            </a:graphic>
          </wp:inline>
        </w:drawing>
      </w:r>
    </w:p>
    <w:p>
      <w:pPr>
        <w:pStyle w:val="Normal"/>
        <w:keepNext w:val="false"/>
        <w:keepLines w:val="false"/>
        <w:widowControl w:val="false"/>
        <w:spacing w:lineRule="auto" w:line="480" w:before="0" w:after="140"/>
        <w:ind w:left="0" w:right="0" w:hanging="0"/>
        <w:jc w:val="left"/>
        <w:rPr/>
      </w:pPr>
      <w:r>
        <w:rPr>
          <w:i/>
        </w:rPr>
        <w:t>Fig. S10: Posterior densities (diagonal), correlation density plots (lower left) and correlation coefficients between parameters (upper right). par 1 is the gamma shape parameter (α), par 2 is the gamma rate parameter (β), par 3 is the scaling coefficient (θ), par 4 is the negative binomial size parameter (r), and par 5 is the proportion of infections reported (p</w:t>
      </w:r>
      <w:r>
        <w:rPr>
          <w:i/>
          <w:vertAlign w:val="subscript"/>
        </w:rPr>
        <w:t>r</w:t>
      </w:r>
      <w:r>
        <w:rPr>
          <w:i/>
        </w:rPr>
        <w:t>).</w:t>
      </w:r>
    </w:p>
    <w:p>
      <w:pPr>
        <w:pStyle w:val="Normal"/>
        <w:keepNext w:val="false"/>
        <w:keepLines w:val="false"/>
        <w:widowControl w:val="false"/>
        <w:spacing w:lineRule="auto" w:line="480" w:before="0" w:after="140"/>
        <w:ind w:left="0" w:right="0" w:hanging="0"/>
        <w:jc w:val="left"/>
        <w:rPr>
          <w:b/>
          <w:b/>
        </w:rPr>
      </w:pPr>
      <w: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6324600" cy="6324600"/>
            <wp:effectExtent l="0" t="0" r="0" b="0"/>
            <wp:wrapSquare wrapText="largest"/>
            <wp:docPr id="1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descr=""/>
                    <pic:cNvPicPr>
                      <a:picLocks noChangeAspect="1" noChangeArrowheads="1"/>
                    </pic:cNvPicPr>
                  </pic:nvPicPr>
                  <pic:blipFill>
                    <a:blip r:embed="rId13"/>
                    <a:stretch>
                      <a:fillRect/>
                    </a:stretch>
                  </pic:blipFill>
                  <pic:spPr bwMode="auto">
                    <a:xfrm>
                      <a:off x="0" y="0"/>
                      <a:ext cx="6324600" cy="6324600"/>
                    </a:xfrm>
                    <a:prstGeom prst="rect">
                      <a:avLst/>
                    </a:prstGeom>
                  </pic:spPr>
                </pic:pic>
              </a:graphicData>
            </a:graphic>
          </wp:anchor>
        </w:drawing>
      </w:r>
      <w:r>
        <w:rPr>
          <w:rFonts w:eastAsia="Liberation Serif" w:cs="Liberation Serif"/>
          <w:b w:val="false"/>
          <w:i/>
          <w:caps w:val="false"/>
          <w:smallCaps w:val="false"/>
          <w:strike w:val="false"/>
          <w:dstrike w:val="false"/>
          <w:color w:val="000000"/>
          <w:position w:val="0"/>
          <w:sz w:val="24"/>
          <w:sz w:val="24"/>
          <w:szCs w:val="24"/>
          <w:u w:val="none"/>
          <w:vertAlign w:val="baseline"/>
        </w:rPr>
        <w:t>Fig</w:t>
      </w:r>
      <w:r>
        <w:rPr>
          <w:b/>
          <w:i/>
        </w:rPr>
        <w:t>.</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S</w:t>
      </w:r>
      <w:r>
        <w:rPr>
          <w:rFonts w:eastAsia="Liberation Serif" w:cs="Liberation Serif"/>
          <w:b w:val="false"/>
          <w:i/>
          <w:caps w:val="false"/>
          <w:smallCaps w:val="false"/>
          <w:strike w:val="false"/>
          <w:dstrike w:val="false"/>
          <w:color w:val="000000"/>
          <w:position w:val="0"/>
          <w:sz w:val="24"/>
          <w:sz w:val="24"/>
          <w:szCs w:val="24"/>
          <w:u w:val="none"/>
          <w:vertAlign w:val="baseline"/>
        </w:rPr>
        <w:t>11</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Shedding reconstruction with delay from symptom onset to test of </w:t>
      </w:r>
      <w:r>
        <w:rPr>
          <w:rFonts w:eastAsia="Liberation Serif" w:cs="Liberation Serif"/>
          <w:b w:val="false"/>
          <w:i/>
          <w:caps w:val="false"/>
          <w:smallCaps w:val="false"/>
          <w:strike w:val="false"/>
          <w:dstrike w:val="false"/>
          <w:color w:val="000000"/>
          <w:position w:val="0"/>
          <w:sz w:val="24"/>
          <w:sz w:val="24"/>
          <w:szCs w:val="24"/>
          <w:u w:val="none"/>
          <w:vertAlign w:val="baseline"/>
        </w:rPr>
        <w:t>2</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days </w:t>
      </w:r>
      <w:r>
        <w:rPr>
          <w:rFonts w:eastAsia="Liberation Serif" w:cs="Liberation Serif"/>
          <w:b w:val="false"/>
          <w:i/>
          <w:caps w:val="false"/>
          <w:smallCaps w:val="false"/>
          <w:strike w:val="false"/>
          <w:dstrike w:val="false"/>
          <w:color w:val="000000"/>
          <w:position w:val="0"/>
          <w:sz w:val="24"/>
          <w:sz w:val="24"/>
          <w:szCs w:val="24"/>
          <w:u w:val="none"/>
          <w:vertAlign w:val="baseline"/>
        </w:rPr>
        <w:t>and a fixed level of under reporting of p</w:t>
      </w:r>
      <w:r>
        <w:rPr>
          <w:rFonts w:eastAsia="Liberation Serif" w:cs="Liberation Serif"/>
          <w:b w:val="false"/>
          <w:i/>
          <w:caps w:val="false"/>
          <w:smallCaps w:val="false"/>
          <w:strike w:val="false"/>
          <w:dstrike w:val="false"/>
          <w:color w:val="000000"/>
          <w:sz w:val="24"/>
          <w:szCs w:val="24"/>
          <w:u w:val="none"/>
          <w:vertAlign w:val="subscript"/>
        </w:rPr>
        <w:t xml:space="preserve">r </w:t>
      </w:r>
      <w:r>
        <w:rPr>
          <w:rFonts w:eastAsia="Liberation Serif" w:cs="Liberation Serif"/>
          <w:b w:val="false"/>
          <w:i/>
          <w:caps w:val="false"/>
          <w:smallCaps w:val="false"/>
          <w:strike w:val="false"/>
          <w:dstrike w:val="false"/>
          <w:color w:val="000000"/>
          <w:position w:val="0"/>
          <w:sz w:val="24"/>
          <w:sz w:val="24"/>
          <w:szCs w:val="24"/>
          <w:u w:val="none"/>
          <w:vertAlign w:val="baseline"/>
        </w:rPr>
        <w:t>= 0.24</w:t>
      </w:r>
      <w:r>
        <w:rPr>
          <w:rFonts w:eastAsia="Liberation Serif" w:cs="Liberation Serif"/>
          <w:b w:val="false"/>
          <w:i/>
          <w:caps w:val="false"/>
          <w:smallCaps w:val="false"/>
          <w:strike w:val="false"/>
          <w:dstrike w:val="false"/>
          <w:color w:val="000000"/>
          <w:position w:val="0"/>
          <w:sz w:val="24"/>
          <w:sz w:val="24"/>
          <w:szCs w:val="24"/>
          <w:u w:val="none"/>
          <w:vertAlign w:val="baseline"/>
        </w:rPr>
        <w:t>. Otherwise, as in Fig</w:t>
      </w:r>
      <w:r>
        <w:rPr>
          <w:b/>
          <w:i/>
        </w:rPr>
        <w:t>.</w:t>
      </w:r>
      <w:r>
        <w:rPr>
          <w:rFonts w:eastAsia="Liberation Serif" w:cs="Liberation Serif"/>
          <w:b w:val="false"/>
          <w:i/>
          <w:caps w:val="false"/>
          <w:smallCaps w:val="false"/>
          <w:strike w:val="false"/>
          <w:dstrike w:val="false"/>
          <w:color w:val="000000"/>
          <w:position w:val="0"/>
          <w:sz w:val="24"/>
          <w:sz w:val="24"/>
          <w:szCs w:val="24"/>
          <w:u w:val="none"/>
          <w:vertAlign w:val="baseline"/>
        </w:rPr>
        <w:t xml:space="preserve"> 2.</w:t>
      </w:r>
      <w:r>
        <w:br w:type="page"/>
      </w:r>
    </w:p>
    <w:p>
      <w:pPr>
        <w:pStyle w:val="Normal"/>
        <w:spacing w:lineRule="auto" w:line="480" w:before="0" w:after="140"/>
        <w:rPr>
          <w:b/>
          <w:b/>
        </w:rPr>
      </w:pPr>
      <w:r>
        <w:rPr>
          <w:b/>
        </w:rPr>
        <w:t>Supplementary table</w:t>
      </w:r>
    </w:p>
    <w:p>
      <w:pPr>
        <w:pStyle w:val="Normal"/>
        <w:spacing w:lineRule="auto" w:line="480" w:before="0" w:after="140"/>
        <w:rPr/>
      </w:pPr>
      <w:r>
        <w:rPr>
          <w:i/>
        </w:rPr>
        <w:t>Table S1: Mean values and 95% credible intervals of fitted parameters and DIC for each fitted model. α is the gamma shape parameter, β is the gamma rate parameter, θ is the scaling coefficient, r is the negative binomial size parameter, and p</w:t>
      </w:r>
      <w:r>
        <w:rPr>
          <w:i/>
          <w:vertAlign w:val="subscript"/>
        </w:rPr>
        <w:t>r</w:t>
      </w:r>
      <w:r>
        <w:rPr>
          <w:i/>
        </w:rPr>
        <w:t xml:space="preserve"> is the proportion of infections reported.</w:t>
      </w:r>
      <w:bookmarkStart w:id="0" w:name="__UnoMark__10885_3544143861"/>
      <w:bookmarkStart w:id="1" w:name="__UnoMark__9990_3544143861"/>
      <w:bookmarkEnd w:id="0"/>
      <w:bookmarkEnd w:id="1"/>
    </w:p>
    <w:tbl>
      <w:tblPr>
        <w:tblW w:w="9960" w:type="dxa"/>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
      <w:tblGrid>
        <w:gridCol w:w="1485"/>
        <w:gridCol w:w="2175"/>
        <w:gridCol w:w="2098"/>
        <w:gridCol w:w="2100"/>
        <w:gridCol w:w="2102"/>
      </w:tblGrid>
      <w:tr>
        <w:trPr/>
        <w:tc>
          <w:tcPr>
            <w:tcW w:w="148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b/>
                <w:b/>
                <w:sz w:val="20"/>
                <w:szCs w:val="20"/>
              </w:rPr>
            </w:pPr>
            <w:r>
              <w:rPr>
                <w:b/>
                <w:sz w:val="20"/>
                <w:szCs w:val="20"/>
              </w:rPr>
              <w:t>Testing delay</w:t>
            </w:r>
          </w:p>
        </w:tc>
        <w:tc>
          <w:tcPr>
            <w:tcW w:w="217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b/>
                <w:b/>
                <w:sz w:val="20"/>
                <w:szCs w:val="20"/>
              </w:rPr>
            </w:pPr>
            <w:r>
              <w:rPr>
                <w:b/>
                <w:sz w:val="20"/>
                <w:szCs w:val="20"/>
              </w:rPr>
              <w:t>0 days</w:t>
            </w:r>
          </w:p>
        </w:tc>
        <w:tc>
          <w:tcPr>
            <w:tcW w:w="209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b/>
                <w:b/>
                <w:sz w:val="20"/>
                <w:szCs w:val="20"/>
              </w:rPr>
            </w:pPr>
            <w:r>
              <w:rPr>
                <w:b/>
                <w:sz w:val="20"/>
                <w:szCs w:val="20"/>
              </w:rPr>
              <w:t>1 day</w:t>
            </w:r>
          </w:p>
        </w:tc>
        <w:tc>
          <w:tcPr>
            <w:tcW w:w="210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b/>
                <w:b/>
                <w:sz w:val="20"/>
                <w:szCs w:val="20"/>
              </w:rPr>
            </w:pPr>
            <w:r>
              <w:rPr>
                <w:b/>
                <w:sz w:val="20"/>
                <w:szCs w:val="20"/>
              </w:rPr>
              <w:t>2 days</w:t>
            </w:r>
          </w:p>
        </w:tc>
        <w:tc>
          <w:tcPr>
            <w:tcW w:w="210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b/>
                <w:b/>
                <w:sz w:val="20"/>
                <w:szCs w:val="20"/>
              </w:rPr>
            </w:pPr>
            <w:r>
              <w:rPr>
                <w:b/>
                <w:sz w:val="20"/>
                <w:szCs w:val="20"/>
              </w:rPr>
              <w:t>5 days</w:t>
            </w:r>
          </w:p>
        </w:tc>
      </w:tr>
      <w:tr>
        <w:trPr/>
        <w:tc>
          <w:tcPr>
            <w:tcW w:w="148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b/>
                <w:b/>
                <w:sz w:val="20"/>
                <w:szCs w:val="20"/>
              </w:rPr>
            </w:pPr>
            <w:r>
              <w:rPr>
                <w:b/>
                <w:sz w:val="20"/>
                <w:szCs w:val="20"/>
              </w:rPr>
              <w:t>α</w:t>
            </w:r>
          </w:p>
        </w:tc>
        <w:tc>
          <w:tcPr>
            <w:tcW w:w="217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1.31</w:t>
            </w:r>
            <w:r>
              <w:rPr>
                <w:sz w:val="20"/>
                <w:szCs w:val="20"/>
              </w:rPr>
              <w:t xml:space="preserve"> [1.0</w:t>
            </w:r>
            <w:r>
              <w:rPr>
                <w:sz w:val="20"/>
                <w:szCs w:val="20"/>
              </w:rPr>
              <w:t>2</w:t>
            </w:r>
            <w:r>
              <w:rPr>
                <w:sz w:val="20"/>
                <w:szCs w:val="20"/>
              </w:rPr>
              <w:t xml:space="preserve"> – </w:t>
            </w:r>
            <w:r>
              <w:rPr>
                <w:sz w:val="20"/>
                <w:szCs w:val="20"/>
              </w:rPr>
              <w:t>1.79</w:t>
            </w:r>
            <w:r>
              <w:rPr>
                <w:sz w:val="20"/>
                <w:szCs w:val="20"/>
              </w:rPr>
              <w:t>]</w:t>
            </w:r>
          </w:p>
        </w:tc>
        <w:tc>
          <w:tcPr>
            <w:tcW w:w="209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1.6</w:t>
            </w:r>
            <w:r>
              <w:rPr>
                <w:sz w:val="20"/>
                <w:szCs w:val="20"/>
              </w:rPr>
              <w:t>3</w:t>
            </w:r>
            <w:r>
              <w:rPr>
                <w:sz w:val="20"/>
                <w:szCs w:val="20"/>
              </w:rPr>
              <w:t xml:space="preserve"> [1.</w:t>
            </w:r>
            <w:r>
              <w:rPr>
                <w:sz w:val="20"/>
                <w:szCs w:val="20"/>
              </w:rPr>
              <w:t>15</w:t>
            </w:r>
            <w:r>
              <w:rPr>
                <w:sz w:val="20"/>
                <w:szCs w:val="20"/>
              </w:rPr>
              <w:t xml:space="preserve"> - 2.2</w:t>
            </w:r>
            <w:r>
              <w:rPr>
                <w:sz w:val="20"/>
                <w:szCs w:val="20"/>
              </w:rPr>
              <w:t>4</w:t>
            </w:r>
            <w:r>
              <w:rPr>
                <w:sz w:val="20"/>
                <w:szCs w:val="20"/>
              </w:rPr>
              <w:t>]</w:t>
            </w:r>
          </w:p>
        </w:tc>
        <w:tc>
          <w:tcPr>
            <w:tcW w:w="210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2.</w:t>
            </w:r>
            <w:r>
              <w:rPr>
                <w:sz w:val="20"/>
                <w:szCs w:val="20"/>
              </w:rPr>
              <w:t>05</w:t>
            </w:r>
            <w:r>
              <w:rPr>
                <w:sz w:val="20"/>
                <w:szCs w:val="20"/>
              </w:rPr>
              <w:t xml:space="preserve"> [1.</w:t>
            </w:r>
            <w:r>
              <w:rPr>
                <w:sz w:val="20"/>
                <w:szCs w:val="20"/>
              </w:rPr>
              <w:t>4</w:t>
            </w:r>
            <w:r>
              <w:rPr>
                <w:sz w:val="20"/>
                <w:szCs w:val="20"/>
              </w:rPr>
              <w:t>5 - 2.</w:t>
            </w:r>
            <w:r>
              <w:rPr>
                <w:sz w:val="20"/>
                <w:szCs w:val="20"/>
              </w:rPr>
              <w:t>77</w:t>
            </w:r>
            <w:r>
              <w:rPr>
                <w:sz w:val="20"/>
                <w:szCs w:val="20"/>
              </w:rPr>
              <w:t>]</w:t>
            </w:r>
          </w:p>
        </w:tc>
        <w:tc>
          <w:tcPr>
            <w:tcW w:w="210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3.5</w:t>
            </w:r>
            <w:r>
              <w:rPr>
                <w:sz w:val="20"/>
                <w:szCs w:val="20"/>
              </w:rPr>
              <w:t>3</w:t>
            </w:r>
            <w:r>
              <w:rPr>
                <w:sz w:val="20"/>
                <w:szCs w:val="20"/>
              </w:rPr>
              <w:t xml:space="preserve"> [2.5</w:t>
            </w:r>
            <w:r>
              <w:rPr>
                <w:sz w:val="20"/>
                <w:szCs w:val="20"/>
              </w:rPr>
              <w:t>3</w:t>
            </w:r>
            <w:r>
              <w:rPr>
                <w:sz w:val="20"/>
                <w:szCs w:val="20"/>
              </w:rPr>
              <w:t xml:space="preserve"> - 4.7</w:t>
            </w:r>
            <w:r>
              <w:rPr>
                <w:sz w:val="20"/>
                <w:szCs w:val="20"/>
              </w:rPr>
              <w:t>2</w:t>
            </w:r>
            <w:r>
              <w:rPr>
                <w:sz w:val="20"/>
                <w:szCs w:val="20"/>
              </w:rPr>
              <w:t>]</w:t>
            </w:r>
          </w:p>
        </w:tc>
      </w:tr>
      <w:tr>
        <w:trPr/>
        <w:tc>
          <w:tcPr>
            <w:tcW w:w="148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b/>
                <w:b/>
                <w:sz w:val="20"/>
                <w:szCs w:val="20"/>
              </w:rPr>
            </w:pPr>
            <w:r>
              <w:rPr>
                <w:b/>
                <w:sz w:val="20"/>
                <w:szCs w:val="20"/>
              </w:rPr>
              <w:t>β</w:t>
            </w:r>
          </w:p>
        </w:tc>
        <w:tc>
          <w:tcPr>
            <w:tcW w:w="217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0.143</w:t>
            </w:r>
            <w:r>
              <w:rPr>
                <w:sz w:val="20"/>
                <w:szCs w:val="20"/>
              </w:rPr>
              <w:t xml:space="preserve"> [0.09</w:t>
            </w:r>
            <w:r>
              <w:rPr>
                <w:sz w:val="20"/>
                <w:szCs w:val="20"/>
              </w:rPr>
              <w:t>01</w:t>
            </w:r>
            <w:r>
              <w:rPr>
                <w:sz w:val="20"/>
                <w:szCs w:val="20"/>
              </w:rPr>
              <w:t xml:space="preserve"> – </w:t>
            </w:r>
            <w:r>
              <w:rPr>
                <w:sz w:val="20"/>
                <w:szCs w:val="20"/>
              </w:rPr>
              <w:t>0.223</w:t>
            </w:r>
            <w:r>
              <w:rPr>
                <w:sz w:val="20"/>
                <w:szCs w:val="20"/>
              </w:rPr>
              <w:t>]</w:t>
            </w:r>
          </w:p>
        </w:tc>
        <w:tc>
          <w:tcPr>
            <w:tcW w:w="209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0.15</w:t>
            </w:r>
            <w:r>
              <w:rPr>
                <w:sz w:val="20"/>
                <w:szCs w:val="20"/>
              </w:rPr>
              <w:t>1</w:t>
            </w:r>
            <w:r>
              <w:rPr>
                <w:sz w:val="20"/>
                <w:szCs w:val="20"/>
              </w:rPr>
              <w:t xml:space="preserve"> [0.09</w:t>
            </w:r>
            <w:r>
              <w:rPr>
                <w:sz w:val="20"/>
                <w:szCs w:val="20"/>
              </w:rPr>
              <w:t>08</w:t>
            </w:r>
            <w:r>
              <w:rPr>
                <w:sz w:val="20"/>
                <w:szCs w:val="20"/>
              </w:rPr>
              <w:t xml:space="preserve"> - 0.2</w:t>
            </w:r>
            <w:r>
              <w:rPr>
                <w:sz w:val="20"/>
                <w:szCs w:val="20"/>
              </w:rPr>
              <w:t>35</w:t>
            </w:r>
            <w:r>
              <w:rPr>
                <w:sz w:val="20"/>
                <w:szCs w:val="20"/>
              </w:rPr>
              <w:t>]</w:t>
            </w:r>
          </w:p>
        </w:tc>
        <w:tc>
          <w:tcPr>
            <w:tcW w:w="210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0.1</w:t>
            </w:r>
            <w:r>
              <w:rPr>
                <w:sz w:val="20"/>
                <w:szCs w:val="20"/>
              </w:rPr>
              <w:t>69</w:t>
            </w:r>
            <w:r>
              <w:rPr>
                <w:sz w:val="20"/>
                <w:szCs w:val="20"/>
              </w:rPr>
              <w:t xml:space="preserve"> [0.10</w:t>
            </w:r>
            <w:r>
              <w:rPr>
                <w:sz w:val="20"/>
                <w:szCs w:val="20"/>
              </w:rPr>
              <w:t>1</w:t>
            </w:r>
            <w:r>
              <w:rPr>
                <w:sz w:val="20"/>
                <w:szCs w:val="20"/>
              </w:rPr>
              <w:t xml:space="preserve"> - 0.25</w:t>
            </w:r>
            <w:r>
              <w:rPr>
                <w:sz w:val="20"/>
                <w:szCs w:val="20"/>
              </w:rPr>
              <w:t>4</w:t>
            </w:r>
            <w:r>
              <w:rPr>
                <w:sz w:val="20"/>
                <w:szCs w:val="20"/>
              </w:rPr>
              <w:t>]</w:t>
            </w:r>
          </w:p>
        </w:tc>
        <w:tc>
          <w:tcPr>
            <w:tcW w:w="210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0.2</w:t>
            </w:r>
            <w:r>
              <w:rPr>
                <w:sz w:val="20"/>
                <w:szCs w:val="20"/>
              </w:rPr>
              <w:t>25</w:t>
            </w:r>
            <w:r>
              <w:rPr>
                <w:sz w:val="20"/>
                <w:szCs w:val="20"/>
              </w:rPr>
              <w:t xml:space="preserve"> [0.14</w:t>
            </w:r>
            <w:r>
              <w:rPr>
                <w:sz w:val="20"/>
                <w:szCs w:val="20"/>
              </w:rPr>
              <w:t>3</w:t>
            </w:r>
            <w:r>
              <w:rPr>
                <w:sz w:val="20"/>
                <w:szCs w:val="20"/>
              </w:rPr>
              <w:t xml:space="preserve"> - 0.3</w:t>
            </w:r>
            <w:r>
              <w:rPr>
                <w:sz w:val="20"/>
                <w:szCs w:val="20"/>
              </w:rPr>
              <w:t>25</w:t>
            </w:r>
            <w:r>
              <w:rPr>
                <w:sz w:val="20"/>
                <w:szCs w:val="20"/>
              </w:rPr>
              <w:t>]</w:t>
            </w:r>
          </w:p>
        </w:tc>
      </w:tr>
      <w:tr>
        <w:trPr/>
        <w:tc>
          <w:tcPr>
            <w:tcW w:w="148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b/>
                <w:b/>
                <w:sz w:val="20"/>
                <w:szCs w:val="20"/>
              </w:rPr>
            </w:pPr>
            <w:r>
              <w:rPr>
                <w:b/>
                <w:sz w:val="20"/>
                <w:szCs w:val="20"/>
              </w:rPr>
              <w:t>θ</w:t>
            </w:r>
          </w:p>
        </w:tc>
        <w:tc>
          <w:tcPr>
            <w:tcW w:w="217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4,610</w:t>
            </w:r>
            <w:r>
              <w:rPr>
                <w:sz w:val="20"/>
                <w:szCs w:val="20"/>
              </w:rPr>
              <w:t xml:space="preserve"> [80</w:t>
            </w:r>
            <w:r>
              <w:rPr>
                <w:sz w:val="20"/>
                <w:szCs w:val="20"/>
              </w:rPr>
              <w:t>7</w:t>
            </w:r>
            <w:r>
              <w:rPr>
                <w:sz w:val="20"/>
                <w:szCs w:val="20"/>
              </w:rPr>
              <w:t xml:space="preserve"> - </w:t>
            </w:r>
            <w:r>
              <w:rPr>
                <w:sz w:val="20"/>
                <w:szCs w:val="20"/>
              </w:rPr>
              <w:t>8</w:t>
            </w:r>
            <w:r>
              <w:rPr>
                <w:sz w:val="20"/>
                <w:szCs w:val="20"/>
              </w:rPr>
              <w:t>,</w:t>
            </w:r>
            <w:r>
              <w:rPr>
                <w:sz w:val="20"/>
                <w:szCs w:val="20"/>
              </w:rPr>
              <w:t>48</w:t>
            </w:r>
            <w:r>
              <w:rPr>
                <w:sz w:val="20"/>
                <w:szCs w:val="20"/>
              </w:rPr>
              <w:t>0]</w:t>
            </w:r>
          </w:p>
        </w:tc>
        <w:tc>
          <w:tcPr>
            <w:tcW w:w="209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4,3</w:t>
            </w:r>
            <w:r>
              <w:rPr>
                <w:sz w:val="20"/>
                <w:szCs w:val="20"/>
              </w:rPr>
              <w:t>2</w:t>
            </w:r>
            <w:r>
              <w:rPr>
                <w:sz w:val="20"/>
                <w:szCs w:val="20"/>
              </w:rPr>
              <w:t>0 [7</w:t>
            </w:r>
            <w:r>
              <w:rPr>
                <w:sz w:val="20"/>
                <w:szCs w:val="20"/>
              </w:rPr>
              <w:t>68</w:t>
            </w:r>
            <w:r>
              <w:rPr>
                <w:sz w:val="20"/>
                <w:szCs w:val="20"/>
              </w:rPr>
              <w:t xml:space="preserve"> - 8,</w:t>
            </w:r>
            <w:r>
              <w:rPr>
                <w:sz w:val="20"/>
                <w:szCs w:val="20"/>
              </w:rPr>
              <w:t>09</w:t>
            </w:r>
            <w:r>
              <w:rPr>
                <w:sz w:val="20"/>
                <w:szCs w:val="20"/>
              </w:rPr>
              <w:t>0]</w:t>
            </w:r>
          </w:p>
        </w:tc>
        <w:tc>
          <w:tcPr>
            <w:tcW w:w="210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4,2</w:t>
            </w:r>
            <w:r>
              <w:rPr>
                <w:sz w:val="20"/>
                <w:szCs w:val="20"/>
              </w:rPr>
              <w:t>1</w:t>
            </w:r>
            <w:r>
              <w:rPr>
                <w:sz w:val="20"/>
                <w:szCs w:val="20"/>
              </w:rPr>
              <w:t>0 [7</w:t>
            </w:r>
            <w:r>
              <w:rPr>
                <w:sz w:val="20"/>
                <w:szCs w:val="20"/>
              </w:rPr>
              <w:t>16</w:t>
            </w:r>
            <w:r>
              <w:rPr>
                <w:sz w:val="20"/>
                <w:szCs w:val="20"/>
              </w:rPr>
              <w:t xml:space="preserve"> - 7,900]</w:t>
            </w:r>
          </w:p>
        </w:tc>
        <w:tc>
          <w:tcPr>
            <w:tcW w:w="210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4,0</w:t>
            </w:r>
            <w:r>
              <w:rPr>
                <w:sz w:val="20"/>
                <w:szCs w:val="20"/>
              </w:rPr>
              <w:t>1</w:t>
            </w:r>
            <w:r>
              <w:rPr>
                <w:sz w:val="20"/>
                <w:szCs w:val="20"/>
              </w:rPr>
              <w:t>0 [670 - 7,5</w:t>
            </w:r>
            <w:r>
              <w:rPr>
                <w:sz w:val="20"/>
                <w:szCs w:val="20"/>
              </w:rPr>
              <w:t>1</w:t>
            </w:r>
            <w:r>
              <w:rPr>
                <w:sz w:val="20"/>
                <w:szCs w:val="20"/>
              </w:rPr>
              <w:t>0]</w:t>
            </w:r>
          </w:p>
        </w:tc>
      </w:tr>
      <w:tr>
        <w:trPr/>
        <w:tc>
          <w:tcPr>
            <w:tcW w:w="148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b/>
                <w:b/>
                <w:sz w:val="20"/>
                <w:szCs w:val="20"/>
              </w:rPr>
            </w:pPr>
            <w:r>
              <w:rPr>
                <w:b/>
                <w:sz w:val="20"/>
                <w:szCs w:val="20"/>
              </w:rPr>
              <w:t xml:space="preserve">r </w:t>
            </w:r>
          </w:p>
        </w:tc>
        <w:tc>
          <w:tcPr>
            <w:tcW w:w="217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w:t>
            </w:r>
            <w:r>
              <w:rPr>
                <w:sz w:val="20"/>
                <w:szCs w:val="20"/>
              </w:rPr>
              <w:t>376</w:t>
            </w:r>
            <w:r>
              <w:rPr>
                <w:sz w:val="20"/>
                <w:szCs w:val="20"/>
              </w:rPr>
              <w:t xml:space="preserve"> [0.3</w:t>
            </w:r>
            <w:r>
              <w:rPr>
                <w:sz w:val="20"/>
                <w:szCs w:val="20"/>
              </w:rPr>
              <w:t>04</w:t>
            </w:r>
            <w:r>
              <w:rPr>
                <w:sz w:val="20"/>
                <w:szCs w:val="20"/>
              </w:rPr>
              <w:t xml:space="preserve"> - 0.</w:t>
            </w:r>
            <w:r>
              <w:rPr>
                <w:sz w:val="20"/>
                <w:szCs w:val="20"/>
              </w:rPr>
              <w:t>457</w:t>
            </w:r>
            <w:r>
              <w:rPr>
                <w:sz w:val="20"/>
                <w:szCs w:val="20"/>
              </w:rPr>
              <w:t>]</w:t>
            </w:r>
          </w:p>
        </w:tc>
        <w:tc>
          <w:tcPr>
            <w:tcW w:w="209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0.3</w:t>
            </w:r>
            <w:r>
              <w:rPr>
                <w:sz w:val="20"/>
                <w:szCs w:val="20"/>
              </w:rPr>
              <w:t>86</w:t>
            </w:r>
            <w:r>
              <w:rPr>
                <w:sz w:val="20"/>
                <w:szCs w:val="20"/>
              </w:rPr>
              <w:t xml:space="preserve"> [0.31</w:t>
            </w:r>
            <w:r>
              <w:rPr>
                <w:sz w:val="20"/>
                <w:szCs w:val="20"/>
              </w:rPr>
              <w:t>2</w:t>
            </w:r>
            <w:r>
              <w:rPr>
                <w:sz w:val="20"/>
                <w:szCs w:val="20"/>
              </w:rPr>
              <w:t xml:space="preserve"> - 0.47</w:t>
            </w:r>
            <w:r>
              <w:rPr>
                <w:sz w:val="20"/>
                <w:szCs w:val="20"/>
              </w:rPr>
              <w:t>1</w:t>
            </w:r>
            <w:r>
              <w:rPr>
                <w:sz w:val="20"/>
                <w:szCs w:val="20"/>
              </w:rPr>
              <w:t>]</w:t>
            </w:r>
          </w:p>
        </w:tc>
        <w:tc>
          <w:tcPr>
            <w:tcW w:w="210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0.39</w:t>
            </w:r>
            <w:r>
              <w:rPr>
                <w:sz w:val="20"/>
                <w:szCs w:val="20"/>
              </w:rPr>
              <w:t>3</w:t>
            </w:r>
            <w:r>
              <w:rPr>
                <w:sz w:val="20"/>
                <w:szCs w:val="20"/>
              </w:rPr>
              <w:t xml:space="preserve"> [0.3</w:t>
            </w:r>
            <w:r>
              <w:rPr>
                <w:sz w:val="20"/>
                <w:szCs w:val="20"/>
              </w:rPr>
              <w:t>17</w:t>
            </w:r>
            <w:r>
              <w:rPr>
                <w:sz w:val="20"/>
                <w:szCs w:val="20"/>
              </w:rPr>
              <w:t xml:space="preserve"> - 0.4</w:t>
            </w:r>
            <w:r>
              <w:rPr>
                <w:sz w:val="20"/>
                <w:szCs w:val="20"/>
              </w:rPr>
              <w:t>7</w:t>
            </w:r>
            <w:r>
              <w:rPr>
                <w:sz w:val="20"/>
                <w:szCs w:val="20"/>
              </w:rPr>
              <w:t>8]</w:t>
            </w:r>
          </w:p>
        </w:tc>
        <w:tc>
          <w:tcPr>
            <w:tcW w:w="210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0.4</w:t>
            </w:r>
            <w:r>
              <w:rPr>
                <w:sz w:val="20"/>
                <w:szCs w:val="20"/>
              </w:rPr>
              <w:t>08</w:t>
            </w:r>
            <w:r>
              <w:rPr>
                <w:sz w:val="20"/>
                <w:szCs w:val="20"/>
              </w:rPr>
              <w:t xml:space="preserve"> [0.3</w:t>
            </w:r>
            <w:r>
              <w:rPr>
                <w:sz w:val="20"/>
                <w:szCs w:val="20"/>
              </w:rPr>
              <w:t>29</w:t>
            </w:r>
            <w:r>
              <w:rPr>
                <w:sz w:val="20"/>
                <w:szCs w:val="20"/>
              </w:rPr>
              <w:t xml:space="preserve"> - 0.</w:t>
            </w:r>
            <w:r>
              <w:rPr>
                <w:sz w:val="20"/>
                <w:szCs w:val="20"/>
              </w:rPr>
              <w:t>497</w:t>
            </w:r>
            <w:r>
              <w:rPr>
                <w:sz w:val="20"/>
                <w:szCs w:val="20"/>
              </w:rPr>
              <w:t>]</w:t>
            </w:r>
          </w:p>
        </w:tc>
      </w:tr>
      <w:tr>
        <w:trPr/>
        <w:tc>
          <w:tcPr>
            <w:tcW w:w="148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pPr>
            <w:r>
              <w:rPr>
                <w:b/>
                <w:sz w:val="20"/>
                <w:szCs w:val="20"/>
              </w:rPr>
              <w:t>p</w:t>
            </w:r>
            <w:r>
              <w:rPr>
                <w:b/>
                <w:sz w:val="20"/>
                <w:szCs w:val="20"/>
                <w:vertAlign w:val="subscript"/>
              </w:rPr>
              <w:t xml:space="preserve">r </w:t>
            </w:r>
          </w:p>
        </w:tc>
        <w:tc>
          <w:tcPr>
            <w:tcW w:w="217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0.5</w:t>
            </w:r>
            <w:r>
              <w:rPr>
                <w:sz w:val="20"/>
                <w:szCs w:val="20"/>
              </w:rPr>
              <w:t>86</w:t>
            </w:r>
            <w:r>
              <w:rPr>
                <w:sz w:val="20"/>
                <w:szCs w:val="20"/>
              </w:rPr>
              <w:t xml:space="preserve"> [0.1</w:t>
            </w:r>
            <w:r>
              <w:rPr>
                <w:sz w:val="20"/>
                <w:szCs w:val="20"/>
              </w:rPr>
              <w:t>11</w:t>
            </w:r>
            <w:r>
              <w:rPr>
                <w:sz w:val="20"/>
                <w:szCs w:val="20"/>
              </w:rPr>
              <w:t xml:space="preserve"> - 0.9</w:t>
            </w:r>
            <w:r>
              <w:rPr>
                <w:sz w:val="20"/>
                <w:szCs w:val="20"/>
              </w:rPr>
              <w:t>7</w:t>
            </w:r>
            <w:r>
              <w:rPr>
                <w:sz w:val="20"/>
                <w:szCs w:val="20"/>
              </w:rPr>
              <w:t>8]</w:t>
            </w:r>
          </w:p>
        </w:tc>
        <w:tc>
          <w:tcPr>
            <w:tcW w:w="209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0.57</w:t>
            </w:r>
            <w:r>
              <w:rPr>
                <w:sz w:val="20"/>
                <w:szCs w:val="20"/>
              </w:rPr>
              <w:t>4</w:t>
            </w:r>
            <w:r>
              <w:rPr>
                <w:sz w:val="20"/>
                <w:szCs w:val="20"/>
              </w:rPr>
              <w:t xml:space="preserve"> [0.11</w:t>
            </w:r>
            <w:r>
              <w:rPr>
                <w:sz w:val="20"/>
                <w:szCs w:val="20"/>
              </w:rPr>
              <w:t>1</w:t>
            </w:r>
            <w:r>
              <w:rPr>
                <w:sz w:val="20"/>
                <w:szCs w:val="20"/>
              </w:rPr>
              <w:t xml:space="preserve"> - 0.9</w:t>
            </w:r>
            <w:r>
              <w:rPr>
                <w:sz w:val="20"/>
                <w:szCs w:val="20"/>
              </w:rPr>
              <w:t>76</w:t>
            </w:r>
            <w:r>
              <w:rPr>
                <w:sz w:val="20"/>
                <w:szCs w:val="20"/>
              </w:rPr>
              <w:t>]</w:t>
            </w:r>
          </w:p>
        </w:tc>
        <w:tc>
          <w:tcPr>
            <w:tcW w:w="210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0.57</w:t>
            </w:r>
            <w:r>
              <w:rPr>
                <w:sz w:val="20"/>
                <w:szCs w:val="20"/>
              </w:rPr>
              <w:t>3</w:t>
            </w:r>
            <w:r>
              <w:rPr>
                <w:sz w:val="20"/>
                <w:szCs w:val="20"/>
              </w:rPr>
              <w:t xml:space="preserve"> [0.11</w:t>
            </w:r>
            <w:r>
              <w:rPr>
                <w:sz w:val="20"/>
                <w:szCs w:val="20"/>
              </w:rPr>
              <w:t>5</w:t>
            </w:r>
            <w:r>
              <w:rPr>
                <w:sz w:val="20"/>
                <w:szCs w:val="20"/>
              </w:rPr>
              <w:t xml:space="preserve"> - 0.9</w:t>
            </w:r>
            <w:r>
              <w:rPr>
                <w:sz w:val="20"/>
                <w:szCs w:val="20"/>
              </w:rPr>
              <w:t>77</w:t>
            </w:r>
            <w:r>
              <w:rPr>
                <w:sz w:val="20"/>
                <w:szCs w:val="20"/>
              </w:rPr>
              <w:t>]</w:t>
            </w:r>
          </w:p>
        </w:tc>
        <w:tc>
          <w:tcPr>
            <w:tcW w:w="210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0.5</w:t>
            </w:r>
            <w:r>
              <w:rPr>
                <w:sz w:val="20"/>
                <w:szCs w:val="20"/>
              </w:rPr>
              <w:t>69</w:t>
            </w:r>
            <w:r>
              <w:rPr>
                <w:sz w:val="20"/>
                <w:szCs w:val="20"/>
              </w:rPr>
              <w:t xml:space="preserve"> [0.10</w:t>
            </w:r>
            <w:r>
              <w:rPr>
                <w:sz w:val="20"/>
                <w:szCs w:val="20"/>
              </w:rPr>
              <w:t>4</w:t>
            </w:r>
            <w:r>
              <w:rPr>
                <w:sz w:val="20"/>
                <w:szCs w:val="20"/>
              </w:rPr>
              <w:t xml:space="preserve"> - 0.97</w:t>
            </w:r>
            <w:r>
              <w:rPr>
                <w:sz w:val="20"/>
                <w:szCs w:val="20"/>
              </w:rPr>
              <w:t>4</w:t>
            </w:r>
            <w:r>
              <w:rPr>
                <w:sz w:val="20"/>
                <w:szCs w:val="20"/>
              </w:rPr>
              <w:t>]</w:t>
            </w:r>
          </w:p>
        </w:tc>
      </w:tr>
      <w:tr>
        <w:trPr/>
        <w:tc>
          <w:tcPr>
            <w:tcW w:w="148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b/>
                <w:b/>
                <w:sz w:val="20"/>
                <w:szCs w:val="20"/>
              </w:rPr>
            </w:pPr>
            <w:r>
              <w:rPr>
                <w:b/>
                <w:sz w:val="20"/>
                <w:szCs w:val="20"/>
              </w:rPr>
              <w:t>DIC</w:t>
            </w:r>
          </w:p>
        </w:tc>
        <w:tc>
          <w:tcPr>
            <w:tcW w:w="217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3,</w:t>
            </w:r>
            <w:r>
              <w:rPr>
                <w:sz w:val="20"/>
                <w:szCs w:val="20"/>
              </w:rPr>
              <w:t>755</w:t>
            </w:r>
          </w:p>
        </w:tc>
        <w:tc>
          <w:tcPr>
            <w:tcW w:w="209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3</w:t>
            </w:r>
            <w:r>
              <w:rPr>
                <w:sz w:val="20"/>
                <w:szCs w:val="20"/>
              </w:rPr>
              <w:t>,</w:t>
            </w:r>
            <w:r>
              <w:rPr>
                <w:sz w:val="20"/>
                <w:szCs w:val="20"/>
              </w:rPr>
              <w:t>75</w:t>
            </w:r>
            <w:r>
              <w:rPr>
                <w:sz w:val="20"/>
                <w:szCs w:val="20"/>
              </w:rPr>
              <w:t>0</w:t>
            </w:r>
          </w:p>
        </w:tc>
        <w:tc>
          <w:tcPr>
            <w:tcW w:w="2100"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3,</w:t>
            </w:r>
            <w:r>
              <w:rPr>
                <w:sz w:val="20"/>
                <w:szCs w:val="20"/>
              </w:rPr>
              <w:t>747</w:t>
            </w:r>
          </w:p>
        </w:tc>
        <w:tc>
          <w:tcPr>
            <w:tcW w:w="2102"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keepNext w:val="false"/>
              <w:keepLines w:val="false"/>
              <w:widowControl w:val="false"/>
              <w:spacing w:lineRule="auto" w:line="480" w:before="0" w:after="0"/>
              <w:ind w:left="0" w:right="0" w:hanging="0"/>
              <w:jc w:val="left"/>
              <w:rPr>
                <w:sz w:val="20"/>
                <w:szCs w:val="20"/>
              </w:rPr>
            </w:pPr>
            <w:r>
              <w:rPr>
                <w:sz w:val="20"/>
                <w:szCs w:val="20"/>
              </w:rPr>
              <w:t>3</w:t>
            </w:r>
            <w:r>
              <w:rPr>
                <w:sz w:val="20"/>
                <w:szCs w:val="20"/>
              </w:rPr>
              <w:t>,7</w:t>
            </w:r>
            <w:r>
              <w:rPr>
                <w:sz w:val="20"/>
                <w:szCs w:val="20"/>
              </w:rPr>
              <w:t>39</w:t>
            </w:r>
          </w:p>
        </w:tc>
      </w:tr>
    </w:tbl>
    <w:p>
      <w:pPr>
        <w:pStyle w:val="Normal"/>
        <w:keepNext w:val="false"/>
        <w:keepLines w:val="false"/>
        <w:widowControl w:val="false"/>
        <w:spacing w:lineRule="auto" w:line="480" w:before="0" w:after="140"/>
        <w:ind w:left="0" w:right="0" w:hanging="0"/>
        <w:jc w:val="left"/>
        <w:rPr/>
      </w:pPr>
      <w:r>
        <w:rPr/>
      </w:r>
      <w:bookmarkStart w:id="2" w:name="__UnoMark__10100_3544143861"/>
      <w:bookmarkStart w:id="3" w:name="__UnoMark__9952_3544143861"/>
      <w:bookmarkStart w:id="4" w:name="__UnoMark__10100_3544143861"/>
      <w:bookmarkStart w:id="5" w:name="__UnoMark__9952_3544143861"/>
      <w:bookmarkEnd w:id="4"/>
      <w:bookmarkEnd w:id="5"/>
    </w:p>
    <w:sectPr>
      <w:type w:val="nextPage"/>
      <w:pgSz w:w="12240" w:h="15840"/>
      <w:pgMar w:left="1134" w:right="1134" w:header="0" w:top="1134" w:footer="0" w:bottom="1134" w:gutter="0"/>
      <w:lnNumType w:countBy="1" w:restart="continuous" w:distance="288"/>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Georgia">
    <w:charset w:val="01"/>
    <w:family w:val="roman"/>
    <w:pitch w:val="variable"/>
  </w:font>
</w:fonts>
</file>

<file path=word/settings.xml><?xml version="1.0" encoding="utf-8"?>
<w:settings xmlns:w="http://schemas.openxmlformats.org/wordprocessingml/2006/main">
  <w:zoom w:percent="11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Cs w:val="24"/>
        <w:lang w:val="en-US" w:eastAsia="zh-CN" w:bidi="hi-IN"/>
      </w:rPr>
    </w:rPrDefault>
    <w:pPrDefault>
      <w:pPr/>
    </w:pPrDefault>
  </w:docDefaults>
  <w:style w:type="paragraph" w:styleId="Normal">
    <w:name w:val="Normal"/>
    <w:qFormat/>
    <w:pPr>
      <w:widowControl w:val="false"/>
      <w:kinsoku w:val="true"/>
      <w:overflowPunct w:val="true"/>
      <w:autoSpaceDE w:val="true"/>
      <w:bidi w:val="0"/>
      <w:jc w:val="left"/>
    </w:pPr>
    <w:rPr>
      <w:rFonts w:ascii="Liberation Serif" w:hAnsi="Liberation Serif" w:eastAsia="Liberation Serif" w:cs="Liberation Serif"/>
      <w:color w:val="auto"/>
      <w:kern w:val="0"/>
      <w:sz w:val="24"/>
      <w:szCs w:val="24"/>
      <w:lang w:val="en-US" w:eastAsia="zh-CN" w:bidi="hi-IN"/>
    </w:rPr>
  </w:style>
  <w:style w:type="paragraph" w:styleId="Heading1">
    <w:name w:val="Heading 1"/>
    <w:basedOn w:val="Normal"/>
    <w:next w:val="LOnormal"/>
    <w:qFormat/>
    <w:pPr>
      <w:keepNext w:val="true"/>
      <w:keepLines/>
      <w:widowControl w:val="false"/>
      <w:bidi w:val="0"/>
      <w:spacing w:lineRule="auto" w:line="240" w:before="480" w:after="120"/>
      <w:jc w:val="left"/>
    </w:pPr>
    <w:rPr>
      <w:rFonts w:ascii="Liberation Serif" w:hAnsi="Liberation Serif" w:eastAsia="Liberation Serif" w:cs="Liberation Serif"/>
      <w:b/>
      <w:color w:val="auto"/>
      <w:kern w:val="0"/>
      <w:sz w:val="48"/>
      <w:szCs w:val="48"/>
      <w:lang w:val="en-US" w:eastAsia="zh-CN" w:bidi="hi-IN"/>
    </w:rPr>
  </w:style>
  <w:style w:type="paragraph" w:styleId="Heading2">
    <w:name w:val="Heading 2"/>
    <w:basedOn w:val="Normal"/>
    <w:next w:val="LOnormal"/>
    <w:qFormat/>
    <w:pPr>
      <w:keepNext w:val="true"/>
      <w:widowControl w:val="false"/>
      <w:bidi w:val="0"/>
      <w:spacing w:lineRule="auto" w:line="240" w:before="200" w:after="120"/>
      <w:jc w:val="left"/>
    </w:pPr>
    <w:rPr>
      <w:rFonts w:ascii="Liberation Serif" w:hAnsi="Liberation Serif" w:eastAsia="Liberation Serif" w:cs="Liberation Serif"/>
      <w:b/>
      <w:color w:val="auto"/>
      <w:kern w:val="0"/>
      <w:sz w:val="36"/>
      <w:szCs w:val="36"/>
      <w:lang w:val="en-US" w:eastAsia="zh-CN" w:bidi="hi-IN"/>
    </w:rPr>
  </w:style>
  <w:style w:type="paragraph" w:styleId="Heading3">
    <w:name w:val="Heading 3"/>
    <w:basedOn w:val="Normal"/>
    <w:next w:val="LOnormal"/>
    <w:qFormat/>
    <w:pPr>
      <w:keepNext w:val="true"/>
      <w:widowControl w:val="false"/>
      <w:bidi w:val="0"/>
      <w:spacing w:lineRule="auto" w:line="240" w:before="140" w:after="120"/>
      <w:jc w:val="left"/>
    </w:pPr>
    <w:rPr>
      <w:rFonts w:ascii="Liberation Serif" w:hAnsi="Liberation Serif" w:eastAsia="Liberation Serif" w:cs="Liberation Serif"/>
      <w:b/>
      <w:color w:val="auto"/>
      <w:kern w:val="0"/>
      <w:sz w:val="28"/>
      <w:szCs w:val="28"/>
      <w:lang w:val="en-US" w:eastAsia="zh-CN" w:bidi="hi-IN"/>
    </w:rPr>
  </w:style>
  <w:style w:type="paragraph" w:styleId="Heading4">
    <w:name w:val="Heading 4"/>
    <w:basedOn w:val="Normal"/>
    <w:next w:val="LOnormal"/>
    <w:qFormat/>
    <w:pPr>
      <w:keepNext w:val="true"/>
      <w:keepLines/>
      <w:widowControl w:val="false"/>
      <w:bidi w:val="0"/>
      <w:spacing w:lineRule="auto" w:line="240" w:before="240" w:after="40"/>
      <w:jc w:val="left"/>
    </w:pPr>
    <w:rPr>
      <w:rFonts w:ascii="Liberation Serif" w:hAnsi="Liberation Serif" w:eastAsia="Liberation Serif" w:cs="Liberation Serif"/>
      <w:b/>
      <w:color w:val="auto"/>
      <w:kern w:val="0"/>
      <w:sz w:val="24"/>
      <w:szCs w:val="24"/>
      <w:lang w:val="en-US" w:eastAsia="zh-CN" w:bidi="hi-IN"/>
    </w:rPr>
  </w:style>
  <w:style w:type="paragraph" w:styleId="Heading5">
    <w:name w:val="Heading 5"/>
    <w:basedOn w:val="Normal"/>
    <w:next w:val="LOnormal"/>
    <w:qFormat/>
    <w:pPr>
      <w:keepNext w:val="true"/>
      <w:keepLines/>
      <w:widowControl w:val="false"/>
      <w:bidi w:val="0"/>
      <w:spacing w:lineRule="auto" w:line="240" w:before="220" w:after="40"/>
      <w:jc w:val="left"/>
    </w:pPr>
    <w:rPr>
      <w:rFonts w:ascii="Liberation Serif" w:hAnsi="Liberation Serif" w:eastAsia="Liberation Serif" w:cs="Liberation Serif"/>
      <w:b/>
      <w:color w:val="auto"/>
      <w:kern w:val="0"/>
      <w:sz w:val="22"/>
      <w:szCs w:val="22"/>
      <w:lang w:val="en-US" w:eastAsia="zh-CN" w:bidi="hi-IN"/>
    </w:rPr>
  </w:style>
  <w:style w:type="paragraph" w:styleId="Heading6">
    <w:name w:val="Heading 6"/>
    <w:basedOn w:val="Normal"/>
    <w:next w:val="LOnormal"/>
    <w:qFormat/>
    <w:pPr>
      <w:keepNext w:val="true"/>
      <w:keepLines/>
      <w:widowControl w:val="false"/>
      <w:bidi w:val="0"/>
      <w:spacing w:lineRule="auto" w:line="240" w:before="200" w:after="40"/>
      <w:jc w:val="left"/>
    </w:pPr>
    <w:rPr>
      <w:rFonts w:ascii="Liberation Serif" w:hAnsi="Liberation Serif" w:eastAsia="Liberation Serif" w:cs="Liberation Serif"/>
      <w:b/>
      <w:color w:val="auto"/>
      <w:kern w:val="0"/>
      <w:sz w:val="20"/>
      <w:szCs w:val="20"/>
      <w:lang w:val="en-US" w:eastAsia="zh-CN" w:bidi="hi-IN"/>
    </w:rPr>
  </w:style>
  <w:style w:type="character" w:styleId="ListLabel1">
    <w:name w:val="ListLabel 1"/>
    <w:qFormat/>
    <w:rPr>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color w:val="0000EE"/>
      <w:u w:val="single"/>
    </w:rPr>
  </w:style>
  <w:style w:type="character" w:styleId="InternetLink">
    <w:name w:val="Internet Link"/>
    <w:rPr>
      <w:color w:val="000080"/>
      <w:u w:val="single"/>
      <w:lang w:val="zxx" w:eastAsia="zxx" w:bidi="zxx"/>
    </w:rPr>
  </w:style>
  <w:style w:type="character" w:styleId="ListLabel11">
    <w:name w:val="ListLabel 11"/>
    <w:qFormat/>
    <w:rPr>
      <w:color w:val="1155CC"/>
      <w:u w:val="single"/>
    </w:rPr>
  </w:style>
  <w:style w:type="character" w:styleId="ListLabel12">
    <w:name w:val="ListLabel 12"/>
    <w:qFormat/>
    <w:rPr>
      <w:caps w:val="false"/>
      <w:smallCaps w:val="false"/>
      <w:position w:val="0"/>
      <w:sz w:val="24"/>
      <w:sz w:val="24"/>
      <w:vertAlign w:val="baseline"/>
    </w:rPr>
  </w:style>
  <w:style w:type="character" w:styleId="ListLabel13">
    <w:name w:val="ListLabel 13"/>
    <w:qFormat/>
    <w:rPr>
      <w:position w:val="0"/>
      <w:sz w:val="24"/>
      <w:sz w:val="24"/>
      <w:vertAlign w:val="baseline"/>
    </w:rPr>
  </w:style>
  <w:style w:type="character" w:styleId="ListLabel183">
    <w:name w:val="ListLabel 183"/>
    <w:qFormat/>
    <w:rPr>
      <w:position w:val="0"/>
      <w:sz w:val="24"/>
      <w:sz w:val="24"/>
      <w:vertAlign w:val="baseline"/>
    </w:rPr>
  </w:style>
  <w:style w:type="character" w:styleId="ListLabel88">
    <w:name w:val="ListLabel 88"/>
    <w:qFormat/>
    <w:rPr/>
  </w:style>
  <w:style w:type="character" w:styleId="ListLabel184">
    <w:name w:val="ListLabel 184"/>
    <w:qFormat/>
    <w:rPr/>
  </w:style>
  <w:style w:type="character" w:styleId="ListLabel181">
    <w:name w:val="ListLabel 181"/>
    <w:qFormat/>
    <w:rPr>
      <w:caps w:val="false"/>
      <w:smallCaps w:val="false"/>
      <w:position w:val="0"/>
      <w:sz w:val="24"/>
      <w:sz w:val="24"/>
      <w:vertAlign w:val="baseline"/>
    </w:rPr>
  </w:style>
  <w:style w:type="character" w:styleId="ListLabel86">
    <w:name w:val="ListLabel 86"/>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182">
    <w:name w:val="ListLabel 182"/>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185">
    <w:name w:val="ListLabel 185"/>
    <w:qFormat/>
    <w:rPr>
      <w:u w:val="none"/>
    </w:rPr>
  </w:style>
  <w:style w:type="character" w:styleId="ListLabel186">
    <w:name w:val="ListLabel 186"/>
    <w:qFormat/>
    <w:rPr>
      <w:u w:val="none"/>
    </w:rPr>
  </w:style>
  <w:style w:type="character" w:styleId="ListLabel187">
    <w:name w:val="ListLabel 187"/>
    <w:qFormat/>
    <w:rPr>
      <w:u w:val="none"/>
    </w:rPr>
  </w:style>
  <w:style w:type="character" w:styleId="ListLabel188">
    <w:name w:val="ListLabel 188"/>
    <w:qFormat/>
    <w:rPr>
      <w:u w:val="none"/>
    </w:rPr>
  </w:style>
  <w:style w:type="character" w:styleId="ListLabel189">
    <w:name w:val="ListLabel 189"/>
    <w:qFormat/>
    <w:rPr>
      <w:u w:val="none"/>
    </w:rPr>
  </w:style>
  <w:style w:type="character" w:styleId="ListLabel190">
    <w:name w:val="ListLabel 190"/>
    <w:qFormat/>
    <w:rPr>
      <w:u w:val="none"/>
    </w:rPr>
  </w:style>
  <w:style w:type="character" w:styleId="ListLabel191">
    <w:name w:val="ListLabel 191"/>
    <w:qFormat/>
    <w:rPr>
      <w:u w:val="none"/>
    </w:rPr>
  </w:style>
  <w:style w:type="character" w:styleId="ListLabel192">
    <w:name w:val="ListLabel 192"/>
    <w:qFormat/>
    <w:rPr>
      <w:u w:val="none"/>
    </w:rPr>
  </w:style>
  <w:style w:type="character" w:styleId="ListLabel193">
    <w:name w:val="ListLabel 193"/>
    <w:qFormat/>
    <w:rPr>
      <w:u w:val="none"/>
    </w:rPr>
  </w:style>
  <w:style w:type="character" w:styleId="ListLabel194">
    <w:name w:val="ListLabel 194"/>
    <w:qFormat/>
    <w:rPr>
      <w:color w:val="0000EE"/>
      <w:u w:val="single"/>
    </w:rPr>
  </w:style>
  <w:style w:type="character" w:styleId="ListLabel195">
    <w:name w:val="ListLabel 195"/>
    <w:qFormat/>
    <w:rPr>
      <w:color w:val="1155CC"/>
      <w:u w:val="single"/>
    </w:rPr>
  </w:style>
  <w:style w:type="character" w:styleId="ListLabel196">
    <w:name w:val="ListLabel 196"/>
    <w:qFormat/>
    <w:rPr>
      <w:caps w:val="false"/>
      <w:smallCaps w:val="false"/>
      <w:position w:val="0"/>
      <w:sz w:val="24"/>
      <w:sz w:val="24"/>
      <w:vertAlign w:val="baseline"/>
    </w:rPr>
  </w:style>
  <w:style w:type="character" w:styleId="ListLabel197">
    <w:name w:val="ListLabel 197"/>
    <w:qFormat/>
    <w:rPr>
      <w:position w:val="0"/>
      <w:sz w:val="24"/>
      <w:sz w:val="24"/>
      <w:vertAlign w:val="baseline"/>
    </w:rPr>
  </w:style>
  <w:style w:type="character" w:styleId="ListLabel198">
    <w:name w:val="ListLabel 198"/>
    <w:qFormat/>
    <w:rPr/>
  </w:style>
  <w:style w:type="character" w:styleId="ListLabel199">
    <w:name w:val="ListLabel 199"/>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200">
    <w:name w:val="ListLabel 200"/>
    <w:qFormat/>
    <w:rPr>
      <w:u w:val="none"/>
    </w:rPr>
  </w:style>
  <w:style w:type="character" w:styleId="ListLabel201">
    <w:name w:val="ListLabel 201"/>
    <w:qFormat/>
    <w:rPr>
      <w:u w:val="none"/>
    </w:rPr>
  </w:style>
  <w:style w:type="character" w:styleId="ListLabel202">
    <w:name w:val="ListLabel 202"/>
    <w:qFormat/>
    <w:rPr>
      <w:u w:val="none"/>
    </w:rPr>
  </w:style>
  <w:style w:type="character" w:styleId="ListLabel203">
    <w:name w:val="ListLabel 203"/>
    <w:qFormat/>
    <w:rPr>
      <w:u w:val="none"/>
    </w:rPr>
  </w:style>
  <w:style w:type="character" w:styleId="ListLabel204">
    <w:name w:val="ListLabel 204"/>
    <w:qFormat/>
    <w:rPr>
      <w:u w:val="none"/>
    </w:rPr>
  </w:style>
  <w:style w:type="character" w:styleId="ListLabel205">
    <w:name w:val="ListLabel 205"/>
    <w:qFormat/>
    <w:rPr>
      <w:u w:val="none"/>
    </w:rPr>
  </w:style>
  <w:style w:type="character" w:styleId="ListLabel206">
    <w:name w:val="ListLabel 206"/>
    <w:qFormat/>
    <w:rPr>
      <w:u w:val="none"/>
    </w:rPr>
  </w:style>
  <w:style w:type="character" w:styleId="ListLabel207">
    <w:name w:val="ListLabel 207"/>
    <w:qFormat/>
    <w:rPr>
      <w:u w:val="none"/>
    </w:rPr>
  </w:style>
  <w:style w:type="character" w:styleId="ListLabel208">
    <w:name w:val="ListLabel 208"/>
    <w:qFormat/>
    <w:rPr>
      <w:u w:val="none"/>
    </w:rPr>
  </w:style>
  <w:style w:type="character" w:styleId="ListLabel209">
    <w:name w:val="ListLabel 209"/>
    <w:qFormat/>
    <w:rPr>
      <w:color w:val="0000EE"/>
      <w:u w:val="single"/>
    </w:rPr>
  </w:style>
  <w:style w:type="character" w:styleId="ListLabel210">
    <w:name w:val="ListLabel 210"/>
    <w:qFormat/>
    <w:rPr>
      <w:color w:val="1155CC"/>
      <w:u w:val="single"/>
    </w:rPr>
  </w:style>
  <w:style w:type="character" w:styleId="ListLabel211">
    <w:name w:val="ListLabel 211"/>
    <w:qFormat/>
    <w:rPr>
      <w:caps w:val="false"/>
      <w:smallCaps w:val="false"/>
      <w:position w:val="0"/>
      <w:sz w:val="24"/>
      <w:sz w:val="24"/>
      <w:vertAlign w:val="baseline"/>
    </w:rPr>
  </w:style>
  <w:style w:type="character" w:styleId="ListLabel212">
    <w:name w:val="ListLabel 212"/>
    <w:qFormat/>
    <w:rPr>
      <w:position w:val="0"/>
      <w:sz w:val="24"/>
      <w:sz w:val="24"/>
      <w:vertAlign w:val="baseline"/>
    </w:rPr>
  </w:style>
  <w:style w:type="character" w:styleId="ListLabel213">
    <w:name w:val="ListLabel 213"/>
    <w:qFormat/>
    <w:rPr/>
  </w:style>
  <w:style w:type="character" w:styleId="ListLabel214">
    <w:name w:val="ListLabel 214"/>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215">
    <w:name w:val="ListLabel 215"/>
    <w:qFormat/>
    <w:rPr>
      <w:u w:val="none"/>
    </w:rPr>
  </w:style>
  <w:style w:type="character" w:styleId="ListLabel216">
    <w:name w:val="ListLabel 216"/>
    <w:qFormat/>
    <w:rPr>
      <w:u w:val="none"/>
    </w:rPr>
  </w:style>
  <w:style w:type="character" w:styleId="ListLabel217">
    <w:name w:val="ListLabel 217"/>
    <w:qFormat/>
    <w:rPr>
      <w:u w:val="none"/>
    </w:rPr>
  </w:style>
  <w:style w:type="character" w:styleId="ListLabel218">
    <w:name w:val="ListLabel 218"/>
    <w:qFormat/>
    <w:rPr>
      <w:u w:val="none"/>
    </w:rPr>
  </w:style>
  <w:style w:type="character" w:styleId="ListLabel219">
    <w:name w:val="ListLabel 219"/>
    <w:qFormat/>
    <w:rPr>
      <w:u w:val="none"/>
    </w:rPr>
  </w:style>
  <w:style w:type="character" w:styleId="ListLabel220">
    <w:name w:val="ListLabel 220"/>
    <w:qFormat/>
    <w:rPr>
      <w:u w:val="none"/>
    </w:rPr>
  </w:style>
  <w:style w:type="character" w:styleId="ListLabel221">
    <w:name w:val="ListLabel 221"/>
    <w:qFormat/>
    <w:rPr>
      <w:u w:val="none"/>
    </w:rPr>
  </w:style>
  <w:style w:type="character" w:styleId="ListLabel222">
    <w:name w:val="ListLabel 222"/>
    <w:qFormat/>
    <w:rPr>
      <w:u w:val="none"/>
    </w:rPr>
  </w:style>
  <w:style w:type="character" w:styleId="ListLabel223">
    <w:name w:val="ListLabel 223"/>
    <w:qFormat/>
    <w:rPr>
      <w:u w:val="none"/>
    </w:rPr>
  </w:style>
  <w:style w:type="character" w:styleId="ListLabel224">
    <w:name w:val="ListLabel 224"/>
    <w:qFormat/>
    <w:rPr>
      <w:color w:val="0000EE"/>
      <w:u w:val="single"/>
    </w:rPr>
  </w:style>
  <w:style w:type="character" w:styleId="ListLabel225">
    <w:name w:val="ListLabel 225"/>
    <w:qFormat/>
    <w:rPr>
      <w:color w:val="1155CC"/>
      <w:u w:val="single"/>
    </w:rPr>
  </w:style>
  <w:style w:type="character" w:styleId="ListLabel226">
    <w:name w:val="ListLabel 226"/>
    <w:qFormat/>
    <w:rPr>
      <w:caps w:val="false"/>
      <w:smallCaps w:val="false"/>
      <w:position w:val="0"/>
      <w:sz w:val="24"/>
      <w:sz w:val="24"/>
      <w:vertAlign w:val="baseline"/>
    </w:rPr>
  </w:style>
  <w:style w:type="character" w:styleId="ListLabel227">
    <w:name w:val="ListLabel 227"/>
    <w:qFormat/>
    <w:rPr>
      <w:position w:val="0"/>
      <w:sz w:val="24"/>
      <w:sz w:val="24"/>
      <w:vertAlign w:val="baseline"/>
    </w:rPr>
  </w:style>
  <w:style w:type="character" w:styleId="ListLabel228">
    <w:name w:val="ListLabel 228"/>
    <w:qFormat/>
    <w:rPr/>
  </w:style>
  <w:style w:type="character" w:styleId="ListLabel229">
    <w:name w:val="ListLabel 229"/>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230">
    <w:name w:val="ListLabel 230"/>
    <w:qFormat/>
    <w:rPr>
      <w:u w:val="none"/>
    </w:rPr>
  </w:style>
  <w:style w:type="character" w:styleId="ListLabel231">
    <w:name w:val="ListLabel 231"/>
    <w:qFormat/>
    <w:rPr>
      <w:u w:val="none"/>
    </w:rPr>
  </w:style>
  <w:style w:type="character" w:styleId="ListLabel232">
    <w:name w:val="ListLabel 232"/>
    <w:qFormat/>
    <w:rPr>
      <w:u w:val="none"/>
    </w:rPr>
  </w:style>
  <w:style w:type="character" w:styleId="ListLabel233">
    <w:name w:val="ListLabel 233"/>
    <w:qFormat/>
    <w:rPr>
      <w:u w:val="none"/>
    </w:rPr>
  </w:style>
  <w:style w:type="character" w:styleId="ListLabel234">
    <w:name w:val="ListLabel 234"/>
    <w:qFormat/>
    <w:rPr>
      <w:u w:val="none"/>
    </w:rPr>
  </w:style>
  <w:style w:type="character" w:styleId="ListLabel235">
    <w:name w:val="ListLabel 235"/>
    <w:qFormat/>
    <w:rPr>
      <w:u w:val="none"/>
    </w:rPr>
  </w:style>
  <w:style w:type="character" w:styleId="ListLabel236">
    <w:name w:val="ListLabel 236"/>
    <w:qFormat/>
    <w:rPr>
      <w:u w:val="none"/>
    </w:rPr>
  </w:style>
  <w:style w:type="character" w:styleId="ListLabel237">
    <w:name w:val="ListLabel 237"/>
    <w:qFormat/>
    <w:rPr>
      <w:u w:val="none"/>
    </w:rPr>
  </w:style>
  <w:style w:type="character" w:styleId="ListLabel238">
    <w:name w:val="ListLabel 238"/>
    <w:qFormat/>
    <w:rPr>
      <w:u w:val="none"/>
    </w:rPr>
  </w:style>
  <w:style w:type="character" w:styleId="ListLabel239">
    <w:name w:val="ListLabel 239"/>
    <w:qFormat/>
    <w:rPr>
      <w:color w:val="0000EE"/>
      <w:u w:val="single"/>
    </w:rPr>
  </w:style>
  <w:style w:type="character" w:styleId="ListLabel240">
    <w:name w:val="ListLabel 240"/>
    <w:qFormat/>
    <w:rPr>
      <w:color w:val="1155CC"/>
      <w:u w:val="single"/>
    </w:rPr>
  </w:style>
  <w:style w:type="character" w:styleId="ListLabel241">
    <w:name w:val="ListLabel 241"/>
    <w:qFormat/>
    <w:rPr>
      <w:caps w:val="false"/>
      <w:smallCaps w:val="false"/>
      <w:position w:val="0"/>
      <w:sz w:val="24"/>
      <w:sz w:val="24"/>
      <w:vertAlign w:val="baseline"/>
    </w:rPr>
  </w:style>
  <w:style w:type="character" w:styleId="ListLabel242">
    <w:name w:val="ListLabel 242"/>
    <w:qFormat/>
    <w:rPr>
      <w:position w:val="0"/>
      <w:sz w:val="24"/>
      <w:sz w:val="24"/>
      <w:vertAlign w:val="baseline"/>
    </w:rPr>
  </w:style>
  <w:style w:type="character" w:styleId="ListLabel243">
    <w:name w:val="ListLabel 243"/>
    <w:qFormat/>
    <w:rPr/>
  </w:style>
  <w:style w:type="character" w:styleId="ListLabel244">
    <w:name w:val="ListLabel 244"/>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245">
    <w:name w:val="ListLabel 245"/>
    <w:qFormat/>
    <w:rPr>
      <w:u w:val="none"/>
    </w:rPr>
  </w:style>
  <w:style w:type="character" w:styleId="ListLabel246">
    <w:name w:val="ListLabel 246"/>
    <w:qFormat/>
    <w:rPr>
      <w:u w:val="none"/>
    </w:rPr>
  </w:style>
  <w:style w:type="character" w:styleId="ListLabel247">
    <w:name w:val="ListLabel 247"/>
    <w:qFormat/>
    <w:rPr>
      <w:u w:val="none"/>
    </w:rPr>
  </w:style>
  <w:style w:type="character" w:styleId="ListLabel248">
    <w:name w:val="ListLabel 248"/>
    <w:qFormat/>
    <w:rPr>
      <w:u w:val="none"/>
    </w:rPr>
  </w:style>
  <w:style w:type="character" w:styleId="ListLabel249">
    <w:name w:val="ListLabel 249"/>
    <w:qFormat/>
    <w:rPr>
      <w:u w:val="none"/>
    </w:rPr>
  </w:style>
  <w:style w:type="character" w:styleId="ListLabel250">
    <w:name w:val="ListLabel 250"/>
    <w:qFormat/>
    <w:rPr>
      <w:u w:val="none"/>
    </w:rPr>
  </w:style>
  <w:style w:type="character" w:styleId="ListLabel251">
    <w:name w:val="ListLabel 251"/>
    <w:qFormat/>
    <w:rPr>
      <w:u w:val="none"/>
    </w:rPr>
  </w:style>
  <w:style w:type="character" w:styleId="ListLabel252">
    <w:name w:val="ListLabel 252"/>
    <w:qFormat/>
    <w:rPr>
      <w:u w:val="none"/>
    </w:rPr>
  </w:style>
  <w:style w:type="character" w:styleId="ListLabel253">
    <w:name w:val="ListLabel 253"/>
    <w:qFormat/>
    <w:rPr>
      <w:u w:val="none"/>
    </w:rPr>
  </w:style>
  <w:style w:type="character" w:styleId="ListLabel254">
    <w:name w:val="ListLabel 254"/>
    <w:qFormat/>
    <w:rPr>
      <w:color w:val="0000EE"/>
      <w:u w:val="single"/>
    </w:rPr>
  </w:style>
  <w:style w:type="character" w:styleId="ListLabel255">
    <w:name w:val="ListLabel 255"/>
    <w:qFormat/>
    <w:rPr>
      <w:color w:val="1155CC"/>
      <w:u w:val="single"/>
    </w:rPr>
  </w:style>
  <w:style w:type="character" w:styleId="ListLabel256">
    <w:name w:val="ListLabel 256"/>
    <w:qFormat/>
    <w:rPr>
      <w:caps w:val="false"/>
      <w:smallCaps w:val="false"/>
      <w:position w:val="0"/>
      <w:sz w:val="24"/>
      <w:sz w:val="24"/>
      <w:vertAlign w:val="baseline"/>
    </w:rPr>
  </w:style>
  <w:style w:type="character" w:styleId="ListLabel257">
    <w:name w:val="ListLabel 257"/>
    <w:qFormat/>
    <w:rPr>
      <w:position w:val="0"/>
      <w:sz w:val="24"/>
      <w:sz w:val="24"/>
      <w:vertAlign w:val="baseline"/>
    </w:rPr>
  </w:style>
  <w:style w:type="character" w:styleId="ListLabel258">
    <w:name w:val="ListLabel 258"/>
    <w:qFormat/>
    <w:rPr/>
  </w:style>
  <w:style w:type="character" w:styleId="ListLabel259">
    <w:name w:val="ListLabel 259"/>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neNumbering">
    <w:name w:val="Line Numbering"/>
    <w:rPr/>
  </w:style>
  <w:style w:type="character" w:styleId="ListLabel260">
    <w:name w:val="ListLabel 260"/>
    <w:qFormat/>
    <w:rPr>
      <w:u w:val="none"/>
    </w:rPr>
  </w:style>
  <w:style w:type="character" w:styleId="ListLabel261">
    <w:name w:val="ListLabel 261"/>
    <w:qFormat/>
    <w:rPr>
      <w:u w:val="none"/>
    </w:rPr>
  </w:style>
  <w:style w:type="character" w:styleId="ListLabel262">
    <w:name w:val="ListLabel 262"/>
    <w:qFormat/>
    <w:rPr>
      <w:u w:val="none"/>
    </w:rPr>
  </w:style>
  <w:style w:type="character" w:styleId="ListLabel263">
    <w:name w:val="ListLabel 263"/>
    <w:qFormat/>
    <w:rPr>
      <w:u w:val="none"/>
    </w:rPr>
  </w:style>
  <w:style w:type="character" w:styleId="ListLabel264">
    <w:name w:val="ListLabel 264"/>
    <w:qFormat/>
    <w:rPr>
      <w:u w:val="none"/>
    </w:rPr>
  </w:style>
  <w:style w:type="character" w:styleId="ListLabel265">
    <w:name w:val="ListLabel 265"/>
    <w:qFormat/>
    <w:rPr>
      <w:u w:val="none"/>
    </w:rPr>
  </w:style>
  <w:style w:type="character" w:styleId="ListLabel266">
    <w:name w:val="ListLabel 266"/>
    <w:qFormat/>
    <w:rPr>
      <w:u w:val="none"/>
    </w:rPr>
  </w:style>
  <w:style w:type="character" w:styleId="ListLabel267">
    <w:name w:val="ListLabel 267"/>
    <w:qFormat/>
    <w:rPr>
      <w:u w:val="none"/>
    </w:rPr>
  </w:style>
  <w:style w:type="character" w:styleId="ListLabel268">
    <w:name w:val="ListLabel 268"/>
    <w:qFormat/>
    <w:rPr>
      <w:u w:val="none"/>
    </w:rPr>
  </w:style>
  <w:style w:type="character" w:styleId="ListLabel269">
    <w:name w:val="ListLabel 269"/>
    <w:qFormat/>
    <w:rPr>
      <w:color w:val="0000EE"/>
      <w:u w:val="single"/>
    </w:rPr>
  </w:style>
  <w:style w:type="character" w:styleId="ListLabel270">
    <w:name w:val="ListLabel 270"/>
    <w:qFormat/>
    <w:rPr>
      <w:color w:val="1155CC"/>
      <w:u w:val="single"/>
    </w:rPr>
  </w:style>
  <w:style w:type="character" w:styleId="ListLabel271">
    <w:name w:val="ListLabel 271"/>
    <w:qFormat/>
    <w:rPr>
      <w:caps w:val="false"/>
      <w:smallCaps w:val="false"/>
      <w:position w:val="0"/>
      <w:sz w:val="24"/>
      <w:sz w:val="24"/>
      <w:vertAlign w:val="baseline"/>
    </w:rPr>
  </w:style>
  <w:style w:type="character" w:styleId="ListLabel272">
    <w:name w:val="ListLabel 272"/>
    <w:qFormat/>
    <w:rPr>
      <w:position w:val="0"/>
      <w:sz w:val="24"/>
      <w:sz w:val="24"/>
      <w:vertAlign w:val="baseline"/>
    </w:rPr>
  </w:style>
  <w:style w:type="character" w:styleId="ListLabel273">
    <w:name w:val="ListLabel 273"/>
    <w:qFormat/>
    <w:rPr/>
  </w:style>
  <w:style w:type="character" w:styleId="ListLabel274">
    <w:name w:val="ListLabel 274"/>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275">
    <w:name w:val="ListLabel 275"/>
    <w:qFormat/>
    <w:rPr>
      <w:u w:val="none"/>
    </w:rPr>
  </w:style>
  <w:style w:type="character" w:styleId="ListLabel276">
    <w:name w:val="ListLabel 276"/>
    <w:qFormat/>
    <w:rPr>
      <w:u w:val="none"/>
    </w:rPr>
  </w:style>
  <w:style w:type="character" w:styleId="ListLabel277">
    <w:name w:val="ListLabel 277"/>
    <w:qFormat/>
    <w:rPr>
      <w:u w:val="none"/>
    </w:rPr>
  </w:style>
  <w:style w:type="character" w:styleId="ListLabel278">
    <w:name w:val="ListLabel 278"/>
    <w:qFormat/>
    <w:rPr>
      <w:u w:val="none"/>
    </w:rPr>
  </w:style>
  <w:style w:type="character" w:styleId="ListLabel279">
    <w:name w:val="ListLabel 279"/>
    <w:qFormat/>
    <w:rPr>
      <w:u w:val="none"/>
    </w:rPr>
  </w:style>
  <w:style w:type="character" w:styleId="ListLabel280">
    <w:name w:val="ListLabel 280"/>
    <w:qFormat/>
    <w:rPr>
      <w:u w:val="none"/>
    </w:rPr>
  </w:style>
  <w:style w:type="character" w:styleId="ListLabel281">
    <w:name w:val="ListLabel 281"/>
    <w:qFormat/>
    <w:rPr>
      <w:u w:val="none"/>
    </w:rPr>
  </w:style>
  <w:style w:type="character" w:styleId="ListLabel282">
    <w:name w:val="ListLabel 282"/>
    <w:qFormat/>
    <w:rPr>
      <w:u w:val="none"/>
    </w:rPr>
  </w:style>
  <w:style w:type="character" w:styleId="ListLabel283">
    <w:name w:val="ListLabel 283"/>
    <w:qFormat/>
    <w:rPr>
      <w:u w:val="none"/>
    </w:rPr>
  </w:style>
  <w:style w:type="character" w:styleId="ListLabel284">
    <w:name w:val="ListLabel 284"/>
    <w:qFormat/>
    <w:rPr>
      <w:color w:val="0000EE"/>
      <w:u w:val="single"/>
    </w:rPr>
  </w:style>
  <w:style w:type="character" w:styleId="ListLabel285">
    <w:name w:val="ListLabel 285"/>
    <w:qFormat/>
    <w:rPr>
      <w:color w:val="1155CC"/>
      <w:u w:val="single"/>
    </w:rPr>
  </w:style>
  <w:style w:type="character" w:styleId="ListLabel286">
    <w:name w:val="ListLabel 286"/>
    <w:qFormat/>
    <w:rPr>
      <w:caps w:val="false"/>
      <w:smallCaps w:val="false"/>
      <w:position w:val="0"/>
      <w:sz w:val="24"/>
      <w:sz w:val="24"/>
      <w:vertAlign w:val="baseline"/>
    </w:rPr>
  </w:style>
  <w:style w:type="character" w:styleId="ListLabel287">
    <w:name w:val="ListLabel 287"/>
    <w:qFormat/>
    <w:rPr>
      <w:position w:val="0"/>
      <w:sz w:val="24"/>
      <w:sz w:val="24"/>
      <w:vertAlign w:val="baseline"/>
    </w:rPr>
  </w:style>
  <w:style w:type="character" w:styleId="ListLabel288">
    <w:name w:val="ListLabel 288"/>
    <w:qFormat/>
    <w:rPr/>
  </w:style>
  <w:style w:type="character" w:styleId="ListLabel289">
    <w:name w:val="ListLabel 289"/>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290">
    <w:name w:val="ListLabel 290"/>
    <w:qFormat/>
    <w:rPr>
      <w:u w:val="none"/>
    </w:rPr>
  </w:style>
  <w:style w:type="character" w:styleId="ListLabel291">
    <w:name w:val="ListLabel 291"/>
    <w:qFormat/>
    <w:rPr>
      <w:u w:val="none"/>
    </w:rPr>
  </w:style>
  <w:style w:type="character" w:styleId="ListLabel292">
    <w:name w:val="ListLabel 292"/>
    <w:qFormat/>
    <w:rPr>
      <w:u w:val="none"/>
    </w:rPr>
  </w:style>
  <w:style w:type="character" w:styleId="ListLabel293">
    <w:name w:val="ListLabel 293"/>
    <w:qFormat/>
    <w:rPr>
      <w:u w:val="none"/>
    </w:rPr>
  </w:style>
  <w:style w:type="character" w:styleId="ListLabel294">
    <w:name w:val="ListLabel 294"/>
    <w:qFormat/>
    <w:rPr>
      <w:u w:val="none"/>
    </w:rPr>
  </w:style>
  <w:style w:type="character" w:styleId="ListLabel295">
    <w:name w:val="ListLabel 295"/>
    <w:qFormat/>
    <w:rPr>
      <w:u w:val="none"/>
    </w:rPr>
  </w:style>
  <w:style w:type="character" w:styleId="ListLabel296">
    <w:name w:val="ListLabel 296"/>
    <w:qFormat/>
    <w:rPr>
      <w:u w:val="none"/>
    </w:rPr>
  </w:style>
  <w:style w:type="character" w:styleId="ListLabel297">
    <w:name w:val="ListLabel 297"/>
    <w:qFormat/>
    <w:rPr>
      <w:u w:val="none"/>
    </w:rPr>
  </w:style>
  <w:style w:type="character" w:styleId="ListLabel298">
    <w:name w:val="ListLabel 298"/>
    <w:qFormat/>
    <w:rPr>
      <w:u w:val="none"/>
    </w:rPr>
  </w:style>
  <w:style w:type="character" w:styleId="ListLabel299">
    <w:name w:val="ListLabel 299"/>
    <w:qFormat/>
    <w:rPr>
      <w:color w:val="0000EE"/>
      <w:u w:val="single"/>
    </w:rPr>
  </w:style>
  <w:style w:type="character" w:styleId="ListLabel300">
    <w:name w:val="ListLabel 300"/>
    <w:qFormat/>
    <w:rPr>
      <w:color w:val="1155CC"/>
      <w:u w:val="single"/>
    </w:rPr>
  </w:style>
  <w:style w:type="character" w:styleId="ListLabel301">
    <w:name w:val="ListLabel 301"/>
    <w:qFormat/>
    <w:rPr>
      <w:caps w:val="false"/>
      <w:smallCaps w:val="false"/>
      <w:position w:val="0"/>
      <w:sz w:val="24"/>
      <w:sz w:val="24"/>
      <w:vertAlign w:val="baseline"/>
    </w:rPr>
  </w:style>
  <w:style w:type="character" w:styleId="ListLabel302">
    <w:name w:val="ListLabel 302"/>
    <w:qFormat/>
    <w:rPr>
      <w:position w:val="0"/>
      <w:sz w:val="24"/>
      <w:sz w:val="24"/>
      <w:vertAlign w:val="baseline"/>
    </w:rPr>
  </w:style>
  <w:style w:type="character" w:styleId="ListLabel303">
    <w:name w:val="ListLabel 303"/>
    <w:qFormat/>
    <w:rPr/>
  </w:style>
  <w:style w:type="character" w:styleId="ListLabel304">
    <w:name w:val="ListLabel 304"/>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305">
    <w:name w:val="ListLabel 305"/>
    <w:qFormat/>
    <w:rPr>
      <w:u w:val="none"/>
    </w:rPr>
  </w:style>
  <w:style w:type="character" w:styleId="ListLabel306">
    <w:name w:val="ListLabel 306"/>
    <w:qFormat/>
    <w:rPr>
      <w:u w:val="none"/>
    </w:rPr>
  </w:style>
  <w:style w:type="character" w:styleId="ListLabel307">
    <w:name w:val="ListLabel 307"/>
    <w:qFormat/>
    <w:rPr>
      <w:u w:val="none"/>
    </w:rPr>
  </w:style>
  <w:style w:type="character" w:styleId="ListLabel308">
    <w:name w:val="ListLabel 308"/>
    <w:qFormat/>
    <w:rPr>
      <w:u w:val="none"/>
    </w:rPr>
  </w:style>
  <w:style w:type="character" w:styleId="ListLabel309">
    <w:name w:val="ListLabel 309"/>
    <w:qFormat/>
    <w:rPr>
      <w:u w:val="none"/>
    </w:rPr>
  </w:style>
  <w:style w:type="character" w:styleId="ListLabel310">
    <w:name w:val="ListLabel 310"/>
    <w:qFormat/>
    <w:rPr>
      <w:u w:val="none"/>
    </w:rPr>
  </w:style>
  <w:style w:type="character" w:styleId="ListLabel311">
    <w:name w:val="ListLabel 311"/>
    <w:qFormat/>
    <w:rPr>
      <w:u w:val="none"/>
    </w:rPr>
  </w:style>
  <w:style w:type="character" w:styleId="ListLabel312">
    <w:name w:val="ListLabel 312"/>
    <w:qFormat/>
    <w:rPr>
      <w:u w:val="none"/>
    </w:rPr>
  </w:style>
  <w:style w:type="character" w:styleId="ListLabel313">
    <w:name w:val="ListLabel 313"/>
    <w:qFormat/>
    <w:rPr>
      <w:u w:val="none"/>
    </w:rPr>
  </w:style>
  <w:style w:type="character" w:styleId="ListLabel314">
    <w:name w:val="ListLabel 314"/>
    <w:qFormat/>
    <w:rPr>
      <w:color w:val="0000EE"/>
      <w:u w:val="single"/>
    </w:rPr>
  </w:style>
  <w:style w:type="character" w:styleId="ListLabel315">
    <w:name w:val="ListLabel 315"/>
    <w:qFormat/>
    <w:rPr>
      <w:color w:val="1155CC"/>
      <w:u w:val="single"/>
    </w:rPr>
  </w:style>
  <w:style w:type="character" w:styleId="ListLabel316">
    <w:name w:val="ListLabel 316"/>
    <w:qFormat/>
    <w:rPr>
      <w:caps w:val="false"/>
      <w:smallCaps w:val="false"/>
      <w:position w:val="0"/>
      <w:sz w:val="24"/>
      <w:sz w:val="24"/>
      <w:vertAlign w:val="baseline"/>
    </w:rPr>
  </w:style>
  <w:style w:type="character" w:styleId="ListLabel317">
    <w:name w:val="ListLabel 317"/>
    <w:qFormat/>
    <w:rPr>
      <w:position w:val="0"/>
      <w:sz w:val="24"/>
      <w:sz w:val="24"/>
      <w:vertAlign w:val="baseline"/>
    </w:rPr>
  </w:style>
  <w:style w:type="character" w:styleId="ListLabel318">
    <w:name w:val="ListLabel 318"/>
    <w:qFormat/>
    <w:rPr/>
  </w:style>
  <w:style w:type="character" w:styleId="ListLabel319">
    <w:name w:val="ListLabel 319"/>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320">
    <w:name w:val="ListLabel 320"/>
    <w:qFormat/>
    <w:rPr/>
  </w:style>
  <w:style w:type="character" w:styleId="ListLabel321">
    <w:name w:val="ListLabel 321"/>
    <w:qFormat/>
    <w:rPr>
      <w:u w:val="none"/>
    </w:rPr>
  </w:style>
  <w:style w:type="character" w:styleId="ListLabel322">
    <w:name w:val="ListLabel 322"/>
    <w:qFormat/>
    <w:rPr>
      <w:u w:val="none"/>
    </w:rPr>
  </w:style>
  <w:style w:type="character" w:styleId="ListLabel323">
    <w:name w:val="ListLabel 323"/>
    <w:qFormat/>
    <w:rPr>
      <w:u w:val="none"/>
    </w:rPr>
  </w:style>
  <w:style w:type="character" w:styleId="ListLabel324">
    <w:name w:val="ListLabel 324"/>
    <w:qFormat/>
    <w:rPr>
      <w:u w:val="none"/>
    </w:rPr>
  </w:style>
  <w:style w:type="character" w:styleId="ListLabel325">
    <w:name w:val="ListLabel 325"/>
    <w:qFormat/>
    <w:rPr>
      <w:u w:val="none"/>
    </w:rPr>
  </w:style>
  <w:style w:type="character" w:styleId="ListLabel326">
    <w:name w:val="ListLabel 326"/>
    <w:qFormat/>
    <w:rPr>
      <w:u w:val="none"/>
    </w:rPr>
  </w:style>
  <w:style w:type="character" w:styleId="ListLabel327">
    <w:name w:val="ListLabel 327"/>
    <w:qFormat/>
    <w:rPr>
      <w:u w:val="none"/>
    </w:rPr>
  </w:style>
  <w:style w:type="character" w:styleId="ListLabel328">
    <w:name w:val="ListLabel 328"/>
    <w:qFormat/>
    <w:rPr>
      <w:u w:val="none"/>
    </w:rPr>
  </w:style>
  <w:style w:type="character" w:styleId="ListLabel329">
    <w:name w:val="ListLabel 329"/>
    <w:qFormat/>
    <w:rPr>
      <w:u w:val="none"/>
    </w:rPr>
  </w:style>
  <w:style w:type="character" w:styleId="ListLabel330">
    <w:name w:val="ListLabel 330"/>
    <w:qFormat/>
    <w:rPr>
      <w:color w:val="0000EE"/>
      <w:u w:val="single"/>
    </w:rPr>
  </w:style>
  <w:style w:type="character" w:styleId="ListLabel331">
    <w:name w:val="ListLabel 331"/>
    <w:qFormat/>
    <w:rPr>
      <w:color w:val="1155CC"/>
      <w:u w:val="single"/>
    </w:rPr>
  </w:style>
  <w:style w:type="character" w:styleId="ListLabel332">
    <w:name w:val="ListLabel 332"/>
    <w:qFormat/>
    <w:rPr>
      <w:caps w:val="false"/>
      <w:smallCaps w:val="false"/>
      <w:position w:val="0"/>
      <w:sz w:val="24"/>
      <w:sz w:val="24"/>
      <w:vertAlign w:val="baseline"/>
    </w:rPr>
  </w:style>
  <w:style w:type="character" w:styleId="ListLabel333">
    <w:name w:val="ListLabel 333"/>
    <w:qFormat/>
    <w:rPr>
      <w:position w:val="0"/>
      <w:sz w:val="24"/>
      <w:sz w:val="24"/>
      <w:vertAlign w:val="baseline"/>
    </w:rPr>
  </w:style>
  <w:style w:type="character" w:styleId="ListLabel334">
    <w:name w:val="ListLabel 334"/>
    <w:qFormat/>
    <w:rPr/>
  </w:style>
  <w:style w:type="character" w:styleId="ListLabel335">
    <w:name w:val="ListLabel 335"/>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336">
    <w:name w:val="ListLabel 336"/>
    <w:qFormat/>
    <w:rPr/>
  </w:style>
  <w:style w:type="character" w:styleId="ListLabel337">
    <w:name w:val="ListLabel 337"/>
    <w:qFormat/>
    <w:rPr>
      <w:rFonts w:ascii="Liberation Serif" w:hAnsi="Liberation Serif" w:eastAsia="Liberation Serif" w:cs="Liberation Serif"/>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4"/>
      <w:u w:val="none"/>
      <w:vertAlign w:val="baseline"/>
      <w:em w:val="none"/>
      <w:lang w:val="en-US" w:eastAsia="zh-CN" w:bidi="hi-IN"/>
    </w:rPr>
  </w:style>
  <w:style w:type="character" w:styleId="ListLabel338">
    <w:name w:val="ListLabel 338"/>
    <w:qFormat/>
    <w:rPr>
      <w:u w:val="none"/>
    </w:rPr>
  </w:style>
  <w:style w:type="character" w:styleId="ListLabel339">
    <w:name w:val="ListLabel 339"/>
    <w:qFormat/>
    <w:rPr>
      <w:u w:val="none"/>
    </w:rPr>
  </w:style>
  <w:style w:type="character" w:styleId="ListLabel340">
    <w:name w:val="ListLabel 340"/>
    <w:qFormat/>
    <w:rPr>
      <w:u w:val="none"/>
    </w:rPr>
  </w:style>
  <w:style w:type="character" w:styleId="ListLabel341">
    <w:name w:val="ListLabel 341"/>
    <w:qFormat/>
    <w:rPr>
      <w:u w:val="none"/>
    </w:rPr>
  </w:style>
  <w:style w:type="character" w:styleId="ListLabel342">
    <w:name w:val="ListLabel 342"/>
    <w:qFormat/>
    <w:rPr>
      <w:u w:val="none"/>
    </w:rPr>
  </w:style>
  <w:style w:type="character" w:styleId="ListLabel343">
    <w:name w:val="ListLabel 343"/>
    <w:qFormat/>
    <w:rPr>
      <w:u w:val="none"/>
    </w:rPr>
  </w:style>
  <w:style w:type="character" w:styleId="ListLabel344">
    <w:name w:val="ListLabel 344"/>
    <w:qFormat/>
    <w:rPr>
      <w:u w:val="none"/>
    </w:rPr>
  </w:style>
  <w:style w:type="character" w:styleId="ListLabel345">
    <w:name w:val="ListLabel 345"/>
    <w:qFormat/>
    <w:rPr>
      <w:u w:val="none"/>
    </w:rPr>
  </w:style>
  <w:style w:type="character" w:styleId="ListLabel346">
    <w:name w:val="ListLabel 346"/>
    <w:qFormat/>
    <w:rPr>
      <w:u w:val="none"/>
    </w:rPr>
  </w:style>
  <w:style w:type="character" w:styleId="ListLabel347">
    <w:name w:val="ListLabel 347"/>
    <w:qFormat/>
    <w:rPr>
      <w:color w:val="0000EE"/>
      <w:u w:val="single"/>
    </w:rPr>
  </w:style>
  <w:style w:type="character" w:styleId="ListLabel348">
    <w:name w:val="ListLabel 348"/>
    <w:qFormat/>
    <w:rPr>
      <w:color w:val="1155CC"/>
      <w:u w:val="single"/>
    </w:rPr>
  </w:style>
  <w:style w:type="character" w:styleId="ListLabel349">
    <w:name w:val="ListLabel 349"/>
    <w:qFormat/>
    <w:rPr>
      <w:caps w:val="false"/>
      <w:smallCaps w:val="false"/>
      <w:position w:val="0"/>
      <w:sz w:val="24"/>
      <w:sz w:val="24"/>
      <w:vertAlign w:val="baseline"/>
    </w:rPr>
  </w:style>
  <w:style w:type="character" w:styleId="ListLabel350">
    <w:name w:val="ListLabel 350"/>
    <w:qFormat/>
    <w:rPr>
      <w:position w:val="0"/>
      <w:sz w:val="24"/>
      <w:sz w:val="24"/>
      <w:vertAlign w:val="baseline"/>
    </w:rPr>
  </w:style>
  <w:style w:type="character" w:styleId="ListLabel351">
    <w:name w:val="ListLabel 351"/>
    <w:qFormat/>
    <w:rPr/>
  </w:style>
  <w:style w:type="character" w:styleId="ListLabel352">
    <w:name w:val="ListLabel 352"/>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353">
    <w:name w:val="ListLabel 353"/>
    <w:qFormat/>
    <w:rPr/>
  </w:style>
  <w:style w:type="character" w:styleId="ListLabel354">
    <w:name w:val="ListLabel 354"/>
    <w:qFormat/>
    <w:rPr>
      <w:u w:val="none"/>
    </w:rPr>
  </w:style>
  <w:style w:type="character" w:styleId="ListLabel355">
    <w:name w:val="ListLabel 355"/>
    <w:qFormat/>
    <w:rPr>
      <w:u w:val="none"/>
    </w:rPr>
  </w:style>
  <w:style w:type="character" w:styleId="ListLabel356">
    <w:name w:val="ListLabel 356"/>
    <w:qFormat/>
    <w:rPr>
      <w:u w:val="none"/>
    </w:rPr>
  </w:style>
  <w:style w:type="character" w:styleId="ListLabel357">
    <w:name w:val="ListLabel 357"/>
    <w:qFormat/>
    <w:rPr>
      <w:u w:val="none"/>
    </w:rPr>
  </w:style>
  <w:style w:type="character" w:styleId="ListLabel358">
    <w:name w:val="ListLabel 358"/>
    <w:qFormat/>
    <w:rPr>
      <w:u w:val="none"/>
    </w:rPr>
  </w:style>
  <w:style w:type="character" w:styleId="ListLabel359">
    <w:name w:val="ListLabel 359"/>
    <w:qFormat/>
    <w:rPr>
      <w:u w:val="none"/>
    </w:rPr>
  </w:style>
  <w:style w:type="character" w:styleId="ListLabel360">
    <w:name w:val="ListLabel 360"/>
    <w:qFormat/>
    <w:rPr>
      <w:u w:val="none"/>
    </w:rPr>
  </w:style>
  <w:style w:type="character" w:styleId="ListLabel361">
    <w:name w:val="ListLabel 361"/>
    <w:qFormat/>
    <w:rPr>
      <w:u w:val="none"/>
    </w:rPr>
  </w:style>
  <w:style w:type="character" w:styleId="ListLabel362">
    <w:name w:val="ListLabel 362"/>
    <w:qFormat/>
    <w:rPr>
      <w:u w:val="none"/>
    </w:rPr>
  </w:style>
  <w:style w:type="character" w:styleId="ListLabel363">
    <w:name w:val="ListLabel 363"/>
    <w:qFormat/>
    <w:rPr>
      <w:color w:val="0000EE"/>
      <w:u w:val="single"/>
    </w:rPr>
  </w:style>
  <w:style w:type="character" w:styleId="ListLabel364">
    <w:name w:val="ListLabel 364"/>
    <w:qFormat/>
    <w:rPr>
      <w:color w:val="1155CC"/>
      <w:u w:val="single"/>
    </w:rPr>
  </w:style>
  <w:style w:type="character" w:styleId="ListLabel365">
    <w:name w:val="ListLabel 365"/>
    <w:qFormat/>
    <w:rPr>
      <w:caps w:val="false"/>
      <w:smallCaps w:val="false"/>
      <w:position w:val="0"/>
      <w:sz w:val="24"/>
      <w:sz w:val="24"/>
      <w:vertAlign w:val="baseline"/>
    </w:rPr>
  </w:style>
  <w:style w:type="character" w:styleId="ListLabel366">
    <w:name w:val="ListLabel 366"/>
    <w:qFormat/>
    <w:rPr>
      <w:position w:val="0"/>
      <w:sz w:val="24"/>
      <w:sz w:val="24"/>
      <w:vertAlign w:val="baseline"/>
    </w:rPr>
  </w:style>
  <w:style w:type="character" w:styleId="ListLabel367">
    <w:name w:val="ListLabel 367"/>
    <w:qFormat/>
    <w:rPr/>
  </w:style>
  <w:style w:type="character" w:styleId="ListLabel368">
    <w:name w:val="ListLabel 368"/>
    <w:qFormat/>
    <w:rPr>
      <w:rFonts w:eastAsia="Liberation Serif" w:cs="Liberation Serif"/>
      <w:b w:val="false"/>
      <w:i w:val="false"/>
      <w:caps w:val="false"/>
      <w:smallCaps w:val="false"/>
      <w:strike w:val="false"/>
      <w:dstrike w:val="false"/>
      <w:color w:val="000000"/>
      <w:position w:val="0"/>
      <w:sz w:val="24"/>
      <w:sz w:val="24"/>
      <w:szCs w:val="24"/>
      <w:u w:val="none"/>
      <w:vertAlign w:val="baseline"/>
    </w:rPr>
  </w:style>
  <w:style w:type="character" w:styleId="ListLabel369">
    <w:name w:val="ListLabel 369"/>
    <w:qFormat/>
    <w:rPr/>
  </w:style>
  <w:style w:type="character" w:styleId="DefaultParagraphFont">
    <w:name w:val="Default Paragraph Font"/>
    <w:qFormat/>
    <w:rPr/>
  </w:style>
  <w:style w:type="paragraph" w:styleId="Heading">
    <w:name w:val="Heading"/>
    <w:basedOn w:val="Normal"/>
    <w:next w:val="TextBody"/>
    <w:qFormat/>
    <w:pPr>
      <w:keepNext w:val="true"/>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Onormal">
    <w:name w:val="LO-normal"/>
    <w:qFormat/>
    <w:pPr>
      <w:widowControl/>
      <w:kinsoku w:val="true"/>
      <w:overflowPunct w:val="true"/>
      <w:autoSpaceDE w:val="true"/>
      <w:bidi w:val="0"/>
      <w:jc w:val="left"/>
    </w:pPr>
    <w:rPr>
      <w:rFonts w:ascii="Liberation Serif" w:hAnsi="Liberation Serif" w:eastAsia="Liberation Serif" w:cs="Liberation Serif"/>
      <w:color w:val="auto"/>
      <w:kern w:val="0"/>
      <w:sz w:val="24"/>
      <w:szCs w:val="24"/>
      <w:lang w:val="en-US" w:eastAsia="zh-CN" w:bidi="hi-IN"/>
    </w:rPr>
  </w:style>
  <w:style w:type="paragraph" w:styleId="Title">
    <w:name w:val="Title"/>
    <w:basedOn w:val="LOnormal"/>
    <w:next w:val="LOnormal"/>
    <w:qFormat/>
    <w:pPr>
      <w:keepNext w:val="true"/>
      <w:keepLines/>
      <w:spacing w:lineRule="auto" w:line="240" w:before="480" w:after="120"/>
    </w:pPr>
    <w:rPr>
      <w:b/>
      <w:sz w:val="72"/>
      <w:szCs w:val="72"/>
    </w:rPr>
  </w:style>
  <w:style w:type="paragraph" w:styleId="Subtitle">
    <w:name w:val="Subtitle"/>
    <w:basedOn w:val="LOnormal"/>
    <w:next w:val="LOnormal"/>
    <w:qFormat/>
    <w:pPr>
      <w:keepNext w:val="true"/>
      <w:keepLines/>
      <w:spacing w:lineRule="auto" w:line="240" w:before="360" w:after="80"/>
    </w:pPr>
    <w:rPr>
      <w:rFonts w:ascii="Georgia" w:hAnsi="Georgia" w:eastAsia="Georgia" w:cs="Georgia"/>
      <w:i/>
      <w:color w:val="666666"/>
      <w:sz w:val="48"/>
      <w:szCs w:val="48"/>
    </w:rPr>
  </w:style>
  <w:style w:type="paragraph" w:styleId="Footer">
    <w:name w:val="Footer"/>
    <w:basedOn w:val="Normal"/>
    <w:pPr>
      <w:suppressLineNumbers/>
      <w:tabs>
        <w:tab w:val="clear" w:pos="720"/>
        <w:tab w:val="center" w:pos="4986" w:leader="none"/>
        <w:tab w:val="right" w:pos="9972" w:leader="none"/>
      </w:tabs>
    </w:pPr>
    <w:rPr/>
  </w:style>
  <w:style w:type="paragraph" w:styleId="Header">
    <w:name w:val="Header"/>
    <w:basedOn w:val="Normal"/>
    <w:pPr>
      <w:suppressLineNumbers/>
      <w:tabs>
        <w:tab w:val="clear" w:pos="720"/>
        <w:tab w:val="center" w:pos="4986" w:leader="none"/>
        <w:tab w:val="right" w:pos="9972" w:leader="none"/>
      </w:tabs>
    </w:pPr>
    <w:rPr/>
  </w:style>
  <w:style w:type="paragraph" w:styleId="TableContents">
    <w:name w:val="Table Contents"/>
    <w:basedOn w:val="Normal"/>
    <w:qFormat/>
    <w:pPr>
      <w:suppressLineNumbers/>
    </w:pPr>
    <w:rPr/>
  </w:style>
  <w:style w:type="paragraph" w:styleId="Bibliography1">
    <w:name w:val="Bibliography 1"/>
    <w:basedOn w:val="Index"/>
    <w:qFormat/>
    <w:pPr>
      <w:tabs>
        <w:tab w:val="clear" w:pos="720"/>
        <w:tab w:val="left" w:pos="504" w:leader="none"/>
      </w:tabs>
      <w:spacing w:lineRule="atLeast" w:line="240" w:before="0" w:after="240"/>
      <w:ind w:left="504" w:right="0" w:hanging="504"/>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491</TotalTime>
  <Application>LibreOffice/6.1.5.2$Linux_X86_64 LibreOffice_project/10$Build-2</Application>
  <Pages>13</Pages>
  <Words>571</Words>
  <Characters>2852</Characters>
  <CharactersWithSpaces>3378</CharactersWithSpaces>
  <Paragraphs>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Sean Cavany</cp:lastModifiedBy>
  <dcterms:modified xsi:type="dcterms:W3CDTF">2021-10-12T16:55:52Z</dcterms:modified>
  <cp:revision>69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11tDpi8X2Vux_1">
    <vt:lpwstr>ZOTERO_ITEM CSL_CITATION {"citationID":"ThX72ROh","properties":{"formattedCitation":"(16)","plainCitation":"(16)(16)","noteIndex":0},"citationItems":[{"id":7298,"uris":["http://zotero.org/users/4501344/items/2528M6HE"],"uri":["http://zotero.org/users/4501</vt:lpwstr>
  </property>
  <property fmtid="{D5CDD505-2E9C-101B-9397-08002B2CF9AE}" pid="3" name="ZOTERO_BREF_11tDpi8X2Vux_2">
    <vt:lpwstr>344/items/2528M6HE"],"itemData":{"id":7298,"type":"webpage","abstract":"Information and resources about creating a safe and healthy environment at the University of Notre Dame for students, faculty, and staff as the University prepares for the 2020-21 aca</vt:lpwstr>
  </property>
  <property fmtid="{D5CDD505-2E9C-101B-9397-08002B2CF9AE}" pid="4" name="ZOTERO_BREF_11tDpi8X2Vux_3">
    <vt:lpwstr>demic year in the rapidly evolving environment of a global pandemic.","container-title":"Here","language":"en","title":"Contact Tracing, Quarantine, Isolation","URL":"https://here.nd.edu/health-safety/contact-tracing-quarantine-isolation/","author":[{"fam</vt:lpwstr>
  </property>
  <property fmtid="{D5CDD505-2E9C-101B-9397-08002B2CF9AE}" pid="5" name="ZOTERO_BREF_11tDpi8X2Vux_4">
    <vt:lpwstr>ily":"Dame","given":"Marketing Communications: Web | University of Notre"}],"accessed":{"date-parts":[["2021",5,24]]},"issued":{"date-parts":[["2021",5,14]]}}}],"schema":"https://github.com/citation-style-language/schema/raw/master/csl-citation.json"}</vt:lpwstr>
  </property>
  <property fmtid="{D5CDD505-2E9C-101B-9397-08002B2CF9AE}" pid="6" name="ZOTERO_BREF_2NHif5qC3zsW_1">
    <vt:lpwstr>ZOTERO_ITEM CSL_CITATION {"citationID":"k47jg4l8","properties":{"formattedCitation":"(6)","plainCitation":"(6)(6)","noteIndex":0},"citationItems":[{"id":620,"uris":["http://zotero.org/users/4501344/items/8U4BUHLK"],"uri":["http://zotero.org/users/4501344/</vt:lpwstr>
  </property>
  <property fmtid="{D5CDD505-2E9C-101B-9397-08002B2CF9AE}" pid="7" name="ZOTERO_BREF_2NHif5qC3zsW_10">
    <vt:lpwstr>of environmental surveillance data","author":[{"family":"Brouwer","given":"Andrew F."},{"family":"Eisenberg","given":"Joseph N. S."},{"family":"Pomeroy","given":"Connor D."},{"family":"Shulman","given":"Lester M."},{"family":"Hindiyeh","given":"Musa"},{"f</vt:lpwstr>
  </property>
  <property fmtid="{D5CDD505-2E9C-101B-9397-08002B2CF9AE}" pid="8" name="ZOTERO_BREF_2NHif5qC3zsW_11">
    <vt:lpwstr>amily":"Manor","given":"Yossi"},{"family":"Grotto","given":"Itamar"},{"family":"Koopman","given":"James S."},{"family":"Eisenberg","given":"Marisa C."}],"issued":{"date-parts":[["2018",10,18]]}}}],"schema":"https://github.com/citation-style-language/schem</vt:lpwstr>
  </property>
  <property fmtid="{D5CDD505-2E9C-101B-9397-08002B2CF9AE}" pid="9" name="ZOTERO_BREF_2NHif5qC3zsW_12">
    <vt:lpwstr>a/raw/master/csl-citation.json"}</vt:lpwstr>
  </property>
  <property fmtid="{D5CDD505-2E9C-101B-9397-08002B2CF9AE}" pid="10" name="ZOTERO_BREF_2NHif5qC3zsW_2">
    <vt:lpwstr>items/8U4BUHLK"],"itemData":{"id":620,"type":"article-journal","abstract":"Israel experienced an outbreak of wild poliovirus type 1 (WPV1) in 2013-2014, detected through environmental surveillance of the sewage system. No cases of acute flaccid paralysis </vt:lpwstr>
  </property>
  <property fmtid="{D5CDD505-2E9C-101B-9397-08002B2CF9AE}" pid="11" name="ZOTERO_BREF_2NHif5qC3zsW_3">
    <vt:lpwstr>were reported, and the epidemic subsided after a bivalent oral polio vaccination (bOPV) campaign. As we approach global eradication, polio will increasingly be detected only through environmental surveillance. We developed a framework to convert quantitat</vt:lpwstr>
  </property>
  <property fmtid="{D5CDD505-2E9C-101B-9397-08002B2CF9AE}" pid="12" name="ZOTERO_BREF_2NHif5qC3zsW_4">
    <vt:lpwstr>ive polymerase chain reaction (qPCR) cycle threshold data into scaled WPV1 and OPV1 concentrations for inference within a deterministic, compartmental infectious disease transmission model. We used this approach to estimate the epidemic curve and transmis</vt:lpwstr>
  </property>
  <property fmtid="{D5CDD505-2E9C-101B-9397-08002B2CF9AE}" pid="13" name="ZOTERO_BREF_2NHif5qC3zsW_5">
    <vt:lpwstr>sion dynamics, as well as assess alternate vaccination scenarios. Our analysis estimates the outbreak peaked in late June, much earlier than previous estimates derived from analysis of stool samples, although the exact epidemic trajectory remains uncertai</vt:lpwstr>
  </property>
  <property fmtid="{D5CDD505-2E9C-101B-9397-08002B2CF9AE}" pid="14" name="ZOTERO_BREF_2NHif5qC3zsW_6">
    <vt:lpwstr>n. We estimate the basic reproduction number was 1.62 (95% CI 1.04-2.02). Model estimates indicate that 59% (95% CI 9-77%) of susceptible individuals (primarily children under 10 years old) were infected with WPV1 over a little more than six months, mostl</vt:lpwstr>
  </property>
  <property fmtid="{D5CDD505-2E9C-101B-9397-08002B2CF9AE}" pid="15" name="ZOTERO_BREF_2NHif5qC3zsW_7">
    <vt:lpwstr>y before the vaccination campaign onset, and that the vaccination campaign averted 10% (95% CI 1-24%) of WPV1 infections. As we approach global polio eradication, environmental monitoring with qPCR can be used as a highly sensitive method to enhance disea</vt:lpwstr>
  </property>
  <property fmtid="{D5CDD505-2E9C-101B-9397-08002B2CF9AE}" pid="16" name="ZOTERO_BREF_2NHif5qC3zsW_8">
    <vt:lpwstr>se surveillance. Our analytic approach brings public health relevance to environmental data that, if systematically collected, can guide eradication efforts.","container-title":"Proceedings of the National Academy of Sciences of the United States of Ameri</vt:lpwstr>
  </property>
  <property fmtid="{D5CDD505-2E9C-101B-9397-08002B2CF9AE}" pid="17" name="ZOTERO_BREF_2NHif5qC3zsW_9">
    <vt:lpwstr>ca","DOI":"10.1073/pnas.1808798115","ISSN":"1091-6490","journalAbbreviation":"Proc. Natl. Acad. Sci. U.S.A.","language":"eng","note":"PMID: 30337479","source":"PubMed","title":"Epidemiology of the silent polio outbreak in Rahat, Israel, based on modeling </vt:lpwstr>
  </property>
  <property fmtid="{D5CDD505-2E9C-101B-9397-08002B2CF9AE}" pid="18" name="ZOTERO_BREF_7Clh9HAXvMrE_1">
    <vt:lpwstr>ZOTERO_ITEM CSL_CITATION {"citationID":"0DZVlrwY","properties":{"formattedCitation":"(18)","plainCitation":"(18)(18)","noteIndex":0},"citationItems":[{"id":8190,"uris":["http://zotero.org/users/4501344/items/DTVVRAI6"],"uri":["http://zotero.org/users/4501</vt:lpwstr>
  </property>
  <property fmtid="{D5CDD505-2E9C-101B-9397-08002B2CF9AE}" pid="19" name="ZOTERO_BREF_7Clh9HAXvMrE_10">
    <vt:lpwstr>{"family":"North","given":"Devin"},{"family":"Wu","given":"Zhenyu"},{"family":"Shaffer","given":"Marlee"},{"family":"Ahmed","given":"Warish"},{"family":"Bibby","given":"Kyle"}],"issued":{"date-parts":[["2021",9,10]]}}}],"schema":"https://github.com/citati</vt:lpwstr>
  </property>
  <property fmtid="{D5CDD505-2E9C-101B-9397-08002B2CF9AE}" pid="20" name="ZOTERO_BREF_7Clh9HAXvMrE_11">
    <vt:lpwstr>on-style-language/schema/raw/master/csl-citation.json"}</vt:lpwstr>
  </property>
  <property fmtid="{D5CDD505-2E9C-101B-9397-08002B2CF9AE}" pid="21" name="ZOTERO_BREF_7Clh9HAXvMrE_2">
    <vt:lpwstr>344/items/DTVVRAI6"],"itemData":{"id":8190,"type":"article-journal","abstract":"Wastewater surveillance of severe acute respiratory syndrome coronavirus 2 (SARS-CoV-2) RNA is being used to monitor Coronavirus Disease 2019 (COVID-19) trends in communities;</vt:lpwstr>
  </property>
  <property fmtid="{D5CDD505-2E9C-101B-9397-08002B2CF9AE}" pid="22" name="ZOTERO_BREF_7Clh9HAXvMrE_3">
    <vt:lpwstr> however, within- and between-day variation of SARS-CoV-2 RNA concentration in primary influent remains largely uncharacterized. In the current study, grab sampling of primary influent was performed every 2 h over two 24-h periods at two wastewater treatm</vt:lpwstr>
  </property>
  <property fmtid="{D5CDD505-2E9C-101B-9397-08002B2CF9AE}" pid="23" name="ZOTERO_BREF_7Clh9HAXvMrE_4">
    <vt:lpwstr>ent plants (WWTPs) in northern Indiana, USA. The recovery efficiency of endogenous SARS-CoV-2 RNA in wastewater was confirmed to be similar to the recovery efficiency of the process control, bovine respiratory syncytial virus (BRSV). Recovery-corrected SA</vt:lpwstr>
  </property>
  <property fmtid="{D5CDD505-2E9C-101B-9397-08002B2CF9AE}" pid="24" name="ZOTERO_BREF_7Clh9HAXvMrE_5">
    <vt:lpwstr>RS-CoV-2 RNA concentrations in primary influent indicate diurnal loading patterns and confirm monitoring dependent on grab samples should target daytime periods with high fecal loading. Importantly, manual compositing performed at the WWTP resulted in con</vt:lpwstr>
  </property>
  <property fmtid="{D5CDD505-2E9C-101B-9397-08002B2CF9AE}" pid="25" name="ZOTERO_BREF_7Clh9HAXvMrE_6">
    <vt:lpwstr>centrations that were consistently lower than grab sample averages indicating potential bias. Uncorrected, recovery-corrected, and pepper mild mottle virus (PMMoV)-normalized SARS-CoV-2 RNA concentrations demonstrated an ordinal agreement with increasing </vt:lpwstr>
  </property>
  <property fmtid="{D5CDD505-2E9C-101B-9397-08002B2CF9AE}" pid="26" name="ZOTERO_BREF_7Clh9HAXvMrE_7">
    <vt:lpwstr>clinical COVID-19 positivity but not COVID-19 cases. In areas where geolocated COVID-19 case data are not available, the COVID-19 positivity rate could provide a useful county-level metric for comparison with wastewater. Nonetheless, large variation both </vt:lpwstr>
  </property>
  <property fmtid="{D5CDD505-2E9C-101B-9397-08002B2CF9AE}" pid="27" name="ZOTERO_BREF_7Clh9HAXvMrE_8">
    <vt:lpwstr>within- and between-days may preclude robust quantitative analyses beyond correlation.","container-title":"ACS ES&amp;T Water","DOI":"10.1021/acsestwater.1c00178","issue":"9","journalAbbreviation":"ACS EST Water","note":"publisher: American Chemical Society",</vt:lpwstr>
  </property>
  <property fmtid="{D5CDD505-2E9C-101B-9397-08002B2CF9AE}" pid="28" name="ZOTERO_BREF_7Clh9HAXvMrE_9">
    <vt:lpwstr>"page":"2097-2108","source":"ACS Publications","title":"Within- and between-Day Variability of SARS-CoV-2 RNA in Municipal Wastewater during Periods of Varying COVID-19 Prevalence and Positivity","volume":"1","author":[{"family":"Bivins","given":"Aaron"},</vt:lpwstr>
  </property>
  <property fmtid="{D5CDD505-2E9C-101B-9397-08002B2CF9AE}" pid="29" name="ZOTERO_BREF_AGwXsaVy7TDK_1">
    <vt:lpwstr>ZOTERO_ITEM CSL_CITATION {"citationID":"bE5qYtDm","properties":{"formattedCitation":"(35)","plainCitation":"(35)(35)","noteIndex":0},"citationItems":[{"id":8207,"uris":["http://zotero.org/users/4501344/items/RYTWS85M"],"uri":["http://zotero.org/users/4501</vt:lpwstr>
  </property>
  <property fmtid="{D5CDD505-2E9C-101B-9397-08002B2CF9AE}" pid="30" name="ZOTERO_BREF_AGwXsaVy7TDK_10">
    <vt:lpwstr> routes to RNA loads in wastewater","volume":"806","author":[{"family":"Crank","given":"K."},{"family":"Chen","given":"W."},{"family":"Bivins","given":"A."},{"family":"Lowry","given":"S."},{"family":"Bibby","given":"K."}],"issued":{"date-parts":[["2022",2</vt:lpwstr>
  </property>
  <property fmtid="{D5CDD505-2E9C-101B-9397-08002B2CF9AE}" pid="31" name="ZOTERO_BREF_AGwXsaVy7TDK_11">
    <vt:lpwstr>,1]]}}}],"schema":"https://github.com/citation-style-language/schema/raw/master/csl-citation.json"}</vt:lpwstr>
  </property>
  <property fmtid="{D5CDD505-2E9C-101B-9397-08002B2CF9AE}" pid="32" name="ZOTERO_BREF_AGwXsaVy7TDK_2">
    <vt:lpwstr>344/items/RYTWS85M"],"itemData":{"id":8207,"type":"article-journal","abstract":"A portion of those infected with SARS-CoV-2 shed the virus and its genetic material in respiratory fluids, saliva, urine, and stool, thus giving the potential to monitor for i</vt:lpwstr>
  </property>
  <property fmtid="{D5CDD505-2E9C-101B-9397-08002B2CF9AE}" pid="33" name="ZOTERO_BREF_AGwXsaVy7TDK_3">
    <vt:lpwstr>nfections via wastewater. Wastewater surveillance efforts to date have largely assumed that stool shedding has been the primary source of SARS-CoV-2 RNA signal; however, there are increasing questions about the possible contribution of other shedding rout</vt:lpwstr>
  </property>
  <property fmtid="{D5CDD505-2E9C-101B-9397-08002B2CF9AE}" pid="34" name="ZOTERO_BREF_AGwXsaVy7TDK_4">
    <vt:lpwstr>es, with implications for wastewater surveillance design and feasibility. In this study we used clinical SARS-CoV-2 RNA shedding data and a Monte Carlo framework to assess the relative contribution of various shedding routes on SARS-CoV-2 RNA loads in was</vt:lpwstr>
  </property>
  <property fmtid="{D5CDD505-2E9C-101B-9397-08002B2CF9AE}" pid="35" name="ZOTERO_BREF_AGwXsaVy7TDK_5">
    <vt:lpwstr>tewater. Stool shedding dominated total SARS-CoV-2 RNA load for community-level surveillance, with mean contributions more than two orders of magnitude greater than other shedding routes. However, RNA loads were more nuanced when considering building-leve</vt:lpwstr>
  </property>
  <property fmtid="{D5CDD505-2E9C-101B-9397-08002B2CF9AE}" pid="36" name="ZOTERO_BREF_AGwXsaVy7TDK_6">
    <vt:lpwstr>l monitoring efforts designed to identify a single infected individual, where any shedding route could plausibly contribute a detectable signal. The greatest source of model variability was viral load in excreta, suggesting that future modeling efforts ma</vt:lpwstr>
  </property>
  <property fmtid="{D5CDD505-2E9C-101B-9397-08002B2CF9AE}" pid="37" name="ZOTERO_BREF_AGwXsaVy7TDK_7">
    <vt:lpwstr>y be improved by incorporating specific modeling scenarios with precise SARS-CoV-2 shedding data, and beyond that wastewater surveillance must continue to account for large variability during data analysis and reporting. Importantly, the findings imply th</vt:lpwstr>
  </property>
  <property fmtid="{D5CDD505-2E9C-101B-9397-08002B2CF9AE}" pid="38" name="ZOTERO_BREF_AGwXsaVy7TDK_8">
    <vt:lpwstr>at wastewater surveillance at finer spatial scales is not entirely dependent on shedding via feces for sensitive detection of infections thus enlarging the potential use cases of wastewater as a non-intrusive surveillance methodology.","container-title":"</vt:lpwstr>
  </property>
  <property fmtid="{D5CDD505-2E9C-101B-9397-08002B2CF9AE}" pid="39" name="ZOTERO_BREF_AGwXsaVy7TDK_9">
    <vt:lpwstr>Science of The Total Environment","DOI":"10.1016/j.scitotenv.2021.150376","ISSN":"0048-9697","journalAbbreviation":"Science of The Total Environment","language":"en","page":"150376","source":"ScienceDirect","title":"Contribution of SARS-CoV-2 RNA shedding</vt:lpwstr>
  </property>
  <property fmtid="{D5CDD505-2E9C-101B-9397-08002B2CF9AE}" pid="40" name="ZOTERO_BREF_BaIKS5Th8R4s_1">
    <vt:lpwstr>ZOTERO_ITEM CSL_CITATION {"citationID":"CjVX62CR","properties":{"formattedCitation":"(24)","plainCitation":"(24)(24)","noteIndex":0},"citationItems":[{"id":8205,"uris":["http://zotero.org/users/4501344/items/2GBQY66G"],"uri":["http://zotero.org/users/4501</vt:lpwstr>
  </property>
  <property fmtid="{D5CDD505-2E9C-101B-9397-08002B2CF9AE}" pid="41" name="ZOTERO_BREF_BaIKS5Th8R4s_2">
    <vt:lpwstr>344/items/2GBQY66G"],"itemData":{"id":8205,"type":"webpage","abstract":"Cases, data, and surveillance to track and analyze COVID-19.","container-title":"Centers for Disease Control and Prevention","language":"en-us","title":"Cases, Data, and Surveillance"</vt:lpwstr>
  </property>
  <property fmtid="{D5CDD505-2E9C-101B-9397-08002B2CF9AE}" pid="42" name="ZOTERO_BREF_BaIKS5Th8R4s_3">
    <vt:lpwstr>,"URL":"https://www.cdc.gov/coronavirus/2019-ncov/cases-updates/burden.html","author":[{"family":"CDC","given":""}],"accessed":{"date-parts":[["2021",10,4]]},"issued":{"date-parts":[["2020",2,11]]}}}],"schema":"https://github.com/citation-style-language/s</vt:lpwstr>
  </property>
  <property fmtid="{D5CDD505-2E9C-101B-9397-08002B2CF9AE}" pid="43" name="ZOTERO_BREF_BaIKS5Th8R4s_4">
    <vt:lpwstr>chema/raw/master/csl-citation.json"}</vt:lpwstr>
  </property>
  <property fmtid="{D5CDD505-2E9C-101B-9397-08002B2CF9AE}" pid="44" name="ZOTERO_BREF_DPh1DobhBZj2_1">
    <vt:lpwstr>ZOTERO_ITEM CSL_CITATION {"citationID":"pqPOjUEu","properties":{"formattedCitation":"(18)","plainCitation":"(18)(18)","noteIndex":0},"citationItems":[{"id":8190,"uris":["http://zotero.org/users/4501344/items/DTVVRAI6"],"uri":["http://zotero.org/users/4501</vt:lpwstr>
  </property>
  <property fmtid="{D5CDD505-2E9C-101B-9397-08002B2CF9AE}" pid="45" name="ZOTERO_BREF_DPh1DobhBZj2_10">
    <vt:lpwstr>{"family":"North","given":"Devin"},{"family":"Wu","given":"Zhenyu"},{"family":"Shaffer","given":"Marlee"},{"family":"Ahmed","given":"Warish"},{"family":"Bibby","given":"Kyle"}],"issued":{"date-parts":[["2021",9,10]]}}}],"schema":"https://github.com/citati</vt:lpwstr>
  </property>
  <property fmtid="{D5CDD505-2E9C-101B-9397-08002B2CF9AE}" pid="46" name="ZOTERO_BREF_DPh1DobhBZj2_11">
    <vt:lpwstr>on-style-language/schema/raw/master/csl-citation.json"}</vt:lpwstr>
  </property>
  <property fmtid="{D5CDD505-2E9C-101B-9397-08002B2CF9AE}" pid="47" name="ZOTERO_BREF_DPh1DobhBZj2_2">
    <vt:lpwstr>344/items/DTVVRAI6"],"itemData":{"id":8190,"type":"article-journal","abstract":"Wastewater surveillance of severe acute respiratory syndrome coronavirus 2 (SARS-CoV-2) RNA is being used to monitor Coronavirus Disease 2019 (COVID-19) trends in communities;</vt:lpwstr>
  </property>
  <property fmtid="{D5CDD505-2E9C-101B-9397-08002B2CF9AE}" pid="48" name="ZOTERO_BREF_DPh1DobhBZj2_3">
    <vt:lpwstr> however, within- and between-day variation of SARS-CoV-2 RNA concentration in primary influent remains largely uncharacterized. In the current study, grab sampling of primary influent was performed every 2 h over two 24-h periods at two wastewater treatm</vt:lpwstr>
  </property>
  <property fmtid="{D5CDD505-2E9C-101B-9397-08002B2CF9AE}" pid="49" name="ZOTERO_BREF_DPh1DobhBZj2_4">
    <vt:lpwstr>ent plants (WWTPs) in northern Indiana, USA. The recovery efficiency of endogenous SARS-CoV-2 RNA in wastewater was confirmed to be similar to the recovery efficiency of the process control, bovine respiratory syncytial virus (BRSV). Recovery-corrected SA</vt:lpwstr>
  </property>
  <property fmtid="{D5CDD505-2E9C-101B-9397-08002B2CF9AE}" pid="50" name="ZOTERO_BREF_DPh1DobhBZj2_5">
    <vt:lpwstr>RS-CoV-2 RNA concentrations in primary influent indicate diurnal loading patterns and confirm monitoring dependent on grab samples should target daytime periods with high fecal loading. Importantly, manual compositing performed at the WWTP resulted in con</vt:lpwstr>
  </property>
  <property fmtid="{D5CDD505-2E9C-101B-9397-08002B2CF9AE}" pid="51" name="ZOTERO_BREF_DPh1DobhBZj2_6">
    <vt:lpwstr>centrations that were consistently lower than grab sample averages indicating potential bias. Uncorrected, recovery-corrected, and pepper mild mottle virus (PMMoV)-normalized SARS-CoV-2 RNA concentrations demonstrated an ordinal agreement with increasing </vt:lpwstr>
  </property>
  <property fmtid="{D5CDD505-2E9C-101B-9397-08002B2CF9AE}" pid="52" name="ZOTERO_BREF_DPh1DobhBZj2_7">
    <vt:lpwstr>clinical COVID-19 positivity but not COVID-19 cases. In areas where geolocated COVID-19 case data are not available, the COVID-19 positivity rate could provide a useful county-level metric for comparison with wastewater. Nonetheless, large variation both </vt:lpwstr>
  </property>
  <property fmtid="{D5CDD505-2E9C-101B-9397-08002B2CF9AE}" pid="53" name="ZOTERO_BREF_DPh1DobhBZj2_8">
    <vt:lpwstr>within- and between-days may preclude robust quantitative analyses beyond correlation.","container-title":"ACS ES&amp;T Water","DOI":"10.1021/acsestwater.1c00178","issue":"9","journalAbbreviation":"ACS EST Water","note":"publisher: American Chemical Society",</vt:lpwstr>
  </property>
  <property fmtid="{D5CDD505-2E9C-101B-9397-08002B2CF9AE}" pid="54" name="ZOTERO_BREF_DPh1DobhBZj2_9">
    <vt:lpwstr>"page":"2097-2108","source":"ACS Publications","title":"Within- and between-Day Variability of SARS-CoV-2 RNA in Municipal Wastewater during Periods of Varying COVID-19 Prevalence and Positivity","volume":"1","author":[{"family":"Bivins","given":"Aaron"},</vt:lpwstr>
  </property>
  <property fmtid="{D5CDD505-2E9C-101B-9397-08002B2CF9AE}" pid="55" name="ZOTERO_BREF_EcKsqa999fzv_1">
    <vt:lpwstr>ZOTERO_ITEM CSL_CITATION {"citationID":"9CmMlAq7","properties":{"formattedCitation":"(16)","plainCitation":"(16)(16)","noteIndex":0},"citationItems":[{"id":7298,"uris":["http://zotero.org/users/4501344/items/2528M6HE"],"uri":["http://zotero.org/users/4501</vt:lpwstr>
  </property>
  <property fmtid="{D5CDD505-2E9C-101B-9397-08002B2CF9AE}" pid="56" name="ZOTERO_BREF_EcKsqa999fzv_2">
    <vt:lpwstr>344/items/2528M6HE"],"itemData":{"id":7298,"type":"webpage","abstract":"Information and resources about creating a safe and healthy environment at the University of Notre Dame for students, faculty, and staff as the University prepares for the 2020-21 aca</vt:lpwstr>
  </property>
  <property fmtid="{D5CDD505-2E9C-101B-9397-08002B2CF9AE}" pid="57" name="ZOTERO_BREF_EcKsqa999fzv_3">
    <vt:lpwstr>demic year in the rapidly evolving environment of a global pandemic.","container-title":"Here","language":"en","title":"Contact Tracing, Quarantine, Isolation","URL":"https://here.nd.edu/health-safety/contact-tracing-quarantine-isolation/","author":[{"fam</vt:lpwstr>
  </property>
  <property fmtid="{D5CDD505-2E9C-101B-9397-08002B2CF9AE}" pid="58" name="ZOTERO_BREF_EcKsqa999fzv_4">
    <vt:lpwstr>ily":"Dame","given":"Marketing Communications: Web | University of Notre"}],"accessed":{"date-parts":[["2021",5,24]]},"issued":{"date-parts":[["2021",5,14]]}}}],"schema":"https://github.com/citation-style-language/schema/raw/master/csl-citation.json"}</vt:lpwstr>
  </property>
  <property fmtid="{D5CDD505-2E9C-101B-9397-08002B2CF9AE}" pid="59" name="ZOTERO_BREF_Fg0idAE4xl3E_1">
    <vt:lpwstr>ZOTERO_ITEM CSL_CITATION {"citationID":"eZNmVwaN","properties":{"formattedCitation":"(10)","plainCitation":"(10)(10)","noteIndex":0},"citationItems":[{"id":7105,"uris":["http://zotero.org/users/4501344/items/A72S9UN3"],"uri":["http://zotero.org/users/4501</vt:lpwstr>
  </property>
  <property fmtid="{D5CDD505-2E9C-101B-9397-08002B2CF9AE}" pid="60" name="ZOTERO_BREF_Fg0idAE4xl3E_2">
    <vt:lpwstr>344/items/A72S9UN3"],"itemData":{"id":7105,"type":"article-journal","container-title":"JAMA","DOI":"10.1001/jama.2020.3786","ISSN":"0098-7484","journalAbbreviation":"JAMA","language":"en","source":"DOI.org (Crossref)","title":"Detection of SARS-CoV-2 in D</vt:lpwstr>
  </property>
  <property fmtid="{D5CDD505-2E9C-101B-9397-08002B2CF9AE}" pid="61" name="ZOTERO_BREF_Fg0idAE4xl3E_3">
    <vt:lpwstr>ifferent Types of Clinical Specimens","URL":"https://jamanetwork.com/journals/jama/fullarticle/2762997","author":[{"family":"Wang","given":"Wenling"},{"family":"Xu","given":"Yanli"},{"family":"Gao","given":"Ruqin"},{"family":"Lu","given":"Roujian"},{"fami</vt:lpwstr>
  </property>
  <property fmtid="{D5CDD505-2E9C-101B-9397-08002B2CF9AE}" pid="62" name="ZOTERO_BREF_Fg0idAE4xl3E_4">
    <vt:lpwstr>ly":"Han","given":"Kai"},{"family":"Wu","given":"Guizhen"},{"family":"Tan","given":"Wenjie"}],"accessed":{"date-parts":[["2021",3,31]]},"issued":{"date-parts":[["2020",3,11]]}}}],"schema":"https://github.com/citation-style-language/schema/raw/master/csl-c</vt:lpwstr>
  </property>
  <property fmtid="{D5CDD505-2E9C-101B-9397-08002B2CF9AE}" pid="63" name="ZOTERO_BREF_Fg0idAE4xl3E_5">
    <vt:lpwstr>itation.json"}</vt:lpwstr>
  </property>
  <property fmtid="{D5CDD505-2E9C-101B-9397-08002B2CF9AE}" pid="64" name="ZOTERO_BREF_FmNJkYqXmugt_1">
    <vt:lpwstr>ZOTERO_ITEM CSL_CITATION {"citationID":"7NvW6DUg","properties":{"formattedCitation":"(20)","plainCitation":"(20)(20)","noteIndex":0},"citationItems":[{"id":4550,"uris":["http://zotero.org/users/4501344/items/X9ZEPEVZ"],"uri":["http://zotero.org/users/4501</vt:lpwstr>
  </property>
  <property fmtid="{D5CDD505-2E9C-101B-9397-08002B2CF9AE}" pid="65" name="ZOTERO_BREF_FmNJkYqXmugt_2">
    <vt:lpwstr>344/items/X9ZEPEVZ"],"itemData":{"id":4550,"type":"article-journal","container-title":"Annals of Internal Medicine","DOI":"10.7326/M20-0504","ISSN":"0003-4819","issue":"9","journalAbbreviation":"Ann Intern Med","language":"en","page":"577","source":"DOI.o</vt:lpwstr>
  </property>
  <property fmtid="{D5CDD505-2E9C-101B-9397-08002B2CF9AE}" pid="66" name="ZOTERO_BREF_FmNJkYqXmugt_3">
    <vt:lpwstr>rg (Crossref)","title":"The Incubation Period of Coronavirus Disease 2019 (COVID-19) From Publicly Reported Confirmed Cases: Estimation and Application","title-short":"The Incubation Period of Coronavirus Disease 2019 (COVID-19) From Publicly Reported Con</vt:lpwstr>
  </property>
  <property fmtid="{D5CDD505-2E9C-101B-9397-08002B2CF9AE}" pid="67" name="ZOTERO_BREF_FmNJkYqXmugt_4">
    <vt:lpwstr>firmed Cases","volume":"172","author":[{"family":"Lauer","given":"Stephen A."},{"family":"Grantz","given":"Kyra H."},{"family":"Bi","given":"Qifang"},{"family":"Jones","given":"Forrest K."},{"family":"Zheng","given":"Qulu"},{"family":"Meredith","given":"H</vt:lpwstr>
  </property>
  <property fmtid="{D5CDD505-2E9C-101B-9397-08002B2CF9AE}" pid="68" name="ZOTERO_BREF_FmNJkYqXmugt_5">
    <vt:lpwstr>annah R."},{"family":"Azman","given":"Andrew S."},{"family":"Reich","given":"Nicholas G."},{"family":"Lessler","given":"Justin"}],"issued":{"date-parts":[["2020",5,5]]}}}],"schema":"https://github.com/citation-style-language/schema/raw/master/csl-citation</vt:lpwstr>
  </property>
  <property fmtid="{D5CDD505-2E9C-101B-9397-08002B2CF9AE}" pid="69" name="ZOTERO_BREF_FmNJkYqXmugt_6">
    <vt:lpwstr>.json"}</vt:lpwstr>
  </property>
  <property fmtid="{D5CDD505-2E9C-101B-9397-08002B2CF9AE}" pid="70" name="ZOTERO_BREF_FtArQJGy8uYD_1">
    <vt:lpwstr>ZOTERO_ITEM CSL_CITATION {"citationID":"b3yeU8Go","properties":{"formattedCitation":"(31)","plainCitation":"(31)(31)","noteIndex":0},"citationItems":[{"id":7227,"uris":["http://zotero.org/users/4501344/items/M39FNEWF"],"uri":["http://zotero.org/users/4501</vt:lpwstr>
  </property>
  <property fmtid="{D5CDD505-2E9C-101B-9397-08002B2CF9AE}" pid="71" name="ZOTERO_BREF_FtArQJGy8uYD_10">
    <vt:lpwstr>iven":"Alexandria B."},{"family":"Hughes","given":"Bridgette"},{"family":"Knudson","given":"Alisha"},{"family":"Topol","given":"Aaron"},{"family":"Wigginton","given":"Krista R."},{"family":"Wolfe","given":"Marlene K."},{"family":"Kohn","given":"Tamar"},{"</vt:lpwstr>
  </property>
  <property fmtid="{D5CDD505-2E9C-101B-9397-08002B2CF9AE}" pid="72" name="ZOTERO_BREF_FtArQJGy8uYD_11">
    <vt:lpwstr>family":"Ort","given":"Christoph"},{"family":"Stadler","given":"Tanja"},{"family":"Julian","given":"Timothy R."}],"issued":{"date-parts":[["2021",4,30]]}}}],"schema":"https://github.com/citation-style-language/schema/raw/master/csl-citation.json"}</vt:lpwstr>
  </property>
  <property fmtid="{D5CDD505-2E9C-101B-9397-08002B2CF9AE}" pid="73" name="ZOTERO_BREF_FtArQJGy8uYD_2">
    <vt:lpwstr>344/items/M39FNEWF"],"itemData":{"id":7227,"type":"article-journal","abstract":"&lt;p&gt;The effective reproductive number, Re, is a critical indicator to monitor disease dynamics, inform regional and national policies, and estimate the effectiveness of interve</vt:lpwstr>
  </property>
  <property fmtid="{D5CDD505-2E9C-101B-9397-08002B2CF9AE}" pid="74" name="ZOTERO_BREF_FtArQJGy8uYD_3">
    <vt:lpwstr>ntions. It describes the average number of new infections caused by a single infectious person through time. To date, Re estimates are based on clinical data such as observed cases, hospitalizations, and/or deaths. Here we show that the dynamics of SARS-C</vt:lpwstr>
  </property>
  <property fmtid="{D5CDD505-2E9C-101B-9397-08002B2CF9AE}" pid="75" name="ZOTERO_BREF_FtArQJGy8uYD_4">
    <vt:lpwstr>oV-2 RNA in wastewater can be used to estimate Re in near real-time, independent of clinical data and without associated biases stemming from clinical testing and reporting strategies. The method to estimate Re from wastewater is robust and applicable to </vt:lpwstr>
  </property>
  <property fmtid="{D5CDD505-2E9C-101B-9397-08002B2CF9AE}" pid="76" name="ZOTERO_BREF_FtArQJGy8uYD_5">
    <vt:lpwstr>data from different countries and wastewater matrices. The resulting estimates are as similar to the Re estimates from case report data as Re estimates based on observed cases, hospitalizations, and deaths are among each other. We further provide details </vt:lpwstr>
  </property>
  <property fmtid="{D5CDD505-2E9C-101B-9397-08002B2CF9AE}" pid="77" name="ZOTERO_BREF_FtArQJGy8uYD_6">
    <vt:lpwstr>on the effect of sampling frequency and the shedding load distribution on the ability to infer Re. To our knowledge, this is the first time Re has been estimated from wastewater. This method provides a low cost, rapid, and independent way to inform SARS-C</vt:lpwstr>
  </property>
  <property fmtid="{D5CDD505-2E9C-101B-9397-08002B2CF9AE}" pid="78" name="ZOTERO_BREF_FtArQJGy8uYD_7">
    <vt:lpwstr>oV-2 monitoring during the ongoing pandemic and is applicable to future wastewater-based epidemiology targeting other pathogens.&lt;/p&gt;","container-title":"medRxiv","DOI":"10.1101/2021.04.29.21255961","language":"en","note":"publisher: Cold Spring Harbor Lab</vt:lpwstr>
  </property>
  <property fmtid="{D5CDD505-2E9C-101B-9397-08002B2CF9AE}" pid="79" name="ZOTERO_BREF_FtArQJGy8uYD_8">
    <vt:lpwstr>oratory Press","page":"2021.04.29.21255961","source":"www.medrxiv.org","title":"Wastewater-based estimation of the effective reproductive number of SARS-CoV-2","author":[{"family":"Huisman","given":"Jana S."},{"family":"Scire","given":"Jérémie"},{"family"</vt:lpwstr>
  </property>
  <property fmtid="{D5CDD505-2E9C-101B-9397-08002B2CF9AE}" pid="80" name="ZOTERO_BREF_FtArQJGy8uYD_9">
    <vt:lpwstr>:"Caduff","given":"Lea"},{"family":"Fernandez-Cassi","given":"Xavier"},{"family":"Ganesanandamoorthy","given":"Pravin"},{"family":"Kull","given":"Anina"},{"family":"Scheidegger","given":"Andreas"},{"family":"Stachler","given":"Elyse"},{"family":"Boehm","g</vt:lpwstr>
  </property>
  <property fmtid="{D5CDD505-2E9C-101B-9397-08002B2CF9AE}" pid="81" name="ZOTERO_BREF_KgLWVBMU8k7h_1">
    <vt:lpwstr>ZOTERO_ITEM CSL_CITATION {"citationID":"voyOexke","properties":{"formattedCitation":"(7)","plainCitation":"(7)(7)","noteIndex":0},"citationItems":[{"id":7281,"uris":["http://zotero.org/users/4501344/items/3SDMXTX3"],"uri":["http://zotero.org/users/4501344</vt:lpwstr>
  </property>
  <property fmtid="{D5CDD505-2E9C-101B-9397-08002B2CF9AE}" pid="82" name="ZOTERO_BREF_KgLWVBMU8k7h_10">
    <vt:lpwstr>during the treatment processes. Substantial concern should be paid to the isolates resistant to 3 or more chemical classes of antimicrobials (MAR). In treated wastewater MAR E. coli and MAR enterococci constituted respectively 9% and 29% of tested isolate</vt:lpwstr>
  </property>
  <property fmtid="{D5CDD505-2E9C-101B-9397-08002B2CF9AE}" pid="83" name="ZOTERO_BREF_KgLWVBMU8k7h_11">
    <vt:lpwstr>s.","collection-title":"Microbial ecology of drinking water and waste water treatment processes","container-title":"Water Research","DOI":"10.1016/j.watres.2010.08.007","ISSN":"0043-1354","issue":"17","journalAbbreviation":"Water Research","language":"en"</vt:lpwstr>
  </property>
  <property fmtid="{D5CDD505-2E9C-101B-9397-08002B2CF9AE}" pid="84" name="ZOTERO_BREF_KgLWVBMU8k7h_12">
    <vt:lpwstr>,"page":"5089-5097","source":"ScienceDirect","title":"Antimicrobial resistance of fecal indicators in municipal wastewater treatment plant","volume":"44","author":[{"family":"Łuczkiewicz","given":"A."},{"family":"Jankowska","given":"K."},{"family":"Fudala</vt:lpwstr>
  </property>
  <property fmtid="{D5CDD505-2E9C-101B-9397-08002B2CF9AE}" pid="85" name="ZOTERO_BREF_KgLWVBMU8k7h_13">
    <vt:lpwstr>-Książek","given":"S."},{"family":"Olańczuk-Neyman","given":"K."}],"issued":{"date-parts":[["2010",9,1]]}}}],"schema":"https://github.com/citation-style-language/schema/raw/master/csl-citation.json"}</vt:lpwstr>
  </property>
  <property fmtid="{D5CDD505-2E9C-101B-9397-08002B2CF9AE}" pid="86" name="ZOTERO_BREF_KgLWVBMU8k7h_2">
    <vt:lpwstr>/items/3SDMXTX3"],"itemData":{"id":7281,"type":"article-journal","abstract":"Antimicrobial resistance of fecal coliforms (n = 153) and enterococci (n = 199) isolates was investigated in municipal wastewater treatment plant (WWTP) based on activated sludge</vt:lpwstr>
  </property>
  <property fmtid="{D5CDD505-2E9C-101B-9397-08002B2CF9AE}" pid="87" name="ZOTERO_BREF_KgLWVBMU8k7h_3">
    <vt:lpwstr> system. The number of fecal indicators (in influent and effluent as well as in the aeration chamber and in return activated sludge mixture) was determined using selective media. Susceptibility of selected strains was tested against 19 (aminoglycosides, a</vt:lpwstr>
  </property>
  <property fmtid="{D5CDD505-2E9C-101B-9397-08002B2CF9AE}" pid="88" name="ZOTERO_BREF_KgLWVBMU8k7h_4">
    <vt:lpwstr>ztreonam, carbapenems, cephalosporins, β-lactam/β-lactamase inhibitors, fluoroquinolones, penicillines, tetracycline and trimethoprim/sulfamethoxazole) and 17 (high-level aminoglycosides, ampicillin, chloramphenicol, erythromycin, fluoroquinolones, glycop</vt:lpwstr>
  </property>
  <property fmtid="{D5CDD505-2E9C-101B-9397-08002B2CF9AE}" pid="89" name="ZOTERO_BREF_KgLWVBMU8k7h_5">
    <vt:lpwstr>eptides, linezolid, lincosamides, nitrofuration, streptogramins, tetracycline) antimicrobial agents respectively. Among enterococci the predominant species were Enterococcus faecium (60.8%) and Enterococcus faecalis (22.1%), while remaining isolates belon</vt:lpwstr>
  </property>
  <property fmtid="{D5CDD505-2E9C-101B-9397-08002B2CF9AE}" pid="90" name="ZOTERO_BREF_KgLWVBMU8k7h_6">
    <vt:lpwstr>ged to Enterococcus hirae (12.1%), Enterococcus casseliflavus/gallinarum (4.5%), and Enterococcus durans (0.5%). Resistance to nitrofuration and erythromycin was common among enterococci (53% and 44%, respectively), and followed by resistance to ciproflox</vt:lpwstr>
  </property>
  <property fmtid="{D5CDD505-2E9C-101B-9397-08002B2CF9AE}" pid="91" name="ZOTERO_BREF_KgLWVBMU8k7h_7">
    <vt:lpwstr>acin (29%) and tetracycline (20%). The resistance phenotypes related to glycopeptides (up to 3.2%) and high-level aminoglycosides (up to 5.4%) were also observed. Most frequently, among Escherichia coli isolates the resistance patterns were found for ampi</vt:lpwstr>
  </property>
  <property fmtid="{D5CDD505-2E9C-101B-9397-08002B2CF9AE}" pid="92" name="ZOTERO_BREF_KgLWVBMU8k7h_8">
    <vt:lpwstr>cillin (34%), piperacillin (24%) and tetracycline (23%). Extended-spectrum β-lactamase producing E. coli was detected once, in the aeration chamber. In the study the applied wastewater treatment processes considerably reduced the number of fecal indicator</vt:lpwstr>
  </property>
  <property fmtid="{D5CDD505-2E9C-101B-9397-08002B2CF9AE}" pid="93" name="ZOTERO_BREF_KgLWVBMU8k7h_9">
    <vt:lpwstr>s. Nevertheless their number in the WWTP effluent was higher than 104 CFU per 100 ml and periodically contained 90% of bacteria with antimicrobial resistance patterns. The positive selection of isolates with antimicrobial resistance patterns was observed </vt:lpwstr>
  </property>
  <property fmtid="{D5CDD505-2E9C-101B-9397-08002B2CF9AE}" pid="94" name="ZOTERO_BREF_KxNfH4fNKomH_1">
    <vt:lpwstr>ZOTERO_ITEM CSL_CITATION {"citationID":"oxl8QJzA","properties":{"formattedCitation":"(11)","plainCitation":"(11)(11)","noteIndex":0},"citationItems":[{"id":7102,"uris":["http://zotero.org/users/4501344/items/9GWGDX2A"],"uri":["http://zotero.org/users/4501</vt:lpwstr>
  </property>
  <property fmtid="{D5CDD505-2E9C-101B-9397-08002B2CF9AE}" pid="95" name="ZOTERO_BREF_KxNfH4fNKomH_10">
    <vt:lpwstr>or the containment of COVID-19.","container-title":"Nature","DOI":"10.1038/s41586-020-2196-x","ISSN":"1476-4687","issue":"7809","language":"en","note":"number: 7809\npublisher: Nature Publishing Group","page":"465-469","source":"www.nature.com","title":"V</vt:lpwstr>
  </property>
  <property fmtid="{D5CDD505-2E9C-101B-9397-08002B2CF9AE}" pid="96" name="ZOTERO_BREF_KxNfH4fNKomH_11">
    <vt:lpwstr>irological assessment of hospitalized patients with COVID-2019","volume":"581","author":[{"family":"Wölfel","given":"Roman"},{"family":"Corman","given":"Victor M."},{"family":"Guggemos","given":"Wolfgang"},{"family":"Seilmaier","given":"Michael"},{"family</vt:lpwstr>
  </property>
  <property fmtid="{D5CDD505-2E9C-101B-9397-08002B2CF9AE}" pid="97" name="ZOTERO_BREF_KxNfH4fNKomH_12">
    <vt:lpwstr>":"Zange","given":"Sabine"},{"family":"Müller","given":"Marcel A."},{"family":"Niemeyer","given":"Daniela"},{"family":"Jones","given":"Terry C."},{"family":"Vollmar","given":"Patrick"},{"family":"Rothe","given":"Camilla"},{"family":"Hoelscher","given":"Mi</vt:lpwstr>
  </property>
  <property fmtid="{D5CDD505-2E9C-101B-9397-08002B2CF9AE}" pid="98" name="ZOTERO_BREF_KxNfH4fNKomH_13">
    <vt:lpwstr>chael"},{"family":"Bleicker","given":"Tobias"},{"family":"Brünink","given":"Sebastian"},{"family":"Schneider","given":"Julia"},{"family":"Ehmann","given":"Rosina"},{"family":"Zwirglmaier","given":"Katrin"},{"family":"Drosten","given":"Christian"},{"family</vt:lpwstr>
  </property>
  <property fmtid="{D5CDD505-2E9C-101B-9397-08002B2CF9AE}" pid="99" name="ZOTERO_BREF_KxNfH4fNKomH_14">
    <vt:lpwstr>":"Wendtner","given":"Clemens"}],"issued":{"date-parts":[["2020",5]]}}}],"schema":"https://github.com/citation-style-language/schema/raw/master/csl-citation.json"}</vt:lpwstr>
  </property>
  <property fmtid="{D5CDD505-2E9C-101B-9397-08002B2CF9AE}" pid="100" name="ZOTERO_BREF_KxNfH4fNKomH_2">
    <vt:lpwstr>344/items/9GWGDX2A"],"itemData":{"id":7102,"type":"article-journal","abstract":"Coronavirus disease 2019 (COVID-19) is an acute infection of the respiratory tract that emerged in late 20191,2. Initial outbreaks in China involved 13.8% of cases with severe</vt:lpwstr>
  </property>
  <property fmtid="{D5CDD505-2E9C-101B-9397-08002B2CF9AE}" pid="101" name="ZOTERO_BREF_KxNfH4fNKomH_3">
    <vt:lpwstr> courses, and 6.1% of cases with critical courses3. This severe presentation may result from the virus using a virus receptor that is expressed predominantly in the lung2,4; the same receptor tropism is thought to have determined the pathogenicity—but als</vt:lpwstr>
  </property>
  <property fmtid="{D5CDD505-2E9C-101B-9397-08002B2CF9AE}" pid="102" name="ZOTERO_BREF_KxNfH4fNKomH_4">
    <vt:lpwstr>o aided in the control—of severe acute respiratory syndrome (SARS) in 20035. However, there are reports of cases of COVID-19 in which the patient shows mild upper respiratory tract symptoms, which suggests the potential for pre- or oligosymptomatic transm</vt:lpwstr>
  </property>
  <property fmtid="{D5CDD505-2E9C-101B-9397-08002B2CF9AE}" pid="103" name="ZOTERO_BREF_KxNfH4fNKomH_5">
    <vt:lpwstr>ission6–8. There is an urgent need for information on virus replication, immunity and infectivity in specific sites of the body. Here we report a detailed virological analysis of nine cases of COVID-19 that provides proof of active virus replication in ti</vt:lpwstr>
  </property>
  <property fmtid="{D5CDD505-2E9C-101B-9397-08002B2CF9AE}" pid="104" name="ZOTERO_BREF_KxNfH4fNKomH_6">
    <vt:lpwstr>ssues of the upper respiratory tract. Pharyngeal virus shedding was very high during the first week of symptoms, with a peak at 7.11 × 108 RNA copies per throat swab on day 4. Infectious virus was readily isolated from samples derived from the throat or l</vt:lpwstr>
  </property>
  <property fmtid="{D5CDD505-2E9C-101B-9397-08002B2CF9AE}" pid="105" name="ZOTERO_BREF_KxNfH4fNKomH_7">
    <vt:lpwstr>ung, but not from stool samples—in spite of high concentrations of virus RNA. Blood and urine samples never yielded virus. Active replication in the throat was confirmed by the presence of viral replicative RNA intermediates in the throat samples. We cons</vt:lpwstr>
  </property>
  <property fmtid="{D5CDD505-2E9C-101B-9397-08002B2CF9AE}" pid="106" name="ZOTERO_BREF_KxNfH4fNKomH_8">
    <vt:lpwstr>istently detected sequence-distinct virus populations in throat and lung samples from one patient, proving independent replication. The shedding of viral RNA from sputum outlasted the end of symptoms. Seroconversion occurred after 7 days in 50% of patient</vt:lpwstr>
  </property>
  <property fmtid="{D5CDD505-2E9C-101B-9397-08002B2CF9AE}" pid="107" name="ZOTERO_BREF_KxNfH4fNKomH_9">
    <vt:lpwstr>s (and by day 14 in all patients), but was not followed by a rapid decline in viral load. COVID-19 can present as a mild illness of the upper respiratory tract. The confirmation of active virus replication in the upper respiratory tract has implications f</vt:lpwstr>
  </property>
  <property fmtid="{D5CDD505-2E9C-101B-9397-08002B2CF9AE}" pid="108" name="ZOTERO_BREF_MaDAgfSAOm8a_1">
    <vt:lpwstr>ZOTERO_ITEM CSL_CITATION {"citationID":"T6PEk3tF","properties":{"formattedCitation":"(25)","plainCitation":"(25)(25)","noteIndex":0},"citationItems":[{"id":5955,"uris":["http://zotero.org/users/4501344/items/X3VMWVRX"],"uri":["http://zotero.org/users/4501</vt:lpwstr>
  </property>
  <property fmtid="{D5CDD505-2E9C-101B-9397-08002B2CF9AE}" pid="109" name="ZOTERO_BREF_MaDAgfSAOm8a_2">
    <vt:lpwstr>344/items/X3VMWVRX"],"itemData":{"id":5955,"type":"book","abstract":"Generalized additive (mixed) models, some of their extensions and other generalized ridge regression with multiple smoothing parameter estimation by (Restricted) Marginal Likelihood, Gen</vt:lpwstr>
  </property>
  <property fmtid="{D5CDD505-2E9C-101B-9397-08002B2CF9AE}" pid="110" name="ZOTERO_BREF_MaDAgfSAOm8a_3">
    <vt:lpwstr>eralized Cross Validation and similar, or using iterated nested Laplace approximation for fully Bayesian inference. See Wood (2017) &lt;doi:10.1201/9781315370279&gt; for an overview. Includes a gam() function, a wide variety of smoothers, 'JAGS' support and dis</vt:lpwstr>
  </property>
  <property fmtid="{D5CDD505-2E9C-101B-9397-08002B2CF9AE}" pid="111" name="ZOTERO_BREF_MaDAgfSAOm8a_4">
    <vt:lpwstr>tributions beyond the exponential family.","source":"R-Packages","title":"mgcv: Mixed GAM Computation Vehicle with Automatic Smoothness Estimation","title-short":"mgcv","URL":"https://CRAN.R-project.org/package=mgcv","version":"1.8-33","author":[{"family"</vt:lpwstr>
  </property>
  <property fmtid="{D5CDD505-2E9C-101B-9397-08002B2CF9AE}" pid="112" name="ZOTERO_BREF_MaDAgfSAOm8a_5">
    <vt:lpwstr>:"Wood","given":"Simon"}],"accessed":{"date-parts":[["2020",9,25]]},"issued":{"date-parts":[["2020",8,27]]}}}],"schema":"https://github.com/citation-style-language/schema/raw/master/csl-citation.json"}</vt:lpwstr>
  </property>
  <property fmtid="{D5CDD505-2E9C-101B-9397-08002B2CF9AE}" pid="113" name="ZOTERO_BREF_Prkls7O4hkAr_1">
    <vt:lpwstr>ZOTERO_ITEM CSL_CITATION {"citationID":"xRiyIk4R","properties":{"formattedCitation":"(20)","plainCitation":"(20)(20)","noteIndex":0},"citationItems":[{"id":4550,"uris":["http://zotero.org/users/4501344/items/X9ZEPEVZ"],"uri":["http://zotero.org/users/4501</vt:lpwstr>
  </property>
  <property fmtid="{D5CDD505-2E9C-101B-9397-08002B2CF9AE}" pid="114" name="ZOTERO_BREF_Prkls7O4hkAr_2">
    <vt:lpwstr>344/items/X9ZEPEVZ"],"itemData":{"id":4550,"type":"article-journal","container-title":"Annals of Internal Medicine","DOI":"10.7326/M20-0504","ISSN":"0003-4819","issue":"9","journalAbbreviation":"Ann Intern Med","language":"en","page":"577","source":"DOI.o</vt:lpwstr>
  </property>
  <property fmtid="{D5CDD505-2E9C-101B-9397-08002B2CF9AE}" pid="115" name="ZOTERO_BREF_Prkls7O4hkAr_3">
    <vt:lpwstr>rg (Crossref)","title":"The Incubation Period of Coronavirus Disease 2019 (COVID-19) From Publicly Reported Confirmed Cases: Estimation and Application","title-short":"The Incubation Period of Coronavirus Disease 2019 (COVID-19) From Publicly Reported Con</vt:lpwstr>
  </property>
  <property fmtid="{D5CDD505-2E9C-101B-9397-08002B2CF9AE}" pid="116" name="ZOTERO_BREF_Prkls7O4hkAr_4">
    <vt:lpwstr>firmed Cases","volume":"172","author":[{"family":"Lauer","given":"Stephen A."},{"family":"Grantz","given":"Kyra H."},{"family":"Bi","given":"Qifang"},{"family":"Jones","given":"Forrest K."},{"family":"Zheng","given":"Qulu"},{"family":"Meredith","given":"H</vt:lpwstr>
  </property>
  <property fmtid="{D5CDD505-2E9C-101B-9397-08002B2CF9AE}" pid="117" name="ZOTERO_BREF_Prkls7O4hkAr_5">
    <vt:lpwstr>annah R."},{"family":"Azman","given":"Andrew S."},{"family":"Reich","given":"Nicholas G."},{"family":"Lessler","given":"Justin"}],"issued":{"date-parts":[["2020",5,5]]}}}],"schema":"https://github.com/citation-style-language/schema/raw/master/csl-citation</vt:lpwstr>
  </property>
  <property fmtid="{D5CDD505-2E9C-101B-9397-08002B2CF9AE}" pid="118" name="ZOTERO_BREF_Prkls7O4hkAr_6">
    <vt:lpwstr>.json"}</vt:lpwstr>
  </property>
  <property fmtid="{D5CDD505-2E9C-101B-9397-08002B2CF9AE}" pid="119" name="ZOTERO_BREF_RY7prltwmWAt_1">
    <vt:lpwstr>ZOTERO_ITEM CSL_CITATION {"citationID":"GLgrCGPW","properties":{"formattedCitation":"(12)","plainCitation":"(12)(12)","noteIndex":0},"citationItems":[{"id":7107,"uris":["http://zotero.org/users/4501344/items/D85ZY2CY"],"uri":["http://zotero.org/users/4501</vt:lpwstr>
  </property>
  <property fmtid="{D5CDD505-2E9C-101B-9397-08002B2CF9AE}" pid="120" name="ZOTERO_BREF_RY7prltwmWAt_2">
    <vt:lpwstr>344/items/D85ZY2CY"],"itemData":{"id":7107,"type":"article-journal","abstract":"We present severe acute respiratory syndrome coronavirus 2 (SARS-CoV-2) real-time\nRT-PCR results of all respiratory and faecal samples from patients with coronavirus\ndisease</vt:lpwstr>
  </property>
  <property fmtid="{D5CDD505-2E9C-101B-9397-08002B2CF9AE}" pid="121" name="ZOTERO_BREF_RY7prltwmWAt_3">
    <vt:lpwstr> 2019 (COVID-19) at the Fifth Affiliated Hospital of Sun Yat-sen University,\nZhuhai, China, throughout the course of their illness and obligated quarantine period.\nReal-time RT-PCR was used to detect COVID-19 following the recommended protocol (appendix</vt:lpwstr>
  </property>
  <property fmtid="{D5CDD505-2E9C-101B-9397-08002B2CF9AE}" pid="122" name="ZOTERO_BREF_RY7prltwmWAt_4">
    <vt:lpwstr>\np 1). Patients with suspected SARS-CoV-2 were confirmed after two sequential positive\nrespiratory tract sample results.","container-title":"The Lancet Gastroenterology &amp; Hepatology","DOI":"10.1016/S2468-1253(20)30083-2","ISSN":"2468-1253, 2468-1156","i</vt:lpwstr>
  </property>
  <property fmtid="{D5CDD505-2E9C-101B-9397-08002B2CF9AE}" pid="123" name="ZOTERO_BREF_RY7prltwmWAt_5">
    <vt:lpwstr>ssue":"5","journalAbbreviation":"The Lancet Gastroenterology &amp; Hepatology","language":"English","note":"publisher: Elsevier\nPMID: 32199469","page":"434-435","source":"www.thelancet.com","title":"Prolonged presence of SARS-CoV-2 viral RNA in faecal sample</vt:lpwstr>
  </property>
  <property fmtid="{D5CDD505-2E9C-101B-9397-08002B2CF9AE}" pid="124" name="ZOTERO_BREF_RY7prltwmWAt_6">
    <vt:lpwstr>s","volume":"5","author":[{"family":"Wu","given":"Yongjian"},{"family":"Guo","given":"Cheng"},{"family":"Tang","given":"Lantian"},{"family":"Hong","given":"Zhongsi"},{"family":"Zhou","given":"Jianhui"},{"family":"Dong","given":"Xin"},{"family":"Yin","give</vt:lpwstr>
  </property>
  <property fmtid="{D5CDD505-2E9C-101B-9397-08002B2CF9AE}" pid="125" name="ZOTERO_BREF_RY7prltwmWAt_7">
    <vt:lpwstr>n":"Huan"},{"family":"Xiao","given":"Qiang"},{"family":"Tang","given":"Yanping"},{"family":"Qu","given":"Xiujuan"},{"family":"Kuang","given":"Liangjian"},{"family":"Fang","given":"Xiaomin"},{"family":"Mishra","given":"Nischay"},{"family":"Lu","given":"Jia</vt:lpwstr>
  </property>
  <property fmtid="{D5CDD505-2E9C-101B-9397-08002B2CF9AE}" pid="126" name="ZOTERO_BREF_RY7prltwmWAt_8">
    <vt:lpwstr>hai"},{"family":"Shan","given":"Hong"},{"family":"Jiang","given":"Guanmin"},{"family":"Huang","given":"Xi"}],"issued":{"date-parts":[["2020",5,1]]}}}],"schema":"https://github.com/citation-style-language/schema/raw/master/csl-citation.json"}</vt:lpwstr>
  </property>
  <property fmtid="{D5CDD505-2E9C-101B-9397-08002B2CF9AE}" pid="127" name="ZOTERO_BREF_RpgoNK2k07WU_1">
    <vt:lpwstr>ZOTERO_ITEM CSL_CITATION {"citationID":"fXOpe53O","properties":{"formattedCitation":"(14)","plainCitation":"(14)(14)","noteIndex":0},"citationItems":[{"id":7355,"uris":["http://zotero.org/users/4501344/items/PN2AYX9E"],"uri":["http://zotero.org/users/4501</vt:lpwstr>
  </property>
  <property fmtid="{D5CDD505-2E9C-101B-9397-08002B2CF9AE}" pid="128" name="ZOTERO_BREF_RpgoNK2k07WU_2">
    <vt:lpwstr>344/items/PN2AYX9E"],"itemData":{"id":7355,"type":"webpage","title":"Student Life | Why ND | Undergraduate Admissions | University of Notre Dame","URL":"https://web.archive.org/web/20210308003037/https://admissions.nd.edu/why-nd/student-life/","accessed":</vt:lpwstr>
  </property>
  <property fmtid="{D5CDD505-2E9C-101B-9397-08002B2CF9AE}" pid="129" name="ZOTERO_BREF_RpgoNK2k07WU_3">
    <vt:lpwstr>{"date-parts":[["2021",6,1]]},"issued":{"date-parts":[["2021",3,8]]}}}],"schema":"https://github.com/citation-style-language/schema/raw/master/csl-citation.json"}</vt:lpwstr>
  </property>
  <property fmtid="{D5CDD505-2E9C-101B-9397-08002B2CF9AE}" pid="130" name="ZOTERO_BREF_UZp89s8gVDG6_1">
    <vt:lpwstr>ZOTERO_ITEM CSL_CITATION {"citationID":"4ip33zoZ","properties":{"formattedCitation":"(29)","plainCitation":"(29)(29)","noteIndex":0},"citationItems":[{"id":8210,"uris":["http://zotero.org/users/4501344/items/24PK83HX"],"uri":["http://zotero.org/users/4501</vt:lpwstr>
  </property>
  <property fmtid="{D5CDD505-2E9C-101B-9397-08002B2CF9AE}" pid="131" name="ZOTERO_BREF_UZp89s8gVDG6_10">
    <vt:lpwstr>":"Kyle"},{"family":"Bivins","given":"Aaron"},{"family":"Wu","given":"Zhenyu"},{"family":"North","given":"Devin"}],"issued":{"date-parts":[["2021",9,1]]}}}],"schema":"https://github.com/citation-style-language/schema/raw/master/csl-citation.json"}</vt:lpwstr>
  </property>
  <property fmtid="{D5CDD505-2E9C-101B-9397-08002B2CF9AE}" pid="132" name="ZOTERO_BREF_UZp89s8gVDG6_2">
    <vt:lpwstr>344/items/24PK83HX"],"itemData":{"id":8210,"type":"article-journal","abstract":"Wastewater-based epidemiology (WBE) has emerged as a useful tool in the fight to track and contain COVID-19 spread within communities. One of the motives behind COVID-19 WBE e</vt:lpwstr>
  </property>
  <property fmtid="{D5CDD505-2E9C-101B-9397-08002B2CF9AE}" pid="133" name="ZOTERO_BREF_UZp89s8gVDG6_3">
    <vt:lpwstr>fforts is the potential for ‘early warning’ of either the onset of disease in a new setting or changes in trends in communities where disease is endemic. Many initial reports of the early warning potential of WBE have relied upon retrospective sample anal</vt:lpwstr>
  </property>
  <property fmtid="{D5CDD505-2E9C-101B-9397-08002B2CF9AE}" pid="134" name="ZOTERO_BREF_UZp89s8gVDG6_4">
    <vt:lpwstr>ysis, and delays in WBE analysis and reporting should be considered when evaluating the early warning potential of WBE that enable public health action. Our purpose in this manuscript is to establish a framework to critique the potential of WBE to serve a</vt:lpwstr>
  </property>
  <property fmtid="{D5CDD505-2E9C-101B-9397-08002B2CF9AE}" pid="135" name="ZOTERO_BREF_UZp89s8gVDG6_5">
    <vt:lpwstr>s an early warning system, with special attention to the onset of viral shedding and the differential between results reporting for WBE and clinical testing. While many uncertainties remain regarding both COVID-19 clinical presentation and technical facto</vt:lpwstr>
  </property>
  <property fmtid="{D5CDD505-2E9C-101B-9397-08002B2CF9AE}" pid="136" name="ZOTERO_BREF_UZp89s8gVDG6_6">
    <vt:lpwstr>rs influencing WBE results, our analysis suggests at most a modest lead time interval ranging from six days for clinical testing to four days for WBE during community-level wastewater surveillance where clinical testing is accessible on-demand with a rapi</vt:lpwstr>
  </property>
  <property fmtid="{D5CDD505-2E9C-101B-9397-08002B2CF9AE}" pid="137" name="ZOTERO_BREF_UZp89s8gVDG6_7">
    <vt:lpwstr>d time to results. This potential lead time for WBE subsequently increases in settings with limited clinical testing capacity or utilization. Care should be taken when reporting ‘early detection’ of COVID-19 disease trends via WBE to consider underlying c</vt:lpwstr>
  </property>
  <property fmtid="{D5CDD505-2E9C-101B-9397-08002B2CF9AE}" pid="138" name="ZOTERO_BREF_UZp89s8gVDG6_8">
    <vt:lpwstr>auses (e.g., clinical testing lag or delayed result reporting) to avoid misrepresenting WBE potential.","container-title":"Water Research","DOI":"10.1016/j.watres.2021.117438","ISSN":"0043-1354","journalAbbreviation":"Water Res","note":"PMID: 34333296\nPM</vt:lpwstr>
  </property>
  <property fmtid="{D5CDD505-2E9C-101B-9397-08002B2CF9AE}" pid="139" name="ZOTERO_BREF_UZp89s8gVDG6_9">
    <vt:lpwstr>CID: PMC8274973","page":"117438","source":"PubMed Central","title":"Making waves: Plausible lead time for wastewater based epidemiology as an early warning system for COVID-19","title-short":"Making waves","volume":"202","author":[{"family":"Bibby","given</vt:lpwstr>
  </property>
  <property fmtid="{D5CDD505-2E9C-101B-9397-08002B2CF9AE}" pid="140" name="ZOTERO_BREF_VtqbtYAe36EI_1">
    <vt:lpwstr>ZOTERO_ITEM CSL_CITATION {"citationID":"bAtKjpf0","properties":{"formattedCitation":"(26)","plainCitation":"(26)(26)","noteIndex":0},"citationItems":[{"id":7310,"uris":["http://zotero.org/users/4501344/items/NNR5L2SA"],"uri":["http://zotero.org/users/4501</vt:lpwstr>
  </property>
  <property fmtid="{D5CDD505-2E9C-101B-9397-08002B2CF9AE}" pid="141" name="ZOTERO_BREF_VtqbtYAe36EI_2">
    <vt:lpwstr>344/items/NNR5L2SA"],"itemData":{"id":7310,"type":"book","title":"BayesianTools: General-Purpose MCMC and SMC Samplers and Tools for Bayesian Statistics","URL":"https://CRAN.R-project.org/package=BayesianTools","author":[{"family":"Hartig","given":"Floria</vt:lpwstr>
  </property>
  <property fmtid="{D5CDD505-2E9C-101B-9397-08002B2CF9AE}" pid="142" name="ZOTERO_BREF_VtqbtYAe36EI_3">
    <vt:lpwstr>n"},{"family":"Minunno","given":"Francesco"},{"family":"Paul","given":"Stefan"}],"issued":{"date-parts":[["2019"]]}}}],"schema":"https://github.com/citation-style-language/schema/raw/master/csl-citation.json"}</vt:lpwstr>
  </property>
  <property fmtid="{D5CDD505-2E9C-101B-9397-08002B2CF9AE}" pid="143" name="ZOTERO_BREF_VvjjUAWbAQez_1">
    <vt:lpwstr>ZOTERO_ITEM CSL_CITATION {"citationID":"eC8vzAOJ","properties":{"formattedCitation":"(27)","plainCitation":"(27)(27)","noteIndex":0},"citationItems":[{"id":7253,"uris":["http://zotero.org/users/4501344/items/HDER6N9V"],"uri":["http://zotero.org/users/4501</vt:lpwstr>
  </property>
  <property fmtid="{D5CDD505-2E9C-101B-9397-08002B2CF9AE}" pid="144" name="ZOTERO_BREF_VvjjUAWbAQez_10">
    <vt:lpwstr>studies, 586 individuals) in stool, and 16·6 days (3·6–29·7; two studies, 108 individuals) in serum samples. Maximum shedding duration was 83 days in the upper respiratory tract, 59 days in the lower respiratory tract, 126 days in stools, and 60 days in s</vt:lpwstr>
  </property>
  <property fmtid="{D5CDD505-2E9C-101B-9397-08002B2CF9AE}" pid="145" name="ZOTERO_BREF_VvjjUAWbAQez_11">
    <vt:lpwstr>erum. Pooled mean SARS-CoV-2 shedding duration was positively associated with age (slope 0·304 [95% CI 0·115–0·493]; p=0·0016). No study detected live virus beyond day 9 of illness, despite persistently high viral loads, which were inferred from cycle thr</vt:lpwstr>
  </property>
  <property fmtid="{D5CDD505-2E9C-101B-9397-08002B2CF9AE}" pid="146" name="ZOTERO_BREF_VvjjUAWbAQez_12">
    <vt:lpwstr>eshold values. SARS-CoV-2 viral load in the upper respiratory tract appeared to peak in the first week of illness, whereas that of SARS-CoV peaked at days 10–14 and that of MERS-CoV peaked at days 7–10.&lt;/p&gt;&lt;h3&gt;Interpretation&lt;/h3&gt;&lt;p&gt;Although SARS-CoV-2 RNA</vt:lpwstr>
  </property>
  <property fmtid="{D5CDD505-2E9C-101B-9397-08002B2CF9AE}" pid="147" name="ZOTERO_BREF_VvjjUAWbAQez_13">
    <vt:lpwstr> shedding in respiratory and stool samples can be prolonged, duration of viable virus is relatively short-lived. SARS-CoV-2 titres in the upper respiratory tract peak in the first week of illness. Early case finding and isolation, and public education on </vt:lpwstr>
  </property>
  <property fmtid="{D5CDD505-2E9C-101B-9397-08002B2CF9AE}" pid="148" name="ZOTERO_BREF_VvjjUAWbAQez_14">
    <vt:lpwstr>the spectrum of illness and period of infectiousness are key to the effective containment of SARS-CoV-2.&lt;/p&gt;&lt;h3&gt;Funding&lt;/h3&gt;&lt;p&gt;None.&lt;/p&gt;","container-title":"The Lancet Microbe","DOI":"10.1016/S2666-5247(20)30172-5","ISSN":"2666-5247","issue":"1","journalA</vt:lpwstr>
  </property>
  <property fmtid="{D5CDD505-2E9C-101B-9397-08002B2CF9AE}" pid="149" name="ZOTERO_BREF_VvjjUAWbAQez_15">
    <vt:lpwstr>bbreviation":"The Lancet Microbe","language":"English","note":"publisher: Elsevier","page":"e13-e22","source":"www.thelancet.com","title":"SARS-CoV-2, SARS-CoV, and MERS-CoV viral load dynamics, duration of viral shedding, and infectiousness: a systematic</vt:lpwstr>
  </property>
  <property fmtid="{D5CDD505-2E9C-101B-9397-08002B2CF9AE}" pid="150" name="ZOTERO_BREF_VvjjUAWbAQez_16">
    <vt:lpwstr> review and meta-analysis","title-short":"SARS-CoV-2, SARS-CoV, and MERS-CoV viral load dynamics, duration of viral shedding, and infectiousness","volume":"2","author":[{"family":"Cevik","given":"Muge"},{"family":"Tate","given":"Matthew"},{"family":"Lloyd</vt:lpwstr>
  </property>
  <property fmtid="{D5CDD505-2E9C-101B-9397-08002B2CF9AE}" pid="151" name="ZOTERO_BREF_VvjjUAWbAQez_17">
    <vt:lpwstr>","given":"Ollie"},{"family":"Maraolo","given":"Alberto Enrico"},{"family":"Schafers","given":"Jenna"},{"family":"Ho","given":"Antonia"}],"issued":{"date-parts":[["2021",1,1]]}}}],"schema":"https://github.com/citation-style-language/schema/raw/master/csl-</vt:lpwstr>
  </property>
  <property fmtid="{D5CDD505-2E9C-101B-9397-08002B2CF9AE}" pid="152" name="ZOTERO_BREF_VvjjUAWbAQez_18">
    <vt:lpwstr>citation.json"}</vt:lpwstr>
  </property>
  <property fmtid="{D5CDD505-2E9C-101B-9397-08002B2CF9AE}" pid="153" name="ZOTERO_BREF_VvjjUAWbAQez_2">
    <vt:lpwstr>344/items/HDER6N9V"],"itemData":{"id":7253,"type":"article-journal","abstract":"&lt;h2&gt;Summary&lt;/h2&gt;&lt;h3&gt;Background&lt;/h3&gt;&lt;p&gt;Viral load kinetics and duration of viral shedding are important determinants for disease transmission. We aimed to characterise viral lo</vt:lpwstr>
  </property>
  <property fmtid="{D5CDD505-2E9C-101B-9397-08002B2CF9AE}" pid="154" name="ZOTERO_BREF_VvjjUAWbAQez_3">
    <vt:lpwstr>ad dynamics, duration of viral RNA shedding, and viable virus shedding of severe acute respiratory syndrome coronavirus 2 (SARS-CoV-2) in various body fluids, and to compare SARS-CoV-2, SARS-CoV, and Middle East respiratory syndrome coronavirus (MERS-CoV)</vt:lpwstr>
  </property>
  <property fmtid="{D5CDD505-2E9C-101B-9397-08002B2CF9AE}" pid="155" name="ZOTERO_BREF_VvjjUAWbAQez_4">
    <vt:lpwstr> viral dynamics.&lt;/p&gt;&lt;h3&gt;Methods&lt;/h3&gt;&lt;p&gt;In this systematic review and meta-analysis, we searched databases, including MEDLINE, Embase, Europe PubMed Central, &lt;i&gt;medRxiv&lt;/i&gt;, and &lt;i&gt;bioRxiv&lt;/i&gt;, and the grey literature, for research articles published betwe</vt:lpwstr>
  </property>
  <property fmtid="{D5CDD505-2E9C-101B-9397-08002B2CF9AE}" pid="156" name="ZOTERO_BREF_VvjjUAWbAQez_5">
    <vt:lpwstr>en Jan 1, 2003, and June 6, 2020. We included case series (with five or more participants), cohort studies, and randomised controlled trials that reported SARS-CoV-2, SARS-CoV, or MERS-CoV infection, and reported viral load kinetics, duration of viral she</vt:lpwstr>
  </property>
  <property fmtid="{D5CDD505-2E9C-101B-9397-08002B2CF9AE}" pid="157" name="ZOTERO_BREF_VvjjUAWbAQez_6">
    <vt:lpwstr>dding, or viable virus. Two authors independently extracted data from published studies, or contacted authors to request data, and assessed study quality and risk of bias using the Joanna Briggs Institute Critical Appraisal Checklist tools. We calculated </vt:lpwstr>
  </property>
  <property fmtid="{D5CDD505-2E9C-101B-9397-08002B2CF9AE}" pid="158" name="ZOTERO_BREF_VvjjUAWbAQez_7">
    <vt:lpwstr>the mean duration of viral shedding and 95% CIs for every study included and applied the random-effects model to estimate a pooled effect size. We used a weighted meta-regression with an unrestricted maximum likelihood model to assess the effect of potent</vt:lpwstr>
  </property>
  <property fmtid="{D5CDD505-2E9C-101B-9397-08002B2CF9AE}" pid="159" name="ZOTERO_BREF_VvjjUAWbAQez_8">
    <vt:lpwstr>ial moderators on the pooled effect size. This study is registered with PROSPERO, CRD42020181914.&lt;/p&gt;&lt;h3&gt;Findings&lt;/h3&gt;&lt;p&gt;79 studies (5340 individuals) on SARS-CoV-2, eight studies (1858 individuals) on SARS-CoV, and 11 studies (799 individuals) on MERS-Co</vt:lpwstr>
  </property>
  <property fmtid="{D5CDD505-2E9C-101B-9397-08002B2CF9AE}" pid="160" name="ZOTERO_BREF_VvjjUAWbAQez_9">
    <vt:lpwstr>V were included. Mean duration of SARS-CoV-2 RNA shedding was 17·0 days (95% CI 15·5–18·6; 43 studies, 3229 individuals) in upper respiratory tract, 14·6 days (9·3–20·0; seven studies, 260 individuals) in lower respiratory tract, 17·2 days (14·4–20·1; 13 </vt:lpwstr>
  </property>
  <property fmtid="{D5CDD505-2E9C-101B-9397-08002B2CF9AE}" pid="161" name="ZOTERO_BREF_W5OYrFgj0mhW_1">
    <vt:lpwstr>ZOTERO_ITEM CSL_CITATION {"citationID":"ikx18X2k","properties":{"formattedCitation":"(34)","plainCitation":"(34)(34)","noteIndex":0},"citationItems":[{"id":7157,"uris":["http://zotero.org/users/4501344/items/AKM835EA"],"uri":["http://zotero.org/users/4501</vt:lpwstr>
  </property>
  <property fmtid="{D5CDD505-2E9C-101B-9397-08002B2CF9AE}" pid="162" name="ZOTERO_BREF_W5OYrFgj0mhW_10">
    <vt:lpwstr>},{"family":"Innes","given":"Gabriel K."},{"family":"Prasek","given":"Sarah M."},{"family":"Betancourt","given":"Walter Q."},{"family":"Stark","given":"Erika R."},{"family":"Foster","given":"Aidan R."},{"family":"Abraham","given":"Alison G."},{"family":"G</vt:lpwstr>
  </property>
  <property fmtid="{D5CDD505-2E9C-101B-9397-08002B2CF9AE}" pid="163" name="ZOTERO_BREF_W5OYrFgj0mhW_11">
    <vt:lpwstr>erba","given":"Charles P."},{"family":"Pepper","given":"Ian L."}],"issued":{"date-parts":[["2021",4,18]]}}}],"schema":"https://github.com/citation-style-language/schema/raw/master/csl-citation.json"}</vt:lpwstr>
  </property>
  <property fmtid="{D5CDD505-2E9C-101B-9397-08002B2CF9AE}" pid="164" name="ZOTERO_BREF_W5OYrFgj0mhW_2">
    <vt:lpwstr>344/items/AKM835EA"],"itemData":{"id":7157,"type":"article-journal","abstract":"&lt;p&gt;Wastewater-based epidemiology (WBE) was utilized to monitor SARS-CoV-2 RNA in sewage collected from manholes specific to individual student dormitories (dorms) at the Unive</vt:lpwstr>
  </property>
  <property fmtid="{D5CDD505-2E9C-101B-9397-08002B2CF9AE}" pid="165" name="ZOTERO_BREF_W5OYrFgj0mhW_3">
    <vt:lpwstr>rsity of Arizona in the fall semester of 2020, which led to successful identification and reduction of transmission events. Positive wastewater samples triggered clinical testing of almost all residents within that dorm; thus, SARS-CoV-2 infected individu</vt:lpwstr>
  </property>
  <property fmtid="{D5CDD505-2E9C-101B-9397-08002B2CF9AE}" pid="166" name="ZOTERO_BREF_W5OYrFgj0mhW_4">
    <vt:lpwstr>als were identified regardless of symptom expression. This current study examined clinical testing data to determine the abundance of asymptomatic versus symptomatic cases in these defined communities. Nasal and nasopharyngeal swab samples processed via a</vt:lpwstr>
  </property>
  <property fmtid="{D5CDD505-2E9C-101B-9397-08002B2CF9AE}" pid="167" name="ZOTERO_BREF_W5OYrFgj0mhW_5">
    <vt:lpwstr>ntigen and PCR tests indicated that 79.2% of SARS-CoV-2 infections were asymptomatic, and only 20.8% of positive cases reported COVID-19 symptoms at the time of testing. Clinical data was paired with corresponding wastewater virus concentrations, which en</vt:lpwstr>
  </property>
  <property fmtid="{D5CDD505-2E9C-101B-9397-08002B2CF9AE}" pid="168" name="ZOTERO_BREF_W5OYrFgj0mhW_6">
    <vt:lpwstr>abled calculation of viral shedding rates in feces per infected person(s). Mean shedding rates averaged from positive wastewater samples across all dorms were 6.84 ± 0.77 log10 genome copies per gram of feces (gc/g-feces) based on the N1 gene and 7.74 ± 0</vt:lpwstr>
  </property>
  <property fmtid="{D5CDD505-2E9C-101B-9397-08002B2CF9AE}" pid="169" name="ZOTERO_BREF_W5OYrFgj0mhW_7">
    <vt:lpwstr>.53 log10 gc/g-feces based on the N2 gene. Quantification of SARS-CoV-2 fecal shedding rates from infected persons has been the critical missing component necessary for WBE models to measure and predict SARS-CoV-2 infection prevalence in communities. The </vt:lpwstr>
  </property>
  <property fmtid="{D5CDD505-2E9C-101B-9397-08002B2CF9AE}" pid="170" name="ZOTERO_BREF_W5OYrFgj0mhW_8">
    <vt:lpwstr>findings from this study can be utilized to create models that can be used to inform public health prevention and response actions.&lt;/p&gt;","container-title":"medRxiv","DOI":"10.1101/2021.04.16.21255638","language":"en","note":"publisher: Cold Spring Harbor </vt:lpwstr>
  </property>
  <property fmtid="{D5CDD505-2E9C-101B-9397-08002B2CF9AE}" pid="171" name="ZOTERO_BREF_W5OYrFgj0mhW_9">
    <vt:lpwstr>Laboratory Press","page":"2021.04.16.21255638","source":"www.medrxiv.org","title":"Enumerating asymptomatic COVID-19 cases and estimating SARS-CoV-2 fecal shedding rates via wastewater-based epidemiology","author":[{"family":"Schmitz","given":"Bradley W."</vt:lpwstr>
  </property>
  <property fmtid="{D5CDD505-2E9C-101B-9397-08002B2CF9AE}" pid="172" name="ZOTERO_BREF_Wx670HjiV9pr_1">
    <vt:lpwstr>ZOTERO_ITEM CSL_CITATION {"citationID":"G5YYp9w8","properties":{"formattedCitation":"(1)","plainCitation":"(1)(1)","noteIndex":0},"citationItems":[{"id":7363,"uris":["http://zotero.org/users/4501344/items/L6GDFJRV"],"uri":["http://zotero.org/users/4501344</vt:lpwstr>
  </property>
  <property fmtid="{D5CDD505-2E9C-101B-9397-08002B2CF9AE}" pid="173" name="ZOTERO_BREF_Wx670HjiV9pr_2">
    <vt:lpwstr>/items/L6GDFJRV"],"itemData":{"id":7363,"type":"webpage","abstract":"Coronavirus COVID-19 Global Cases by the Center for Systems Science and Engineering (CSSE) at Johns Hopkins University (JHU)","container-title":"Johns Hopkins Coronavirus Resource Center</vt:lpwstr>
  </property>
  <property fmtid="{D5CDD505-2E9C-101B-9397-08002B2CF9AE}" pid="174" name="ZOTERO_BREF_Wx670HjiV9pr_3">
    <vt:lpwstr>","language":"en","title":"COVID-19 Map","URL":"https://coronavirus.jhu.edu/map.html","accessed":{"date-parts":[["2021",6,1]]},"issued":{"date-parts":[["2021",6,1]]}}}],"schema":"https://github.com/citation-style-language/schema/raw/master/csl-citation.js</vt:lpwstr>
  </property>
  <property fmtid="{D5CDD505-2E9C-101B-9397-08002B2CF9AE}" pid="175" name="ZOTERO_BREF_Wx670HjiV9pr_4">
    <vt:lpwstr>on"}</vt:lpwstr>
  </property>
  <property fmtid="{D5CDD505-2E9C-101B-9397-08002B2CF9AE}" pid="176" name="ZOTERO_BREF_XmRvJpvY7vOg_1">
    <vt:lpwstr>ZOTERO_ITEM CSL_CITATION {"citationID":"F3fTjsy6","properties":{"formattedCitation":"(24)","plainCitation":"(24)(24)","noteIndex":0},"citationItems":[{"id":8205,"uris":["http://zotero.org/users/4501344/items/2GBQY66G"],"uri":["http://zotero.org/users/4501</vt:lpwstr>
  </property>
  <property fmtid="{D5CDD505-2E9C-101B-9397-08002B2CF9AE}" pid="177" name="ZOTERO_BREF_XmRvJpvY7vOg_2">
    <vt:lpwstr>344/items/2GBQY66G"],"itemData":{"id":8205,"type":"webpage","abstract":"Cases, data, and surveillance to track and analyze COVID-19.","container-title":"Centers for Disease Control and Prevention","language":"en-us","title":"Cases, Data, and Surveillance"</vt:lpwstr>
  </property>
  <property fmtid="{D5CDD505-2E9C-101B-9397-08002B2CF9AE}" pid="178" name="ZOTERO_BREF_XmRvJpvY7vOg_3">
    <vt:lpwstr>,"URL":"https://www.cdc.gov/coronavirus/2019-ncov/cases-updates/burden.html","author":[{"family":"CDC","given":""}],"accessed":{"date-parts":[["2021",10,4]]},"issued":{"date-parts":[["2020",2,11]]}}}],"schema":"https://github.com/citation-style-language/s</vt:lpwstr>
  </property>
  <property fmtid="{D5CDD505-2E9C-101B-9397-08002B2CF9AE}" pid="179" name="ZOTERO_BREF_XmRvJpvY7vOg_4">
    <vt:lpwstr>chema/raw/master/csl-citation.json"}</vt:lpwstr>
  </property>
  <property fmtid="{D5CDD505-2E9C-101B-9397-08002B2CF9AE}" pid="180" name="ZOTERO_BREF_bw35lDyqRQuR_1">
    <vt:lpwstr>ZOTERO_ITEM CSL_CITATION {"citationID":"T215UxM0","properties":{"formattedCitation":"(18)","plainCitation":"(18)(18)","noteIndex":0},"citationItems":[{"id":8190,"uris":["http://zotero.org/users/4501344/items/DTVVRAI6"],"uri":["http://zotero.org/users/4501</vt:lpwstr>
  </property>
  <property fmtid="{D5CDD505-2E9C-101B-9397-08002B2CF9AE}" pid="181" name="ZOTERO_BREF_bw35lDyqRQuR_10">
    <vt:lpwstr>{"family":"North","given":"Devin"},{"family":"Wu","given":"Zhenyu"},{"family":"Shaffer","given":"Marlee"},{"family":"Ahmed","given":"Warish"},{"family":"Bibby","given":"Kyle"}],"issued":{"date-parts":[["2021",9,10]]}}}],"schema":"https://github.com/citati</vt:lpwstr>
  </property>
  <property fmtid="{D5CDD505-2E9C-101B-9397-08002B2CF9AE}" pid="182" name="ZOTERO_BREF_bw35lDyqRQuR_11">
    <vt:lpwstr>on-style-language/schema/raw/master/csl-citation.json"}</vt:lpwstr>
  </property>
  <property fmtid="{D5CDD505-2E9C-101B-9397-08002B2CF9AE}" pid="183" name="ZOTERO_BREF_bw35lDyqRQuR_2">
    <vt:lpwstr>344/items/DTVVRAI6"],"itemData":{"id":8190,"type":"article-journal","abstract":"Wastewater surveillance of severe acute respiratory syndrome coronavirus 2 (SARS-CoV-2) RNA is being used to monitor Coronavirus Disease 2019 (COVID-19) trends in communities;</vt:lpwstr>
  </property>
  <property fmtid="{D5CDD505-2E9C-101B-9397-08002B2CF9AE}" pid="184" name="ZOTERO_BREF_bw35lDyqRQuR_3">
    <vt:lpwstr> however, within- and between-day variation of SARS-CoV-2 RNA concentration in primary influent remains largely uncharacterized. In the current study, grab sampling of primary influent was performed every 2 h over two 24-h periods at two wastewater treatm</vt:lpwstr>
  </property>
  <property fmtid="{D5CDD505-2E9C-101B-9397-08002B2CF9AE}" pid="185" name="ZOTERO_BREF_bw35lDyqRQuR_4">
    <vt:lpwstr>ent plants (WWTPs) in northern Indiana, USA. The recovery efficiency of endogenous SARS-CoV-2 RNA in wastewater was confirmed to be similar to the recovery efficiency of the process control, bovine respiratory syncytial virus (BRSV). Recovery-corrected SA</vt:lpwstr>
  </property>
  <property fmtid="{D5CDD505-2E9C-101B-9397-08002B2CF9AE}" pid="186" name="ZOTERO_BREF_bw35lDyqRQuR_5">
    <vt:lpwstr>RS-CoV-2 RNA concentrations in primary influent indicate diurnal loading patterns and confirm monitoring dependent on grab samples should target daytime periods with high fecal loading. Importantly, manual compositing performed at the WWTP resulted in con</vt:lpwstr>
  </property>
  <property fmtid="{D5CDD505-2E9C-101B-9397-08002B2CF9AE}" pid="187" name="ZOTERO_BREF_bw35lDyqRQuR_6">
    <vt:lpwstr>centrations that were consistently lower than grab sample averages indicating potential bias. Uncorrected, recovery-corrected, and pepper mild mottle virus (PMMoV)-normalized SARS-CoV-2 RNA concentrations demonstrated an ordinal agreement with increasing </vt:lpwstr>
  </property>
  <property fmtid="{D5CDD505-2E9C-101B-9397-08002B2CF9AE}" pid="188" name="ZOTERO_BREF_bw35lDyqRQuR_7">
    <vt:lpwstr>clinical COVID-19 positivity but not COVID-19 cases. In areas where geolocated COVID-19 case data are not available, the COVID-19 positivity rate could provide a useful county-level metric for comparison with wastewater. Nonetheless, large variation both </vt:lpwstr>
  </property>
  <property fmtid="{D5CDD505-2E9C-101B-9397-08002B2CF9AE}" pid="189" name="ZOTERO_BREF_bw35lDyqRQuR_8">
    <vt:lpwstr>within- and between-days may preclude robust quantitative analyses beyond correlation.","container-title":"ACS ES&amp;T Water","DOI":"10.1021/acsestwater.1c00178","issue":"9","journalAbbreviation":"ACS EST Water","note":"publisher: American Chemical Society",</vt:lpwstr>
  </property>
  <property fmtid="{D5CDD505-2E9C-101B-9397-08002B2CF9AE}" pid="190" name="ZOTERO_BREF_bw35lDyqRQuR_9">
    <vt:lpwstr>"page":"2097-2108","source":"ACS Publications","title":"Within- and between-Day Variability of SARS-CoV-2 RNA in Municipal Wastewater during Periods of Varying COVID-19 Prevalence and Positivity","volume":"1","author":[{"family":"Bivins","given":"Aaron"},</vt:lpwstr>
  </property>
  <property fmtid="{D5CDD505-2E9C-101B-9397-08002B2CF9AE}" pid="191" name="ZOTERO_BREF_erKwSXgbVKmb_1">
    <vt:lpwstr>ZOTERO_ITEM CSL_CITATION {"citationID":"UGyDU6hF","properties":{"formattedCitation":"(17)","plainCitation":"(17)(17)","noteIndex":0},"citationItems":[{"id":7300,"uris":["http://zotero.org/users/4501344/items/DTUNAJWS"],"uri":["http://zotero.org/users/4501</vt:lpwstr>
  </property>
  <property fmtid="{D5CDD505-2E9C-101B-9397-08002B2CF9AE}" pid="192" name="ZOTERO_BREF_erKwSXgbVKmb_2">
    <vt:lpwstr>344/items/DTUNAJWS"],"itemData":{"id":7300,"type":"webpage","abstract":"The following protocol describes the GERM Lab workflow for processing wastewater for SARS-CoV-2 electronegative membrane filtration (with MCE membrane), extraction, and interrogation.</vt:lpwstr>
  </property>
  <property fmtid="{D5CDD505-2E9C-101B-9397-08002B2CF9AE}" pid="193" name="ZOTERO_BREF_erKwSXgbVKmb_3">
    <vt:lpwstr>..","container-title":"protocols.io","language":"en","note":"DOI: 10.17504/protocols.io.bu7nnzme","title":"Adsorption-Extraction for SARS-CoV-2 RNA Detection and Quantification in Wastewater using RT-ddPCR","URL":"https://www.protocols.io/view/adsorption-</vt:lpwstr>
  </property>
  <property fmtid="{D5CDD505-2E9C-101B-9397-08002B2CF9AE}" pid="194" name="ZOTERO_BREF_erKwSXgbVKmb_4">
    <vt:lpwstr>extraction-for-sars-cov-2-rna-detection-bu7nnzme","author":[{"family":"Bivins","given":"Aaron"}],"accessed":{"date-parts":[["2021",5,24]]},"issued":{"date-parts":[["2021",5,15]]}}}],"schema":"https://github.com/citation-style-language/schema/raw/master/cs</vt:lpwstr>
  </property>
  <property fmtid="{D5CDD505-2E9C-101B-9397-08002B2CF9AE}" pid="195" name="ZOTERO_BREF_erKwSXgbVKmb_5">
    <vt:lpwstr>l-citation.json"}</vt:lpwstr>
  </property>
  <property fmtid="{D5CDD505-2E9C-101B-9397-08002B2CF9AE}" pid="196" name="ZOTERO_BREF_fbM2wLmBDjmA_1">
    <vt:lpwstr>ZOTERO_ITEM CSL_CITATION {"citationID":"ima13mY5","properties":{"formattedCitation":"(11)","plainCitation":"(11)(11)","noteIndex":0},"citationItems":[{"id":7102,"uris":["http://zotero.org/users/4501344/items/9GWGDX2A"],"uri":["http://zotero.org/users/4501</vt:lpwstr>
  </property>
  <property fmtid="{D5CDD505-2E9C-101B-9397-08002B2CF9AE}" pid="197" name="ZOTERO_BREF_fbM2wLmBDjmA_10">
    <vt:lpwstr>or the containment of COVID-19.","container-title":"Nature","DOI":"10.1038/s41586-020-2196-x","ISSN":"1476-4687","issue":"7809","language":"en","note":"number: 7809\npublisher: Nature Publishing Group","page":"465-469","source":"www.nature.com","title":"V</vt:lpwstr>
  </property>
  <property fmtid="{D5CDD505-2E9C-101B-9397-08002B2CF9AE}" pid="198" name="ZOTERO_BREF_fbM2wLmBDjmA_11">
    <vt:lpwstr>irological assessment of hospitalized patients with COVID-2019","volume":"581","author":[{"family":"Wölfel","given":"Roman"},{"family":"Corman","given":"Victor M."},{"family":"Guggemos","given":"Wolfgang"},{"family":"Seilmaier","given":"Michael"},{"family</vt:lpwstr>
  </property>
  <property fmtid="{D5CDD505-2E9C-101B-9397-08002B2CF9AE}" pid="199" name="ZOTERO_BREF_fbM2wLmBDjmA_12">
    <vt:lpwstr>":"Zange","given":"Sabine"},{"family":"Müller","given":"Marcel A."},{"family":"Niemeyer","given":"Daniela"},{"family":"Jones","given":"Terry C."},{"family":"Vollmar","given":"Patrick"},{"family":"Rothe","given":"Camilla"},{"family":"Hoelscher","given":"Mi</vt:lpwstr>
  </property>
  <property fmtid="{D5CDD505-2E9C-101B-9397-08002B2CF9AE}" pid="200" name="ZOTERO_BREF_fbM2wLmBDjmA_13">
    <vt:lpwstr>chael"},{"family":"Bleicker","given":"Tobias"},{"family":"Brünink","given":"Sebastian"},{"family":"Schneider","given":"Julia"},{"family":"Ehmann","given":"Rosina"},{"family":"Zwirglmaier","given":"Katrin"},{"family":"Drosten","given":"Christian"},{"family</vt:lpwstr>
  </property>
  <property fmtid="{D5CDD505-2E9C-101B-9397-08002B2CF9AE}" pid="201" name="ZOTERO_BREF_fbM2wLmBDjmA_14">
    <vt:lpwstr>":"Wendtner","given":"Clemens"}],"issued":{"date-parts":[["2020",5]]}}}],"schema":"https://github.com/citation-style-language/schema/raw/master/csl-citation.json"}</vt:lpwstr>
  </property>
  <property fmtid="{D5CDD505-2E9C-101B-9397-08002B2CF9AE}" pid="202" name="ZOTERO_BREF_fbM2wLmBDjmA_2">
    <vt:lpwstr>344/items/9GWGDX2A"],"itemData":{"id":7102,"type":"article-journal","abstract":"Coronavirus disease 2019 (COVID-19) is an acute infection of the respiratory tract that emerged in late 20191,2. Initial outbreaks in China involved 13.8% of cases with severe</vt:lpwstr>
  </property>
  <property fmtid="{D5CDD505-2E9C-101B-9397-08002B2CF9AE}" pid="203" name="ZOTERO_BREF_fbM2wLmBDjmA_3">
    <vt:lpwstr> courses, and 6.1% of cases with critical courses3. This severe presentation may result from the virus using a virus receptor that is expressed predominantly in the lung2,4; the same receptor tropism is thought to have determined the pathogenicity—but als</vt:lpwstr>
  </property>
  <property fmtid="{D5CDD505-2E9C-101B-9397-08002B2CF9AE}" pid="204" name="ZOTERO_BREF_fbM2wLmBDjmA_4">
    <vt:lpwstr>o aided in the control—of severe acute respiratory syndrome (SARS) in 20035. However, there are reports of cases of COVID-19 in which the patient shows mild upper respiratory tract symptoms, which suggests the potential for pre- or oligosymptomatic transm</vt:lpwstr>
  </property>
  <property fmtid="{D5CDD505-2E9C-101B-9397-08002B2CF9AE}" pid="205" name="ZOTERO_BREF_fbM2wLmBDjmA_5">
    <vt:lpwstr>ission6–8. There is an urgent need for information on virus replication, immunity and infectivity in specific sites of the body. Here we report a detailed virological analysis of nine cases of COVID-19 that provides proof of active virus replication in ti</vt:lpwstr>
  </property>
  <property fmtid="{D5CDD505-2E9C-101B-9397-08002B2CF9AE}" pid="206" name="ZOTERO_BREF_fbM2wLmBDjmA_6">
    <vt:lpwstr>ssues of the upper respiratory tract. Pharyngeal virus shedding was very high during the first week of symptoms, with a peak at 7.11 × 108 RNA copies per throat swab on day 4. Infectious virus was readily isolated from samples derived from the throat or l</vt:lpwstr>
  </property>
  <property fmtid="{D5CDD505-2E9C-101B-9397-08002B2CF9AE}" pid="207" name="ZOTERO_BREF_fbM2wLmBDjmA_7">
    <vt:lpwstr>ung, but not from stool samples—in spite of high concentrations of virus RNA. Blood and urine samples never yielded virus. Active replication in the throat was confirmed by the presence of viral replicative RNA intermediates in the throat samples. We cons</vt:lpwstr>
  </property>
  <property fmtid="{D5CDD505-2E9C-101B-9397-08002B2CF9AE}" pid="208" name="ZOTERO_BREF_fbM2wLmBDjmA_8">
    <vt:lpwstr>istently detected sequence-distinct virus populations in throat and lung samples from one patient, proving independent replication. The shedding of viral RNA from sputum outlasted the end of symptoms. Seroconversion occurred after 7 days in 50% of patient</vt:lpwstr>
  </property>
  <property fmtid="{D5CDD505-2E9C-101B-9397-08002B2CF9AE}" pid="209" name="ZOTERO_BREF_fbM2wLmBDjmA_9">
    <vt:lpwstr>s (and by day 14 in all patients), but was not followed by a rapid decline in viral load. COVID-19 can present as a mild illness of the upper respiratory tract. The confirmation of active virus replication in the upper respiratory tract has implications f</vt:lpwstr>
  </property>
  <property fmtid="{D5CDD505-2E9C-101B-9397-08002B2CF9AE}" pid="210" name="ZOTERO_BREF_iHaKKaPDzS3a_1">
    <vt:lpwstr>ZOTERO_ITEM CSL_CITATION {"citationID":"ej0OVVQ6","properties":{"formattedCitation":"(21\\uc0\\u8211{}23)","plainCitation":"(21–23)","noteIndex":0},"citationItems":[{"id":7302,"uris":["http://zotero.org/users/4501344/items/QI285X9U"],"uri":["http://zotero</vt:lpwstr>
  </property>
  <property fmtid="{D5CDD505-2E9C-101B-9397-08002B2CF9AE}" pid="211" name="ZOTERO_BREF_iHaKKaPDzS3a_10">
    <vt:lpwstr>family":"Carlin","given":"John B."}],"issued":{"date-parts":[["1991"]]}}},{"id":7305,"uris":["http://zotero.org/users/4501344/items/U9BUYEMA"],"uri":["http://zotero.org/users/4501344/items/U9BUYEMA"],"itemData":{"id":7305,"type":"article-journal","contain</vt:lpwstr>
  </property>
  <property fmtid="{D5CDD505-2E9C-101B-9397-08002B2CF9AE}" pid="212" name="ZOTERO_BREF_iHaKKaPDzS3a_11">
    <vt:lpwstr>er-title":"Journal of Statistical Software","DOI":"10.18637/jss.v077.i11","ISSN":"1548-7660","issue":"1","language":"en","note":"number: 1","page":"1-55","source":"www.jstatsoft.org","title":"Spatio-Temporal Analysis of Epidemic Phenomena Using the R Pack</vt:lpwstr>
  </property>
  <property fmtid="{D5CDD505-2E9C-101B-9397-08002B2CF9AE}" pid="213" name="ZOTERO_BREF_iHaKKaPDzS3a_12">
    <vt:lpwstr>age surveillance","volume":"77","author":[{"family":"Meyer","given":"Sebastian"},{"family":"Held","given":"Leonhard"},{"family":"Höhle","given":"Michael"}],"issued":{"date-parts":[["2017",5,3]]}}}],"schema":"https://github.com/citation-style-language/sche</vt:lpwstr>
  </property>
  <property fmtid="{D5CDD505-2E9C-101B-9397-08002B2CF9AE}" pid="214" name="ZOTERO_BREF_iHaKKaPDzS3a_13">
    <vt:lpwstr>ma/raw/master/csl-citation.json"}</vt:lpwstr>
  </property>
  <property fmtid="{D5CDD505-2E9C-101B-9397-08002B2CF9AE}" pid="215" name="ZOTERO_BREF_iHaKKaPDzS3a_2">
    <vt:lpwstr>.org/users/4501344/items/QI285X9U"],"itemData":{"id":7302,"type":"article-journal","container-title":"Journal of Statistical Software","DOI":"10.18637/jss.v070.i10","ISSN":"1548-7660","issue":"1","language":"en","note":"number: 1","page":"1-35","source":"</vt:lpwstr>
  </property>
  <property fmtid="{D5CDD505-2E9C-101B-9397-08002B2CF9AE}" pid="216" name="ZOTERO_BREF_iHaKKaPDzS3a_3">
    <vt:lpwstr>www.jstatsoft.org","title":"Monitoring Count Time Series in R: Aberration Detection in Public Health Surveillance","title-short":"Monitoring Count Time Series in R","volume":"70","author":[{"family":"Salmon","given":"Maëlle"},{"family":"Schumacher","given</vt:lpwstr>
  </property>
  <property fmtid="{D5CDD505-2E9C-101B-9397-08002B2CF9AE}" pid="217" name="ZOTERO_BREF_iHaKKaPDzS3a_4">
    <vt:lpwstr>":"Dirk"},{"family":"Höhle","given":"Michael"}],"issued":{"date-parts":[["2016",5,18]]}}},{"id":7114,"uris":["http://zotero.org/users/4501344/items/ZXH78KKE"],"uri":["http://zotero.org/users/4501344/items/ZXH78KKE"],"itemData":{"id":7114,"type":"article-j</vt:lpwstr>
  </property>
  <property fmtid="{D5CDD505-2E9C-101B-9397-08002B2CF9AE}" pid="218" name="ZOTERO_BREF_iHaKKaPDzS3a_5">
    <vt:lpwstr>ournal","abstract":"The method of back-projection has been used to estimate the unobserved past incidence of infection with the human immunodeficiency virus (HIV) and to obtain projections of future AIDS incidence. Here a new approach to back-projection, </vt:lpwstr>
  </property>
  <property fmtid="{D5CDD505-2E9C-101B-9397-08002B2CF9AE}" pid="219" name="ZOTERO_BREF_iHaKKaPDzS3a_6">
    <vt:lpwstr>which avoids parametric assumptions about the form of the HIV infection intensity, is described. This approach gives the data greater opportunity to determine the shape of the estimated intensity function. The method is based on a modification of an EM al</vt:lpwstr>
  </property>
  <property fmtid="{D5CDD505-2E9C-101B-9397-08002B2CF9AE}" pid="220" name="ZOTERO_BREF_iHaKKaPDzS3a_7">
    <vt:lpwstr>gorithm for maximum likelihood estimation that incorporates smoothing of the estimated parameters. It is easy to implement on a computer because the computations are based on explicit formulae. The method is illustrated with applications to AIDS data from</vt:lpwstr>
  </property>
  <property fmtid="{D5CDD505-2E9C-101B-9397-08002B2CF9AE}" pid="221" name="ZOTERO_BREF_iHaKKaPDzS3a_8">
    <vt:lpwstr> Australia, U.S.A. and Japanese haemophiliacs.","container-title":"Statistics in Medicine","DOI":"https://doi.org/10.1002/sim.4780101005","ISSN":"1097-0258","issue":"10","language":"en","note":"_eprint: https://onlinelibrary.wiley.com/doi/pdf/10.1002/sim.</vt:lpwstr>
  </property>
  <property fmtid="{D5CDD505-2E9C-101B-9397-08002B2CF9AE}" pid="222" name="ZOTERO_BREF_iHaKKaPDzS3a_9">
    <vt:lpwstr>4780101005","page":"1527-1542","source":"Wiley Online Library","title":"A method of non-parametric back-projection and its application to aids data","volume":"10","author":[{"family":"Becker","given":"Niels G."},{"family":"Watson","given":"Lyndsey F."},{"</vt:lpwstr>
  </property>
  <property fmtid="{D5CDD505-2E9C-101B-9397-08002B2CF9AE}" pid="223" name="ZOTERO_BREF_k8eJCZtoIJZu_1">
    <vt:lpwstr>ZOTERO_BIBL {"uncited":[],"omitted":[],"custom":[]} CSL_BIBLIOGRAPHY</vt:lpwstr>
  </property>
  <property fmtid="{D5CDD505-2E9C-101B-9397-08002B2CF9AE}" pid="224" name="ZOTERO_BREF_nYGnFRNb8DKe_1">
    <vt:lpwstr>ZOTERO_ITEM CSL_CITATION {"citationID":"wNyT1BVS","properties":{"formattedCitation":"(19,28)","plainCitation":"(19,28)(19,28)","noteIndex":0},"citationItems":[{"id":8199,"uris":["http://zotero.org/users/4501344/items/HWG9HVRI"],"uri":["http://zotero.org/u</vt:lpwstr>
  </property>
  <property fmtid="{D5CDD505-2E9C-101B-9397-08002B2CF9AE}" pid="225" name="ZOTERO_BREF_nYGnFRNb8DKe_10">
    <vt:lpwstr> COVID-19 patients. Lessons learned from this WBS program address the variability of water quality, new detection technologies, the range of detectable viral loads in wastewater, and the predictive value of integrating environmental and human surveillance</vt:lpwstr>
  </property>
  <property fmtid="{D5CDD505-2E9C-101B-9397-08002B2CF9AE}" pid="226" name="ZOTERO_BREF_nYGnFRNb8DKe_11">
    <vt:lpwstr> data. Data from our WBS program indicated that water quality was statistically different between sewer sampling sites, with more variability observed in wastewater coming from individual buildings compared to clusters of buildings. A new detection techno</vt:lpwstr>
  </property>
  <property fmtid="{D5CDD505-2E9C-101B-9397-08002B2CF9AE}" pid="227" name="ZOTERO_BREF_nYGnFRNb8DKe_12">
    <vt:lpwstr>logy was developed based upon the use of a novel polymerase called V2G. Detectable levels of SARS-CoV-2 in wastewater varied from 102 to 106 genomic copies (gc) per liter of raw wastewater (L). Integration of environmental and human surveillance data indi</vt:lpwstr>
  </property>
  <property fmtid="{D5CDD505-2E9C-101B-9397-08002B2CF9AE}" pid="228" name="ZOTERO_BREF_nYGnFRNb8DKe_13">
    <vt:lpwstr>cate that WBS detection of 100 gc/L of SARS-CoV-2 RNA in wastewater was associated with a positivity rate of 4% as detected by human surveillance in the wastewater catchment area, though confidence intervals were wide (β ~ 8.99 ∗ ln(100); 95% CI = 0.90–17</vt:lpwstr>
  </property>
  <property fmtid="{D5CDD505-2E9C-101B-9397-08002B2CF9AE}" pid="229" name="ZOTERO_BREF_nYGnFRNb8DKe_14">
    <vt:lpwstr>.08; p &lt; 0.05). Our data also suggest that early detection of COVID-19 surges based on correlations between viral load in wastewater and human disease incidence could benefit by increasing the wastewater sample collection frequency from weekly to daily. C</vt:lpwstr>
  </property>
  <property fmtid="{D5CDD505-2E9C-101B-9397-08002B2CF9AE}" pid="230" name="ZOTERO_BREF_nYGnFRNb8DKe_15">
    <vt:lpwstr>oupling simpler and faster detection technology with more frequent sampling has the potential to improve the predictive potential of using WBS of SARS-CoV-2 for early detection of the onset of COVID-19., \n          \n            Unlabelled Image","contai</vt:lpwstr>
  </property>
  <property fmtid="{D5CDD505-2E9C-101B-9397-08002B2CF9AE}" pid="231" name="ZOTERO_BREF_nYGnFRNb8DKe_16">
    <vt:lpwstr>ner-title":"The Science of the Total Environment","DOI":"10.1016/j.scitotenv.2021.149177","ISSN":"0048-9697","journalAbbreviation":"Sci Total Environ","note":"PMID: 34375259\nPMCID: PMC8294117","page":"149177","source":"PubMed Central","title":"Lessons le</vt:lpwstr>
  </property>
  <property fmtid="{D5CDD505-2E9C-101B-9397-08002B2CF9AE}" pid="232" name="ZOTERO_BREF_nYGnFRNb8DKe_17">
    <vt:lpwstr>arned from SARS-CoV-2 measurements in wastewater","volume":"798","author":[{"family":"Sharkey","given":"Mark E."},{"family":"Kumar","given":"Naresh"},{"family":"Mantero","given":"Alejandro M.A."},{"family":"Babler","given":"Kristina M."},{"family":"Boone"</vt:lpwstr>
  </property>
  <property fmtid="{D5CDD505-2E9C-101B-9397-08002B2CF9AE}" pid="233" name="ZOTERO_BREF_nYGnFRNb8DKe_18">
    <vt:lpwstr>,"given":"Melinda M."},{"family":"Cardentey","given":"Yoslayma"},{"family":"Cortizas","given":"Elena M."},{"family":"Grills","given":"George S."},{"family":"Herrin","given":"James"},{"family":"Kemper","given":"Jenny M."},{"family":"Kenney","given":"Richar</vt:lpwstr>
  </property>
  <property fmtid="{D5CDD505-2E9C-101B-9397-08002B2CF9AE}" pid="234" name="ZOTERO_BREF_nYGnFRNb8DKe_19">
    <vt:lpwstr>d"},{"family":"Kobetz","given":"Erin"},{"family":"Laine","given":"Jennifer"},{"family":"Lamar","given":"Walter E."},{"family":"Mader","given":"Christopher C."},{"family":"Mason","given":"Christopher E."},{"family":"Quintero","given":"Anda Z."},{"family":"</vt:lpwstr>
  </property>
  <property fmtid="{D5CDD505-2E9C-101B-9397-08002B2CF9AE}" pid="235" name="ZOTERO_BREF_nYGnFRNb8DKe_2">
    <vt:lpwstr>sers/4501344/items/HWG9HVRI"],"itemData":{"id":8199,"type":"article-journal","container-title":"Environmental Science: Water Research &amp; Technology","DOI":"10.1039/D0EW00946F","issue":"3","language":"en","note":"publisher: Royal Society of Chemistry","page</vt:lpwstr>
  </property>
  <property fmtid="{D5CDD505-2E9C-101B-9397-08002B2CF9AE}" pid="236" name="ZOTERO_BREF_nYGnFRNb8DKe_20">
    <vt:lpwstr>Reding","given":"Brian D."},{"family":"Roca","given":"Matthew A."},{"family":"Ryon","given":"Krista"},{"family":"Solle","given":"Natasha Schaefer"},{"family":"Schürer","given":"Stephan C."},{"family":"Shukla","given":"Bhavarth"},{"family":"Stevenson","giv</vt:lpwstr>
  </property>
  <property fmtid="{D5CDD505-2E9C-101B-9397-08002B2CF9AE}" pid="237" name="ZOTERO_BREF_nYGnFRNb8DKe_21">
    <vt:lpwstr>en":"Mario"},{"family":"Stone","given":"Thomas"},{"family":"Tallon","given":"John J."},{"family":"Venkatapuram","given":"Sreeharsha S."},{"family":"Vidovic","given":"Dusica"},{"family":"Williams","given":"Sion L."},{"family":"Young","given":"Benjamin"},{"</vt:lpwstr>
  </property>
  <property fmtid="{D5CDD505-2E9C-101B-9397-08002B2CF9AE}" pid="238" name="ZOTERO_BREF_nYGnFRNb8DKe_22">
    <vt:lpwstr>family":"Solo-Gabriele","given":"Helena M."}],"issued":{"date-parts":[["2021",12,1]]}}}],"schema":"https://github.com/citation-style-language/schema/raw/master/csl-citation.json"}</vt:lpwstr>
  </property>
  <property fmtid="{D5CDD505-2E9C-101B-9397-08002B2CF9AE}" pid="239" name="ZOTERO_BREF_nYGnFRNb8DKe_3">
    <vt:lpwstr>":"504-520","source":"pubs.rsc.org","title":"Reproducibility and sensitivity of 36 methods to quantify the SARS-CoV-2 genetic signal in raw wastewater: findings from an interlaboratory methods evaluation in the U.S.","title-short":"Reproducibility and sen</vt:lpwstr>
  </property>
  <property fmtid="{D5CDD505-2E9C-101B-9397-08002B2CF9AE}" pid="240" name="ZOTERO_BREF_nYGnFRNb8DKe_4">
    <vt:lpwstr>sitivity of 36 methods to quantify the SARS-CoV-2 genetic signal in raw wastewater","volume":"7","author":[{"family":"M. Pecson","given":"Brian"},{"family":"Darby","given":"Emily"},{"family":"N. Haas","given":"Charles"},{"family":"M. Amha","given":"Yamrot</vt:lpwstr>
  </property>
  <property fmtid="{D5CDD505-2E9C-101B-9397-08002B2CF9AE}" pid="241" name="ZOTERO_BREF_nYGnFRNb8DKe_5">
    <vt:lpwstr>"},{"family":"Bartolo","given":"Mitchel"},{"family":"Danielson","given":"Richard"},{"family":"Dearborn","given":"Yeggie"},{"family":"Giovanni","given":"George Di"},{"family":"Ferguson","given":"Christobel"},{"family":"Fevig","given":"Stephanie"},{"family"</vt:lpwstr>
  </property>
  <property fmtid="{D5CDD505-2E9C-101B-9397-08002B2CF9AE}" pid="242" name="ZOTERO_BREF_nYGnFRNb8DKe_6">
    <vt:lpwstr>:"Gaddis","given":"Erica"},{"family":"Gray","given":"Donald"},{"family":"Lukasik","given":"George"},{"family":"Mull","given":"Bonnie"},{"family":"Olivas","given":"Liana"},{"family":"Olivieri","given":"Adam"},{"family":"Qu","given":"Yan"},{"family":"Consor</vt:lpwstr>
  </property>
  <property fmtid="{D5CDD505-2E9C-101B-9397-08002B2CF9AE}" pid="243" name="ZOTERO_BREF_nYGnFRNb8DKe_7">
    <vt:lpwstr>tium","given":"SARS-CoV-2 Interlaboratory"}],"issued":{"date-parts":[["2021"]]}}},{"id":8201,"uris":["http://zotero.org/users/4501344/items/3RHS7BDZ"],"uri":["http://zotero.org/users/4501344/items/3RHS7BDZ"],"itemData":{"id":8201,"type":"article-journal",</vt:lpwstr>
  </property>
  <property fmtid="{D5CDD505-2E9C-101B-9397-08002B2CF9AE}" pid="244" name="ZOTERO_BREF_nYGnFRNb8DKe_8">
    <vt:lpwstr>"abstract":"Standardized protocols for wastewater-based surveillance (WBS) for the RNA of SARS-CoV-2, the virus responsible for the current COVID-19 pandemic, are being developed and refined worldwide for early detection of disease outbreaks. We report he</vt:lpwstr>
  </property>
  <property fmtid="{D5CDD505-2E9C-101B-9397-08002B2CF9AE}" pid="245" name="ZOTERO_BREF_nYGnFRNb8DKe_9">
    <vt:lpwstr>re on lessons learned from establishing a WBS program for SARS-CoV-2 integrated with a human surveillance program for COVID-19. We have established WBS at three campuses of a university, including student residential dormitories and a hospital that treats</vt:lpwstr>
  </property>
  <property fmtid="{D5CDD505-2E9C-101B-9397-08002B2CF9AE}" pid="246" name="ZOTERO_BREF_oVAgjCHKAsc0_1">
    <vt:lpwstr>ZOTERO_ITEM CSL_CITATION {"citationID":"qKf4j2ID","properties":{"formattedCitation":"(8,9)","plainCitation":"(8,9)(8,9)","noteIndex":0},"citationItems":[{"id":6528,"uris":["http://zotero.org/users/4501344/items/ESHIRBH7"],"uri":["http://zotero.org/users/4</vt:lpwstr>
  </property>
  <property fmtid="{D5CDD505-2E9C-101B-9397-08002B2CF9AE}" pid="247" name="ZOTERO_BREF_oVAgjCHKAsc0_10">
    <vt:lpwstr>ld","given":"Wyatt"},{"family":"Omer","given":"Saad B."}],"issued":{"date-parts":[["2020",10]]}}},{"id":6526,"uris":["http://zotero.org/users/4501344/items/3VSE34L4"],"uri":["http://zotero.org/users/4501344/items/3VSE34L4"],"itemData":{"id":6526,"type":"a</vt:lpwstr>
  </property>
  <property fmtid="{D5CDD505-2E9C-101B-9397-08002B2CF9AE}" pid="248" name="ZOTERO_BREF_oVAgjCHKAsc0_11">
    <vt:lpwstr>rticle-journal","abstract":"&lt;p&gt;Wastewater monitoring for SARS-CoV-2 has been suggested as an epidemiological indicator of community infection dynamics and disease prevalence. We report wastewater viral RNA levels of SARS-CoV-2 in a major metropolis servin</vt:lpwstr>
  </property>
  <property fmtid="{D5CDD505-2E9C-101B-9397-08002B2CF9AE}" pid="249" name="ZOTERO_BREF_oVAgjCHKAsc0_12">
    <vt:lpwstr>g over 3.6 million people geographically spread over 39 distinct sampling sites. Viral RNA levels were followed weekly for 22 weeks, both before, during, and after a major surge in cases, and simultaneously by two independent laboratories. We found SARS-C</vt:lpwstr>
  </property>
  <property fmtid="{D5CDD505-2E9C-101B-9397-08002B2CF9AE}" pid="250" name="ZOTERO_BREF_oVAgjCHKAsc0_13">
    <vt:lpwstr>oV-2 RNA wastewater levels were a strong predictive indicator of trends in the nasal positivity rate two-weeks in advance. Furthermore, wastewater viral RNA loads demonstrated robust tracking of positivity rate for populations served by individual treatme</vt:lpwstr>
  </property>
  <property fmtid="{D5CDD505-2E9C-101B-9397-08002B2CF9AE}" pid="251" name="ZOTERO_BREF_oVAgjCHKAsc0_14">
    <vt:lpwstr>nt plants, findings which were used in real-time to make public health interventions, including deployment of testing and education strike teams.&lt;/p&gt;","container-title":"medRxiv","DOI":"10.1101/2020.11.04.20226191","language":"en","note":"publisher: Cold </vt:lpwstr>
  </property>
  <property fmtid="{D5CDD505-2E9C-101B-9397-08002B2CF9AE}" pid="252" name="ZOTERO_BREF_oVAgjCHKAsc0_15">
    <vt:lpwstr>Spring Harbor Laboratory Press","page":"2020.11.04.20226191","source":"www.medrxiv.org","title":"Wastewater Analysis of SARS-CoV-2 as a Predictive Metric of Positivity Rate for a Major Metropolis","author":[{"family":"Stadler","given":"L. B."},{"family":"</vt:lpwstr>
  </property>
  <property fmtid="{D5CDD505-2E9C-101B-9397-08002B2CF9AE}" pid="253" name="ZOTERO_BREF_oVAgjCHKAsc0_16">
    <vt:lpwstr>Ensor","given":"K. B."},{"family":"Clark","given":"J. R."},{"family":"Kalvapalle","given":"P."},{"family":"LaTurner","given":"Z. W."},{"family":"Mojica","given":"L."},{"family":"Terwilliger","given":"A."},{"family":"Zhuo","given":"Y."},{"family":"Ali","gi</vt:lpwstr>
  </property>
  <property fmtid="{D5CDD505-2E9C-101B-9397-08002B2CF9AE}" pid="254" name="ZOTERO_BREF_oVAgjCHKAsc0_17">
    <vt:lpwstr>ven":"P."},{"family":"Avadhanula","given":"V."},{"family":"Bertolusso","given":"R."},{"family":"Crosby","given":"T."},{"family":"Hernandez","given":"H."},{"family":"Hollstein","given":"M."},{"family":"Weesner","given":"K."},{"family":"Zong","given":"D. M.</vt:lpwstr>
  </property>
  <property fmtid="{D5CDD505-2E9C-101B-9397-08002B2CF9AE}" pid="255" name="ZOTERO_BREF_oVAgjCHKAsc0_18">
    <vt:lpwstr>"},{"family":"Persse","given":"D."},{"family":"Piedra","given":"P. A."},{"family":"Maresso","given":"A. W."},{"family":"Hopkins","given":"L."}],"issued":{"date-parts":[["2020",11,6]]}}}],"schema":"https://github.com/citation-style-language/schema/raw/mast</vt:lpwstr>
  </property>
  <property fmtid="{D5CDD505-2E9C-101B-9397-08002B2CF9AE}" pid="256" name="ZOTERO_BREF_oVAgjCHKAsc0_19">
    <vt:lpwstr>er/csl-citation.json"}</vt:lpwstr>
  </property>
  <property fmtid="{D5CDD505-2E9C-101B-9397-08002B2CF9AE}" pid="257" name="ZOTERO_BREF_oVAgjCHKAsc0_2">
    <vt:lpwstr>501344/items/ESHIRBH7"],"itemData":{"id":6528,"type":"article-journal","abstract":"We measured severe acute respiratory syndrome coronavirus 2 (SARS-CoV-2) RNA concentrations in primary sewage sludge in the New Haven, Connecticut, USA, metropolitan area d</vt:lpwstr>
  </property>
  <property fmtid="{D5CDD505-2E9C-101B-9397-08002B2CF9AE}" pid="258" name="ZOTERO_BREF_oVAgjCHKAsc0_3">
    <vt:lpwstr>uring the Coronavirus Disease 2019 (COVID-19) outbreak in Spring 2020. SARS-CoV-2 RNA was detected throughout the more than 10-week study and, when adjusted for time lags, tracked the rise and fall of cases seen in SARS-CoV-2 clinical test results and loc</vt:lpwstr>
  </property>
  <property fmtid="{D5CDD505-2E9C-101B-9397-08002B2CF9AE}" pid="259" name="ZOTERO_BREF_oVAgjCHKAsc0_4">
    <vt:lpwstr>al COVID-19 hospital admissions. Relative to these indicators, SARS-CoV-2 RNA concentrations in sludge were 0–2 d ahead of SARS-CoV-2 positive test results by date of specimen collection, 0–2 d ahead of the percentage of positive tests by date of specimen</vt:lpwstr>
  </property>
  <property fmtid="{D5CDD505-2E9C-101B-9397-08002B2CF9AE}" pid="260" name="ZOTERO_BREF_oVAgjCHKAsc0_5">
    <vt:lpwstr> collection, 1–4 d ahead of local hospital admissions and 6–8 d ahead of SARS-CoV-2 positive test results by reporting date. Our data show the utility of viral RNA monitoring in municipal wastewater for SARS-CoV-2 infection surveillance at a population-wi</vt:lpwstr>
  </property>
  <property fmtid="{D5CDD505-2E9C-101B-9397-08002B2CF9AE}" pid="261" name="ZOTERO_BREF_oVAgjCHKAsc0_6">
    <vt:lpwstr>de level. In communities facing a delay between specimen collection and the reporting of test results, immediate wastewater results can provide considerable advance notice of infection dynamics.","container-title":"Nature Biotechnology","DOI":"10.1038/s41</vt:lpwstr>
  </property>
  <property fmtid="{D5CDD505-2E9C-101B-9397-08002B2CF9AE}" pid="262" name="ZOTERO_BREF_oVAgjCHKAsc0_7">
    <vt:lpwstr>587-020-0684-z","ISSN":"1546-1696","issue":"10","language":"en","note":"number: 10\npublisher: Nature Publishing Group","page":"1164-1167","source":"www.nature.com","title":"Measurement of SARS-CoV-2 RNA in wastewater tracks community infection dynamics",</vt:lpwstr>
  </property>
  <property fmtid="{D5CDD505-2E9C-101B-9397-08002B2CF9AE}" pid="263" name="ZOTERO_BREF_oVAgjCHKAsc0_8">
    <vt:lpwstr>"volume":"38","author":[{"family":"Peccia","given":"Jordan"},{"family":"Zulli","given":"Alessandro"},{"family":"Brackney","given":"Doug E."},{"family":"Grubaugh","given":"Nathan D."},{"family":"Kaplan","given":"Edward H."},{"family":"Casanovas-Massana","g</vt:lpwstr>
  </property>
  <property fmtid="{D5CDD505-2E9C-101B-9397-08002B2CF9AE}" pid="264" name="ZOTERO_BREF_oVAgjCHKAsc0_9">
    <vt:lpwstr>iven":"Arnau"},{"family":"Ko","given":"Albert I."},{"family":"Malik","given":"Amyn A."},{"family":"Wang","given":"Dennis"},{"family":"Wang","given":"Mike"},{"family":"Warren","given":"Joshua L."},{"family":"Weinberger","given":"Daniel M."},{"family":"Arno</vt:lpwstr>
  </property>
  <property fmtid="{D5CDD505-2E9C-101B-9397-08002B2CF9AE}" pid="265" name="ZOTERO_BREF_pAh0RiDrzTDN_1">
    <vt:lpwstr>ZOTERO_ITEM CSL_CITATION {"citationID":"lllmIubh","properties":{"formattedCitation":"(19)","plainCitation":"(19)(19)","noteIndex":0},"citationItems":[{"id":8199,"uris":["http://zotero.org/users/4501344/items/HWG9HVRI"],"uri":["http://zotero.org/users/4501</vt:lpwstr>
  </property>
  <property fmtid="{D5CDD505-2E9C-101B-9397-08002B2CF9AE}" pid="266" name="ZOTERO_BREF_pAh0RiDrzTDN_2">
    <vt:lpwstr>344/items/HWG9HVRI"],"itemData":{"id":8199,"type":"article-journal","container-title":"Environmental Science: Water Research &amp; Technology","DOI":"10.1039/D0EW00946F","issue":"3","language":"en","note":"publisher: Royal Society of Chemistry","page":"504-52</vt:lpwstr>
  </property>
  <property fmtid="{D5CDD505-2E9C-101B-9397-08002B2CF9AE}" pid="267" name="ZOTERO_BREF_pAh0RiDrzTDN_3">
    <vt:lpwstr>0","source":"pubs.rsc.org","title":"Reproducibility and sensitivity of 36 methods to quantify the SARS-CoV-2 genetic signal in raw wastewater: findings from an interlaboratory methods evaluation in the U.S.","title-short":"Reproducibility and sensitivity </vt:lpwstr>
  </property>
  <property fmtid="{D5CDD505-2E9C-101B-9397-08002B2CF9AE}" pid="268" name="ZOTERO_BREF_pAh0RiDrzTDN_4">
    <vt:lpwstr>of 36 methods to quantify the SARS-CoV-2 genetic signal in raw wastewater","volume":"7","author":[{"family":"M. Pecson","given":"Brian"},{"family":"Darby","given":"Emily"},{"family":"N. Haas","given":"Charles"},{"family":"M. Amha","given":"Yamrot"},{"fami</vt:lpwstr>
  </property>
  <property fmtid="{D5CDD505-2E9C-101B-9397-08002B2CF9AE}" pid="269" name="ZOTERO_BREF_pAh0RiDrzTDN_5">
    <vt:lpwstr>ly":"Bartolo","given":"Mitchel"},{"family":"Danielson","given":"Richard"},{"family":"Dearborn","given":"Yeggie"},{"family":"Giovanni","given":"George Di"},{"family":"Ferguson","given":"Christobel"},{"family":"Fevig","given":"Stephanie"},{"family":"Gaddis"</vt:lpwstr>
  </property>
  <property fmtid="{D5CDD505-2E9C-101B-9397-08002B2CF9AE}" pid="270" name="ZOTERO_BREF_pAh0RiDrzTDN_6">
    <vt:lpwstr>,"given":"Erica"},{"family":"Gray","given":"Donald"},{"family":"Lukasik","given":"George"},{"family":"Mull","given":"Bonnie"},{"family":"Olivas","given":"Liana"},{"family":"Olivieri","given":"Adam"},{"family":"Qu","given":"Yan"},{"family":"Consortium","gi</vt:lpwstr>
  </property>
  <property fmtid="{D5CDD505-2E9C-101B-9397-08002B2CF9AE}" pid="271" name="ZOTERO_BREF_pAh0RiDrzTDN_7">
    <vt:lpwstr>ven":"SARS-CoV-2 Interlaboratory"}],"issued":{"date-parts":[["2021"]]}}}],"schema":"https://github.com/citation-style-language/schema/raw/master/csl-citation.json"}</vt:lpwstr>
  </property>
  <property fmtid="{D5CDD505-2E9C-101B-9397-08002B2CF9AE}" pid="272" name="ZOTERO_BREF_rnb1K9yOYeGA_1">
    <vt:lpwstr>ZOTERO_ITEM CSL_CITATION {"citationID":"AGTuGMGp","properties":{"formattedCitation":"(15)","plainCitation":"(15)(15)","noteIndex":0},"citationItems":[{"id":8169,"uris":["http://zotero.org/users/4501344/items/5YZH7IBK"],"uri":["http://zotero.org/users/4501</vt:lpwstr>
  </property>
  <property fmtid="{D5CDD505-2E9C-101B-9397-08002B2CF9AE}" pid="273" name="ZOTERO_BREF_rnb1K9yOYeGA_10">
    <vt:lpwstr>/www.medrxiv.org/content/10.1101/2021.07.31.21261425v1","author":[{"family":"Perkins","given":"T. Alex"},{"family":"Stephens","given":"Melissa"},{"family":"Barrios","given":"Wendy Alvarez"},{"family":"Cavany","given":"Sean"},{"family":"Rulli","given":"Liz</vt:lpwstr>
  </property>
  <property fmtid="{D5CDD505-2E9C-101B-9397-08002B2CF9AE}" pid="274" name="ZOTERO_BREF_rnb1K9yOYeGA_11">
    <vt:lpwstr>"},{"family":"Pfrender","given":"Michael E."}],"accessed":{"date-parts":[["2021",10,2]]},"issued":{"date-parts":[["2021",8,2]]}}}],"schema":"https://github.com/citation-style-language/schema/raw/master/csl-citation.json"}</vt:lpwstr>
  </property>
  <property fmtid="{D5CDD505-2E9C-101B-9397-08002B2CF9AE}" pid="275" name="ZOTERO_BREF_rnb1K9yOYeGA_2">
    <vt:lpwstr>344/items/5YZH7IBK"],"itemData":{"id":8169,"type":"report","abstract":"Accurate tests for severe acute respiratory syndrome coronavirus 2 (SARS-CoV-2) have been critical in efforts to control its spread. The accuracy of molecular tests for SARS-CoV-2 has </vt:lpwstr>
  </property>
  <property fmtid="{D5CDD505-2E9C-101B-9397-08002B2CF9AE}" pid="276" name="ZOTERO_BREF_rnb1K9yOYeGA_3">
    <vt:lpwstr>been assessed numerous times, usually in reference to a gold standard diagnosis. One major disadvantage of that approach is the possibility of error due to inaccuracy of the gold standard, which is especially problematic for evaluating testing in a real-w</vt:lpwstr>
  </property>
  <property fmtid="{D5CDD505-2E9C-101B-9397-08002B2CF9AE}" pid="277" name="ZOTERO_BREF_rnb1K9yOYeGA_4">
    <vt:lpwstr>orld surveillance context. We used an alternative approach known as Bayesian latent class modeling (BLCM), which circumvents the need to designate a gold standard by simultaneously estimating the accuracy of multiple tests. We applied this technique to a </vt:lpwstr>
  </property>
  <property fmtid="{D5CDD505-2E9C-101B-9397-08002B2CF9AE}" pid="278" name="ZOTERO_BREF_rnb1K9yOYeGA_5">
    <vt:lpwstr>collection of 1,716 tests of three types applied to 853 individuals on a university campus during a one-week period in October 2020. We found that reverse transcriptase polymerase chain reaction (RT-PCR) testing of saliva samples performed at a campus fac</vt:lpwstr>
  </property>
  <property fmtid="{D5CDD505-2E9C-101B-9397-08002B2CF9AE}" pid="279" name="ZOTERO_BREF_rnb1K9yOYeGA_6">
    <vt:lpwstr>ility had higher sensitivity (median: 0.923; 95% credible interval: 0.732-0.996) than RT-PCR testing of nasal samples performed at a commercial facility (median: 0.859; 95% CrI: 0.547-0.994). The reverse was true for specificity, although the specificity </vt:lpwstr>
  </property>
  <property fmtid="{D5CDD505-2E9C-101B-9397-08002B2CF9AE}" pid="280" name="ZOTERO_BREF_rnb1K9yOYeGA_7">
    <vt:lpwstr>of saliva testing was still very high (median: 0.993; 95% CrI: 0.983-0.999). An antigen test was less sensitive and specific than both of the RT-PCR tests. These results suggest that RT-PCR testing of saliva samples at a campus facility can be an effectiv</vt:lpwstr>
  </property>
  <property fmtid="{D5CDD505-2E9C-101B-9397-08002B2CF9AE}" pid="281" name="ZOTERO_BREF_rnb1K9yOYeGA_8">
    <vt:lpwstr>e basis for surveillance screening to prevent SARS-CoV-2 transmission in a university setting.","language":"en","note":"Company: Cold Spring Harbor Laboratory Press\nDOI: 10.1101/2021.07.31.21261425\nDistributor: Cold Spring Harbor Laboratory Press\nLabel</vt:lpwstr>
  </property>
  <property fmtid="{D5CDD505-2E9C-101B-9397-08002B2CF9AE}" pid="282" name="ZOTERO_BREF_rnb1K9yOYeGA_9">
    <vt:lpwstr>: Cold Spring Harbor Laboratory Press\ntype: article","page":"2021.07.31.21261425","source":"medRxiv","title":"Performance of three molecular tests for SARS-CoV-2 on a university campus estimated jointly with Bayesian latent class modeling","URL":"https:/</vt:lpwstr>
  </property>
  <property fmtid="{D5CDD505-2E9C-101B-9397-08002B2CF9AE}" pid="283" name="ZOTERO_BREF_ttcnDtfICM9n_1">
    <vt:lpwstr>ZOTERO_ITEM CSL_CITATION {"citationID":"xwtTTY6V","properties":{"formattedCitation":"(13)","plainCitation":"(13)(13)","noteIndex":0},"citationItems":[{"id":6827,"uris":["http://zotero.org/users/4501344/items/4DUL2YDW"],"uri":["http://zotero.org/users/4501</vt:lpwstr>
  </property>
  <property fmtid="{D5CDD505-2E9C-101B-9397-08002B2CF9AE}" pid="284" name="ZOTERO_BREF_ttcnDtfICM9n_2">
    <vt:lpwstr>344/items/4DUL2YDW"],"itemData":{"id":6827,"type":"article-journal","abstract":"Institutions of higher education adopted different approaches for the fall semester 2020 in response to the coronavirus disease 2019 (COVID-19) pandemic.","container-title":"M</vt:lpwstr>
  </property>
  <property fmtid="{D5CDD505-2E9C-101B-9397-08002B2CF9AE}" pid="285" name="ZOTERO_BREF_ttcnDtfICM9n_3">
    <vt:lpwstr>MWR. Morbidity and Mortality Weekly Report","DOI":"10.15585/mmwr.mm7004a3","ISSN":"0149-21951545-861X","journalAbbreviation":"MMWR Morb Mortal Wkly Rep","language":"en-us","source":"www.cdc.gov","title":"Response to a COVID-19 Outbreak on a University Cam</vt:lpwstr>
  </property>
  <property fmtid="{D5CDD505-2E9C-101B-9397-08002B2CF9AE}" pid="286" name="ZOTERO_BREF_ttcnDtfICM9n_4">
    <vt:lpwstr>pus — Indiana, August 2020","URL":"https://www.cdc.gov/mmwr/volumes/70/wr/mm7004a3.htm","volume":"70","author":[{"family":"Fox","given":"Mark D."}],"accessed":{"date-parts":[["2021",1,28]]},"issued":{"date-parts":[["2021"]]}}}],"schema":"https://github.co</vt:lpwstr>
  </property>
  <property fmtid="{D5CDD505-2E9C-101B-9397-08002B2CF9AE}" pid="287" name="ZOTERO_BREF_ttcnDtfICM9n_5">
    <vt:lpwstr>m/citation-style-language/schema/raw/master/csl-citation.json"}</vt:lpwstr>
  </property>
  <property fmtid="{D5CDD505-2E9C-101B-9397-08002B2CF9AE}" pid="288" name="ZOTERO_BREF_ucL9nCuiVMHd_1">
    <vt:lpwstr>ZOTERO_ITEM CSL_CITATION {"citationID":"7ZTUPIat","properties":{"formattedCitation":"(30)","plainCitation":"(30)(30)","noteIndex":0},"citationItems":[{"id":7257,"uris":["http://zotero.org/users/4501344/items/BREVM3KL"],"uri":["http://zotero.org/users/4501</vt:lpwstr>
  </property>
  <property fmtid="{D5CDD505-2E9C-101B-9397-08002B2CF9AE}" pid="289" name="ZOTERO_BREF_ucL9nCuiVMHd_10">
    <vt:lpwstr>ily":"Corzon","given":"Alex Tuñas"},{"family":"Ganesanandamoorthy","given":"Pravin"},{"family":"Lemaitre","given":"Joseph C."},{"family":"Ort","given":"Christoph"},{"family":"Julian","given":"Timothy R."},{"family":"Kohn","given":"Tamar"}],"issued":{"date</vt:lpwstr>
  </property>
  <property fmtid="{D5CDD505-2E9C-101B-9397-08002B2CF9AE}" pid="290" name="ZOTERO_BREF_ucL9nCuiVMHd_11">
    <vt:lpwstr>-parts":[["2021",3,26]]}}}],"schema":"https://github.com/citation-style-language/schema/raw/master/csl-citation.json"}</vt:lpwstr>
  </property>
  <property fmtid="{D5CDD505-2E9C-101B-9397-08002B2CF9AE}" pid="291" name="ZOTERO_BREF_ucL9nCuiVMHd_2">
    <vt:lpwstr>344/items/BREVM3KL"],"itemData":{"id":7257,"type":"article-journal","abstract":"&lt;h3&gt;Abstract&lt;/h3&gt; &lt;p&gt;Wastewater-based epidemiology (WBE) has been shown to coincide with, or anticipate, confirmed COVID-19 case numbers. During periods with high test positiv</vt:lpwstr>
  </property>
  <property fmtid="{D5CDD505-2E9C-101B-9397-08002B2CF9AE}" pid="292" name="ZOTERO_BREF_ucL9nCuiVMHd_3">
    <vt:lpwstr>ity rates, however, case numbers may be underreported, whereas wastewater does not suffer from this limitation. Here we investigated how the dynamics of new COVID-19 infections estimated based on wastewater monitoring or confirmed cases compare to true CO</vt:lpwstr>
  </property>
  <property fmtid="{D5CDD505-2E9C-101B-9397-08002B2CF9AE}" pid="293" name="ZOTERO_BREF_ucL9nCuiVMHd_4">
    <vt:lpwstr>VID-19 incidence dynamics. We focused on the first pandemic wave in Switzerland (February to April, 2020), when test positivity ranged up to 26%. SARS-CoV-2 RNA loads were determined 2-4 times per week in three Swiss wastewater treatment plants (Lugano, L</vt:lpwstr>
  </property>
  <property fmtid="{D5CDD505-2E9C-101B-9397-08002B2CF9AE}" pid="294" name="ZOTERO_BREF_ucL9nCuiVMHd_5">
    <vt:lpwstr>ausanne and Zurich). Wastewater and case data were combined with a shedding load distribution and an infection-to-case confirmation delay distribution, respectively, to estimate incidence dynamics. Finally, the estimates were compared to reference inciden</vt:lpwstr>
  </property>
  <property fmtid="{D5CDD505-2E9C-101B-9397-08002B2CF9AE}" pid="295" name="ZOTERO_BREF_ucL9nCuiVMHd_6">
    <vt:lpwstr>ce dynamics determined by a validated compartmental model. Incidence dynamics estimated based on wastewater data were found to better track the timing and shape of the reference infection peak compared to estimates based on confirmed cases. In contrast, c</vt:lpwstr>
  </property>
  <property fmtid="{D5CDD505-2E9C-101B-9397-08002B2CF9AE}" pid="296" name="ZOTERO_BREF_ucL9nCuiVMHd_7">
    <vt:lpwstr>ase confirmations provided a better estimate of the subsequent decline in infections. Under a regime of high-test positivity rates, WBE thus provides critical information that is complementary to clinical data to monitor the pandemic trajectory.&lt;/p&gt;","con</vt:lpwstr>
  </property>
  <property fmtid="{D5CDD505-2E9C-101B-9397-08002B2CF9AE}" pid="297" name="ZOTERO_BREF_ucL9nCuiVMHd_8">
    <vt:lpwstr>tainer-title":"medRxiv","DOI":"10.1101/2021.03.25.21254344","language":"en","note":"publisher: Cold Spring Harbor Laboratory Press","page":"2021.03.25.21254344","source":"www.medrxiv.org","title":"Wastewater monitoring outperforms case numbers as a tool t</vt:lpwstr>
  </property>
  <property fmtid="{D5CDD505-2E9C-101B-9397-08002B2CF9AE}" pid="298" name="ZOTERO_BREF_ucL9nCuiVMHd_9">
    <vt:lpwstr>o track COVID-19 incidence dynamics when test positivity rates are high","author":[{"family":"Fernandez-Cassi","given":"Xavier"},{"family":"Scheidegger","given":"Andreas"},{"family":"Bänziger","given":"Carola"},{"family":"Cariti","given":"Federica"},{"fam</vt:lpwstr>
  </property>
  <property fmtid="{D5CDD505-2E9C-101B-9397-08002B2CF9AE}" pid="299" name="ZOTERO_BREF_wGWyy2SNt0vd_1">
    <vt:lpwstr>ZOTERO_ITEM CSL_CITATION {"citationID":"EsGIKApZ","properties":{"formattedCitation":"(2\\uc0\\u8211{}5)","plainCitation":"(2–5)","noteIndex":0},"citationItems":[{"id":7127,"uris":["http://zotero.org/users/4501344/items/URTPQDJB"],"uri":["http://zotero.org</vt:lpwstr>
  </property>
  <property fmtid="{D5CDD505-2E9C-101B-9397-08002B2CF9AE}" pid="300" name="ZOTERO_BREF_wGWyy2SNt0vd_10">
    <vt:lpwstr>,"uris":["http://zotero.org/users/4501344/items/A6PK3XTA"],"uri":["http://zotero.org/users/4501344/items/A6PK3XTA"],"itemData":{"id":7357,"type":"article-journal","abstract":"Diagnostic testing to identify persons infected with severe acute respiratory sy</vt:lpwstr>
  </property>
  <property fmtid="{D5CDD505-2E9C-101B-9397-08002B2CF9AE}" pid="301" name="ZOTERO_BREF_wGWyy2SNt0vd_11">
    <vt:lpwstr>ndrome-related coronavirus 2 (SARS-CoV-2) infection is central to control the global pandemic of COVID-19 that began in late 2019. In a few countries, the use of diagnostic testing on a massive scale has been a cornerstone of successful containment strate</vt:lpwstr>
  </property>
  <property fmtid="{D5CDD505-2E9C-101B-9397-08002B2CF9AE}" pid="302" name="ZOTERO_BREF_wGWyy2SNt0vd_12">
    <vt:lpwstr>gies. In contrast, the United States, hampered by limited testing capacity, has prioritized testing for specific groups of persons. Real-time reverse transcriptase polymerase chain reaction-based assays performed in a laboratory on respiratory specimens a</vt:lpwstr>
  </property>
  <property fmtid="{D5CDD505-2E9C-101B-9397-08002B2CF9AE}" pid="303" name="ZOTERO_BREF_wGWyy2SNt0vd_13">
    <vt:lpwstr>re the reference standard for COVID-19 diagnostics. However, point-of-care technologies and serologic immunoassays are rapidly emerging. Although excellent tools exist for the diagnosis of symptomatic patients in well-equipped laboratories, important gaps</vt:lpwstr>
  </property>
  <property fmtid="{D5CDD505-2E9C-101B-9397-08002B2CF9AE}" pid="304" name="ZOTERO_BREF_wGWyy2SNt0vd_14">
    <vt:lpwstr> remain in screening asymptomatic persons in the incubation phase, as well as in the accurate determination of live viral shedding during convalescence to inform decisions to end isolation. Many affluent countries have encountered challenges in test deliv</vt:lpwstr>
  </property>
  <property fmtid="{D5CDD505-2E9C-101B-9397-08002B2CF9AE}" pid="305" name="ZOTERO_BREF_wGWyy2SNt0vd_15">
    <vt:lpwstr>ery and specimen collection that have inhibited rapid increases in testing capacity. These challenges may be even greater in low-resource settings. Urgent clinical and public health needs currently drive an unprecedented global effort to increase testing </vt:lpwstr>
  </property>
  <property fmtid="{D5CDD505-2E9C-101B-9397-08002B2CF9AE}" pid="306" name="ZOTERO_BREF_wGWyy2SNt0vd_16">
    <vt:lpwstr>capacity for SARS-CoV-2 infection. Here, the authors review the current array of tests for SARS-CoV-2, highlight gaps in current diagnostic capacity, and propose potential solutions.","container-title":"Annals of Internal Medicine","DOI":"10.7326/M20-1301</vt:lpwstr>
  </property>
  <property fmtid="{D5CDD505-2E9C-101B-9397-08002B2CF9AE}" pid="307" name="ZOTERO_BREF_wGWyy2SNt0vd_17">
    <vt:lpwstr>","ISSN":"1539-3704","issue":"11","journalAbbreviation":"Ann Intern Med","language":"eng","note":"PMID: 32282894\nPMCID: PMC7170415","page":"726-734","source":"PubMed","title":"Diagnostic Testing for Severe Acute Respiratory Syndrome-Related Coronavirus 2</vt:lpwstr>
  </property>
  <property fmtid="{D5CDD505-2E9C-101B-9397-08002B2CF9AE}" pid="308" name="ZOTERO_BREF_wGWyy2SNt0vd_18">
    <vt:lpwstr>: A Narrative Review","title-short":"Diagnostic Testing for Severe Acute Respiratory Syndrome-Related Coronavirus 2","volume":"172","author":[{"family":"Cheng","given":"Matthew P."},{"family":"Papenburg","given":"Jesse"},{"family":"Desjardins","given":"Mi</vt:lpwstr>
  </property>
  <property fmtid="{D5CDD505-2E9C-101B-9397-08002B2CF9AE}" pid="309" name="ZOTERO_BREF_wGWyy2SNt0vd_19">
    <vt:lpwstr>chaël"},{"family":"Kanjilal","given":"Sanjat"},{"family":"Quach","given":"Caroline"},{"family":"Libman","given":"Michael"},{"family":"Dittrich","given":"Sabine"},{"family":"Yansouni","given":"Cedric P."}],"issued":{"date-parts":[["2020",6,2]]}}},{"id":736</vt:lpwstr>
  </property>
  <property fmtid="{D5CDD505-2E9C-101B-9397-08002B2CF9AE}" pid="310" name="ZOTERO_BREF_wGWyy2SNt0vd_2">
    <vt:lpwstr>/users/4501344/items/URTPQDJB"],"itemData":{"id":7127,"type":"article-journal","abstract":"Estimates of the reproductive number for novel pathogens such as severe acute respiratory syndrome coronavirus 2 are essential for understanding the potential traje</vt:lpwstr>
  </property>
  <property fmtid="{D5CDD505-2E9C-101B-9397-08002B2CF9AE}" pid="311" name="ZOTERO_BREF_wGWyy2SNt0vd_20">
    <vt:lpwstr>0,"uris":["http://zotero.org/users/4501344/items/537ZQZIN"],"uri":["http://zotero.org/users/4501344/items/537ZQZIN"],"itemData":{"id":7360,"type":"article-journal","abstract":"&lt;h3&gt;Abstract&lt;/h3&gt; &lt;p&gt;During a fast-moving epidemic, timely monitoring of case c</vt:lpwstr>
  </property>
  <property fmtid="{D5CDD505-2E9C-101B-9397-08002B2CF9AE}" pid="312" name="ZOTERO_BREF_wGWyy2SNt0vd_21">
    <vt:lpwstr>ounts and other key indicators of disease spread is critical to an effective public policy response. We describe a nonparametric statistical method – originally applied to the reporting of AIDS cases in the 1980s – to estimate the distribution of reportin</vt:lpwstr>
  </property>
  <property fmtid="{D5CDD505-2E9C-101B-9397-08002B2CF9AE}" pid="313" name="ZOTERO_BREF_wGWyy2SNt0vd_22">
    <vt:lpwstr>g delays of confirmed COVID-19 cases in New York City. During June 21 – August 1, 2020, the estimated mean delay in reporting was 5 days, with 15 percent of cases reported after 10 or more days. Relying upon the estimated reporting-delay distribution, we </vt:lpwstr>
  </property>
  <property fmtid="{D5CDD505-2E9C-101B-9397-08002B2CF9AE}" pid="314" name="ZOTERO_BREF_wGWyy2SNt0vd_23">
    <vt:lpwstr>project COVID-19 incidence during the most recent three weeks as if each case had instead been reported on the same day that the underlying diagnostic test had been performed. The statistical method described here overcomes the problem of reporting delays</vt:lpwstr>
  </property>
  <property fmtid="{D5CDD505-2E9C-101B-9397-08002B2CF9AE}" pid="315" name="ZOTERO_BREF_wGWyy2SNt0vd_24">
    <vt:lpwstr> only at the population level. The method does not eliminate reporting delays at the individual level. That will require improvements in diagnostic technology, test availability, and specimen processing.&lt;/p&gt;&lt;p&gt;This study relies exclusively on publicly ava</vt:lpwstr>
  </property>
  <property fmtid="{D5CDD505-2E9C-101B-9397-08002B2CF9AE}" pid="316" name="ZOTERO_BREF_wGWyy2SNt0vd_25">
    <vt:lpwstr>ilable, aggregate health data that contain no individual identifiers. The author has no competing interests and no funding sources to declare. This article represents to the sole opinion of its author and does not necessarily represent the opinions of the</vt:lpwstr>
  </property>
  <property fmtid="{D5CDD505-2E9C-101B-9397-08002B2CF9AE}" pid="317" name="ZOTERO_BREF_wGWyy2SNt0vd_26">
    <vt:lpwstr> Massachusetts Institute of Technology, the National Bureau of Economic Research, Eisner Health, or any other organization.&lt;/p&gt;","container-title":"medRxiv","DOI":"10.1101/2020.08.02.20159418","language":"en","note":"publisher: Cold Spring Harbor Laborato</vt:lpwstr>
  </property>
  <property fmtid="{D5CDD505-2E9C-101B-9397-08002B2CF9AE}" pid="318" name="ZOTERO_BREF_wGWyy2SNt0vd_27">
    <vt:lpwstr>ry Press","page":"2020.08.02.20159418","source":"www.medrxiv.org","title":"Overcoming Reporting Delays Is Critical to Timely Epidemic Monitoring: The Case of COVID-19 in New York City","title-short":"Overcoming Reporting Delays Is Critical to Timely Epide</vt:lpwstr>
  </property>
  <property fmtid="{D5CDD505-2E9C-101B-9397-08002B2CF9AE}" pid="319" name="ZOTERO_BREF_wGWyy2SNt0vd_28">
    <vt:lpwstr>mic Monitoring","author":[{"family":"Harris","given":"Jeffrey E."}],"issued":{"date-parts":[["2020",8,4]]}}},{"id":7098,"uris":["http://zotero.org/users/4501344/items/KYCX37CX"],"uri":["http://zotero.org/users/4501344/items/KYCX37CX"],"itemData":{"id":709</vt:lpwstr>
  </property>
  <property fmtid="{D5CDD505-2E9C-101B-9397-08002B2CF9AE}" pid="320" name="ZOTERO_BREF_wGWyy2SNt0vd_29">
    <vt:lpwstr>8,"type":"article-journal","abstract":"By March 2020, COVID-19 led to thousands of deaths and disrupted economic activity worldwide. As a result of narrow case definitions and limited capacity for testing, the number of unobserved severe acute respiratory</vt:lpwstr>
  </property>
  <property fmtid="{D5CDD505-2E9C-101B-9397-08002B2CF9AE}" pid="321" name="ZOTERO_BREF_wGWyy2SNt0vd_3">
    <vt:lpwstr>ctory of the epidemic and the level of intervention that is needed to bring the epidemic under control. However, most methods for estimating the basic reproductive number (R0) and time-varying effective reproductive number (Rt) assume that the fraction of</vt:lpwstr>
  </property>
  <property fmtid="{D5CDD505-2E9C-101B-9397-08002B2CF9AE}" pid="322" name="ZOTERO_BREF_wGWyy2SNt0vd_30">
    <vt:lpwstr> syndrome coronavirus 2 (SARS-CoV-2) infections during its initial invasion of the United States remains unknown. We developed an approach for estimating the number of unobserved infections based on data that are commonly available shortly after the emerg</vt:lpwstr>
  </property>
  <property fmtid="{D5CDD505-2E9C-101B-9397-08002B2CF9AE}" pid="323" name="ZOTERO_BREF_wGWyy2SNt0vd_31">
    <vt:lpwstr>ence of a new infectious disease. The logic of our approach is, in essence, that there are bounds on the amount of exponential growth of new infections that can occur during the first few weeks after imported cases start appearing. Applying that logic to </vt:lpwstr>
  </property>
  <property fmtid="{D5CDD505-2E9C-101B-9397-08002B2CF9AE}" pid="324" name="ZOTERO_BREF_wGWyy2SNt0vd_32">
    <vt:lpwstr>data on imported cases and local deaths in the United States through 12 March, we estimated that 108,689 (95% posterior predictive interval [95% PPI]: 1,023 to 14,182,310) infections occurred in the United States by this date. By comparing the model’s pre</vt:lpwstr>
  </property>
  <property fmtid="{D5CDD505-2E9C-101B-9397-08002B2CF9AE}" pid="325" name="ZOTERO_BREF_wGWyy2SNt0vd_33">
    <vt:lpwstr>dictions of symptomatic infections with local cases reported over time, we obtained daily estimates of the proportion of symptomatic infections detected by surveillance. This revealed that detection of symptomatic infections decreased throughout February </vt:lpwstr>
  </property>
  <property fmtid="{D5CDD505-2E9C-101B-9397-08002B2CF9AE}" pid="326" name="ZOTERO_BREF_wGWyy2SNt0vd_34">
    <vt:lpwstr>as exponential growth of infections outpaced increases in testing. Between 24 February and 12 March, we estimated an increase in detection of symptomatic infections, which was strongly correlated (median: 0.98; 95% PPI: 0.66 to 0.98) with increases in tes</vt:lpwstr>
  </property>
  <property fmtid="{D5CDD505-2E9C-101B-9397-08002B2CF9AE}" pid="327" name="ZOTERO_BREF_wGWyy2SNt0vd_35">
    <vt:lpwstr>ting. These results suggest that testing was a major limiting factor in assessing the extent of SARS-CoV-2 transmission during its initial invasion of the United States.","container-title":"Proceedings of the National Academy of Sciences","DOI":"10.1073/p</vt:lpwstr>
  </property>
  <property fmtid="{D5CDD505-2E9C-101B-9397-08002B2CF9AE}" pid="328" name="ZOTERO_BREF_wGWyy2SNt0vd_36">
    <vt:lpwstr>nas.2005476117","ISSN":"0027-8424, 1091-6490","issue":"36","journalAbbreviation":"PNAS","language":"en","note":"publisher: National Academy of Sciences\nsection: Biological Sciences\nPMID: 32826332","page":"22597-22602","source":"www-pnas-org.proxy.librar</vt:lpwstr>
  </property>
  <property fmtid="{D5CDD505-2E9C-101B-9397-08002B2CF9AE}" pid="329" name="ZOTERO_BREF_wGWyy2SNt0vd_37">
    <vt:lpwstr>y.nd.edu","title":"Estimating unobserved SARS-CoV-2 infections in the United States","volume":"117","author":[{"family":"Perkins","given":"T. Alex"},{"family":"Cavany","given":"Sean M."},{"family":"Moore","given":"Sean M."},{"family":"Oidtman","given":"Ra</vt:lpwstr>
  </property>
  <property fmtid="{D5CDD505-2E9C-101B-9397-08002B2CF9AE}" pid="330" name="ZOTERO_BREF_wGWyy2SNt0vd_38">
    <vt:lpwstr>chel J."},{"family":"Lerch","given":"Anita"},{"family":"Poterek","given":"Marya"}],"issued":{"date-parts":[["2020",9,8]]}}}],"schema":"https://github.com/citation-style-language/schema/raw/master/csl-citation.json"}</vt:lpwstr>
  </property>
  <property fmtid="{D5CDD505-2E9C-101B-9397-08002B2CF9AE}" pid="331" name="ZOTERO_BREF_wGWyy2SNt0vd_4">
    <vt:lpwstr> cases detected and reported is constant through time. We explore the impact of secular changes in diagnostic testing and reporting on estimates of R0 and Rt using simulated data. We then compare these patterns to data on reported cases of coronavirus dis</vt:lpwstr>
  </property>
  <property fmtid="{D5CDD505-2E9C-101B-9397-08002B2CF9AE}" pid="332" name="ZOTERO_BREF_wGWyy2SNt0vd_5">
    <vt:lpwstr>ease and testing practices from different states in the United States from March 4 to August 30, 2020. We find that changes in testing practices and delays in reporting can result in biased estimates of R0 and Rt. Examination of changes in the daily numbe</vt:lpwstr>
  </property>
  <property fmtid="{D5CDD505-2E9C-101B-9397-08002B2CF9AE}" pid="333" name="ZOTERO_BREF_wGWyy2SNt0vd_6">
    <vt:lpwstr>r of tests conducted and the percent of patients testing positive may be helpful for identifying the potential direction of bias. Changes in diagnostic testing and reporting processes should be monitored and taken into consideration when interpreting esti</vt:lpwstr>
  </property>
  <property fmtid="{D5CDD505-2E9C-101B-9397-08002B2CF9AE}" pid="334" name="ZOTERO_BREF_wGWyy2SNt0vd_7">
    <vt:lpwstr>mates of the reproductive number of coronavirus disease.","container-title":"American Journal of Epidemiology","DOI":"10.1093/aje/kwab089","ISSN":"1476-6256","journalAbbreviation":"Am J Epidemiol","language":"eng","note":"PMID: 33831148","source":"PubMed"</vt:lpwstr>
  </property>
  <property fmtid="{D5CDD505-2E9C-101B-9397-08002B2CF9AE}" pid="335" name="ZOTERO_BREF_wGWyy2SNt0vd_8">
    <vt:lpwstr>,"title":"The Impact of Changes in Diagnostic Testing Practices on Estimates of COVID-19 Transmission in the United States","author":[{"family":"Pitzer","given":"Virginia E."},{"family":"Chitwood","given":"Melanie"},{"family":"Havumaki","given":"Joshua"},</vt:lpwstr>
  </property>
  <property fmtid="{D5CDD505-2E9C-101B-9397-08002B2CF9AE}" pid="336" name="ZOTERO_BREF_wGWyy2SNt0vd_9">
    <vt:lpwstr>{"family":"Menzies","given":"Nicolas A."},{"family":"Perniciaro","given":"Stephanie"},{"family":"Warren","given":"Joshua L."},{"family":"Weinberger","given":"Daniel M."},{"family":"Cohen","given":"Ted"}],"issued":{"date-parts":[["2021",4,8]]}}},{"id":7357</vt:lpwstr>
  </property>
  <property fmtid="{D5CDD505-2E9C-101B-9397-08002B2CF9AE}" pid="337" name="ZOTERO_BREF_wkLvgEg0ach5_1">
    <vt:lpwstr>ZOTERO_ITEM CSL_CITATION {"citationID":"atiM6SZ3","properties":{"formattedCitation":"(20)","plainCitation":"(20)(20)","noteIndex":0},"citationItems":[{"id":4550,"uris":["http://zotero.org/users/4501344/items/X9ZEPEVZ"],"uri":["http://zotero.org/users/4501</vt:lpwstr>
  </property>
  <property fmtid="{D5CDD505-2E9C-101B-9397-08002B2CF9AE}" pid="338" name="ZOTERO_BREF_wkLvgEg0ach5_2">
    <vt:lpwstr>344/items/X9ZEPEVZ"],"itemData":{"id":4550,"type":"article-journal","container-title":"Annals of Internal Medicine","DOI":"10.7326/M20-0504","ISSN":"0003-4819","issue":"9","journalAbbreviation":"Ann Intern Med","language":"en","page":"577","source":"DOI.o</vt:lpwstr>
  </property>
  <property fmtid="{D5CDD505-2E9C-101B-9397-08002B2CF9AE}" pid="339" name="ZOTERO_BREF_wkLvgEg0ach5_3">
    <vt:lpwstr>rg (Crossref)","title":"The Incubation Period of Coronavirus Disease 2019 (COVID-19) From Publicly Reported Confirmed Cases: Estimation and Application","title-short":"The Incubation Period of Coronavirus Disease 2019 (COVID-19) From Publicly Reported Con</vt:lpwstr>
  </property>
  <property fmtid="{D5CDD505-2E9C-101B-9397-08002B2CF9AE}" pid="340" name="ZOTERO_BREF_wkLvgEg0ach5_4">
    <vt:lpwstr>firmed Cases","volume":"172","author":[{"family":"Lauer","given":"Stephen A."},{"family":"Grantz","given":"Kyra H."},{"family":"Bi","given":"Qifang"},{"family":"Jones","given":"Forrest K."},{"family":"Zheng","given":"Qulu"},{"family":"Meredith","given":"H</vt:lpwstr>
  </property>
  <property fmtid="{D5CDD505-2E9C-101B-9397-08002B2CF9AE}" pid="341" name="ZOTERO_BREF_wkLvgEg0ach5_5">
    <vt:lpwstr>annah R."},{"family":"Azman","given":"Andrew S."},{"family":"Reich","given":"Nicholas G."},{"family":"Lessler","given":"Justin"}],"issued":{"date-parts":[["2020",5,5]]}}}],"schema":"https://github.com/citation-style-language/schema/raw/master/csl-citation</vt:lpwstr>
  </property>
  <property fmtid="{D5CDD505-2E9C-101B-9397-08002B2CF9AE}" pid="342" name="ZOTERO_BREF_wkLvgEg0ach5_6">
    <vt:lpwstr>.json"}</vt:lpwstr>
  </property>
  <property fmtid="{D5CDD505-2E9C-101B-9397-08002B2CF9AE}" pid="343" name="ZOTERO_BREF_xS2rnkE6JNgV_1">
    <vt:lpwstr>ZOTERO_ITEM CSL_CITATION {"citationID":"Sc3jTpTi","properties":{"formattedCitation":"(32,33)","plainCitation":"(32,33)(32,33)","noteIndex":0},"citationItems":[{"id":8196,"uris":["http://zotero.org/users/4501344/items/NXVY2EYN"],"uri":["http://zotero.org/u</vt:lpwstr>
  </property>
  <property fmtid="{D5CDD505-2E9C-101B-9397-08002B2CF9AE}" pid="344" name="ZOTERO_BREF_xS2rnkE6JNgV_10">
    <vt:lpwstr>that require quantities of virus to be excreted into the environment.","container-title":"Science of The Total Environment","DOI":"10.1016/j.scitotenv.2020.144549","ISSN":"0048-9697","journalAbbreviation":"Science of The Total Environment","language":"en"</vt:lpwstr>
  </property>
  <property fmtid="{D5CDD505-2E9C-101B-9397-08002B2CF9AE}" pid="345" name="ZOTERO_BREF_xS2rnkE6JNgV_11">
    <vt:lpwstr>,"page":"144549","source":"ScienceDirect","title":"Duration of SARS-CoV-2 viral shedding in faeces as a parameter for wastewater-based epidemiology: Re-analysis of patient data using a shedding dynamics model","title-short":"Duration of SARS-CoV-2 viral s</vt:lpwstr>
  </property>
  <property fmtid="{D5CDD505-2E9C-101B-9397-08002B2CF9AE}" pid="346" name="ZOTERO_BREF_xS2rnkE6JNgV_12">
    <vt:lpwstr>hedding in faeces as a parameter for wastewater-based epidemiology","volume":"769","author":[{"family":"Miura","given":"Fuminari"},{"family":"Kitajima","given":"Masaaki"},{"family":"Omori","given":"Ryosuke"}],"issued":{"date-parts":[["2021",5,15]]}}},{"id</vt:lpwstr>
  </property>
  <property fmtid="{D5CDD505-2E9C-101B-9397-08002B2CF9AE}" pid="347" name="ZOTERO_BREF_xS2rnkE6JNgV_13">
    <vt:lpwstr>":7169,"uris":["http://zotero.org/users/4501344/items/8J8U8CND"],"uri":["http://zotero.org/users/4501344/items/8J8U8CND"],"itemData":{"id":7169,"type":"article-journal","abstract":"Norovirus is the most frequent cause of acute infectious gastroenteritis a</vt:lpwstr>
  </property>
  <property fmtid="{D5CDD505-2E9C-101B-9397-08002B2CF9AE}" pid="348" name="ZOTERO_BREF_xS2rnkE6JNgV_14">
    <vt:lpwstr>nd it is difficult to control in crowded environments like hospitals and nursing homes. Transmission depends on oral intake of virus deposited in the environment by infectious subjects. Data from volunteer studies indicate that virus concentrations in sto</vt:lpwstr>
  </property>
  <property fmtid="{D5CDD505-2E9C-101B-9397-08002B2CF9AE}" pid="349" name="ZOTERO_BREF_xS2rnkE6JNgV_15">
    <vt:lpwstr>ol are highly variable, but systematic studies of the time-course of shedding and its individual variation are lacking. This paper quantifies norovirus shedding in a large population of 102 subjects, including asymptomatic shedders, and uses a longitudina</vt:lpwstr>
  </property>
  <property fmtid="{D5CDD505-2E9C-101B-9397-08002B2CF9AE}" pid="350" name="ZOTERO_BREF_xS2rnkE6JNgV_16">
    <vt:lpwstr>l model to generalize shedding patterns. Enhanced surveillance for studies of transmission of norovirus in hospital outbreaks has yielded a considerable number of faecal samples from symptomatic and asymptomatic shedders, both from patients and staff. Nor</vt:lpwstr>
  </property>
  <property fmtid="{D5CDD505-2E9C-101B-9397-08002B2CF9AE}" pid="351" name="ZOTERO_BREF_xS2rnkE6JNgV_17">
    <vt:lpwstr>ovirus concentrations were determined by real-time PCR. A quantitative dynamic model was fitted to the shedding data, in a multilevel Bayesian framework, to study the time-course of shedding and its variation. The results indicate that shedding in asympto</vt:lpwstr>
  </property>
  <property fmtid="{D5CDD505-2E9C-101B-9397-08002B2CF9AE}" pid="352" name="ZOTERO_BREF_xS2rnkE6JNgV_18">
    <vt:lpwstr>matic subjects is similar to that in symptomatic infections, both showing considerable variation in peak levels (average 105−109 /g faeces) as well as duration of virus shedding (average 8–60 days). Patients appear to shed higher numbers of virus than sta</vt:lpwstr>
  </property>
  <property fmtid="{D5CDD505-2E9C-101B-9397-08002B2CF9AE}" pid="353" name="ZOTERO_BREF_xS2rnkE6JNgV_19">
    <vt:lpwstr>ff, for slightly longer durations, but the differences are too small to be significant. Given equal shedding, the greater contribution of symptomatic cases to transmission must be caused by their higher efficiency in spreading these viruses. The results o</vt:lpwstr>
  </property>
  <property fmtid="{D5CDD505-2E9C-101B-9397-08002B2CF9AE}" pid="354" name="ZOTERO_BREF_xS2rnkE6JNgV_2">
    <vt:lpwstr>sers/4501344/items/NXVY2EYN"],"itemData":{"id":8196,"type":"article-journal","abstract":"Wastewater-based epidemiology (WBE) is one of the most promising approaches to effectively monitor the spread of COVID-19. The virus concentration in faeces and its t</vt:lpwstr>
  </property>
  <property fmtid="{D5CDD505-2E9C-101B-9397-08002B2CF9AE}" pid="355" name="ZOTERO_BREF_xS2rnkE6JNgV_20">
    <vt:lpwstr>f this study will be helpful for risk studies that need to quantify the deposition of virus in the environment.","container-title":"Epidemiology &amp; Infection","DOI":"10.1017/S095026881400274X","ISSN":"0950-2688, 1469-4409","issue":"8","language":"en","note</vt:lpwstr>
  </property>
  <property fmtid="{D5CDD505-2E9C-101B-9397-08002B2CF9AE}" pid="356" name="ZOTERO_BREF_xS2rnkE6JNgV_21">
    <vt:lpwstr>":"publisher: Cambridge University Press","page":"1710-1717","source":"Cambridge University Press","title":"Shedding of norovirus in symptomatic and asymptomatic infections","volume":"143","author":[{"family":"Teunis","given":"P. F. M."},{"family":"Sukhri</vt:lpwstr>
  </property>
  <property fmtid="{D5CDD505-2E9C-101B-9397-08002B2CF9AE}" pid="357" name="ZOTERO_BREF_xS2rnkE6JNgV_22">
    <vt:lpwstr>e","given":"F. H. A."},{"family":"Vennema","given":"H."},{"family":"Bogerman","given":"J."},{"family":"Beersma","given":"M. F. C."},{"family":"Koopmans","given":"M. P. G."}],"issued":{"date-parts":[["2015",6]]}}}],"schema":"https://github.com/citation-sty</vt:lpwstr>
  </property>
  <property fmtid="{D5CDD505-2E9C-101B-9397-08002B2CF9AE}" pid="358" name="ZOTERO_BREF_xS2rnkE6JNgV_23">
    <vt:lpwstr>le-language/schema/raw/master/csl-citation.json"}</vt:lpwstr>
  </property>
  <property fmtid="{D5CDD505-2E9C-101B-9397-08002B2CF9AE}" pid="359" name="ZOTERO_BREF_xS2rnkE6JNgV_3">
    <vt:lpwstr>emporal variations are essential information for WBE. While some clinical studies have reported SARS-CoV-2 concentrations in faeces, the value varies amongst patients and changes over time. The present study aimed to examine how the temporal variations in</vt:lpwstr>
  </property>
  <property fmtid="{D5CDD505-2E9C-101B-9397-08002B2CF9AE}" pid="360" name="ZOTERO_BREF_xS2rnkE6JNgV_4">
    <vt:lpwstr> the concentration of virus in faeces affect the monitoring of disease incidence. We reanalysed the experimental findings of clinical studies to estimate the duration of virus shedding and the faecal virus concentration. Available experimental data as of </vt:lpwstr>
  </property>
  <property fmtid="{D5CDD505-2E9C-101B-9397-08002B2CF9AE}" pid="361" name="ZOTERO_BREF_xS2rnkE6JNgV_5">
    <vt:lpwstr>23 October 2020 were collected. The viral shedding kinetics was modelled, and the dynamic model was fitted to the collected data by a Bayesian framework. Using posterior distributions, the duration of viral shedding and the concentration of virus copies i</vt:lpwstr>
  </property>
  <property fmtid="{D5CDD505-2E9C-101B-9397-08002B2CF9AE}" pid="362" name="ZOTERO_BREF_xS2rnkE6JNgV_6">
    <vt:lpwstr>n faeces over time were computed. We estimated the median concentration of SARS-CoV-2 in faeces as 3.4 (95% CrI: 0.24–6.5) log copies per gram-faeces over the shedding period, and our model implied that the duration of viral shedding was 26.0 days (95% Cr</vt:lpwstr>
  </property>
  <property fmtid="{D5CDD505-2E9C-101B-9397-08002B2CF9AE}" pid="363" name="ZOTERO_BREF_xS2rnkE6JNgV_7">
    <vt:lpwstr>I: 21.7–34.9), given the current standard quantification limit (Ct = 40). With simulated incidences, our results also indicated that a one-week delay between symptom onset and wastewater sampling increased the estimation of incidence by a factor of 17.2 (</vt:lpwstr>
  </property>
  <property fmtid="{D5CDD505-2E9C-101B-9397-08002B2CF9AE}" pid="364" name="ZOTERO_BREF_xS2rnkE6JNgV_8">
    <vt:lpwstr>i.e., 101.24 times higher). Our results demonstrated that the temporal variation in virus concentration in faeces affects microbial monitoring systems such as WBE. The present study also implied the need for adjusting the estimates of virus concentration </vt:lpwstr>
  </property>
  <property fmtid="{D5CDD505-2E9C-101B-9397-08002B2CF9AE}" pid="365" name="ZOTERO_BREF_xS2rnkE6JNgV_9">
    <vt:lpwstr>in faeces by incorporating the kinetics of unobserved concentrations. The method used in this study is easily implemented in further simulations; therefore, the results of this study might contribute to enhancing disease surveillance and risk assessments </vt:lpwstr>
  </property>
  <property fmtid="{D5CDD505-2E9C-101B-9397-08002B2CF9AE}" pid="366" name="ZOTERO_BREF_xajaEi4rDuMh_1">
    <vt:lpwstr>ZOTERO_ITEM CSL_CITATION {"citationID":"Lbmg2q3B","properties":{"formattedCitation":"(20)","plainCitation":"(20)(20)","noteIndex":0},"citationItems":[{"id":4550,"uris":["http://zotero.org/users/4501344/items/X9ZEPEVZ"],"uri":["http://zotero.org/users/4501</vt:lpwstr>
  </property>
  <property fmtid="{D5CDD505-2E9C-101B-9397-08002B2CF9AE}" pid="367" name="ZOTERO_BREF_xajaEi4rDuMh_2">
    <vt:lpwstr>344/items/X9ZEPEVZ"],"itemData":{"id":4550,"type":"article-journal","container-title":"Annals of Internal Medicine","DOI":"10.7326/M20-0504","ISSN":"0003-4819","issue":"9","journalAbbreviation":"Ann Intern Med","language":"en","page":"577","source":"DOI.o</vt:lpwstr>
  </property>
  <property fmtid="{D5CDD505-2E9C-101B-9397-08002B2CF9AE}" pid="368" name="ZOTERO_BREF_xajaEi4rDuMh_3">
    <vt:lpwstr>rg (Crossref)","title":"The Incubation Period of Coronavirus Disease 2019 (COVID-19) From Publicly Reported Confirmed Cases: Estimation and Application","title-short":"The Incubation Period of Coronavirus Disease 2019 (COVID-19) From Publicly Reported Con</vt:lpwstr>
  </property>
  <property fmtid="{D5CDD505-2E9C-101B-9397-08002B2CF9AE}" pid="369" name="ZOTERO_BREF_xajaEi4rDuMh_4">
    <vt:lpwstr>firmed Cases","volume":"172","author":[{"family":"Lauer","given":"Stephen A."},{"family":"Grantz","given":"Kyra H."},{"family":"Bi","given":"Qifang"},{"family":"Jones","given":"Forrest K."},{"family":"Zheng","given":"Qulu"},{"family":"Meredith","given":"H</vt:lpwstr>
  </property>
  <property fmtid="{D5CDD505-2E9C-101B-9397-08002B2CF9AE}" pid="370" name="ZOTERO_BREF_xajaEi4rDuMh_5">
    <vt:lpwstr>annah R."},{"family":"Azman","given":"Andrew S."},{"family":"Reich","given":"Nicholas G."},{"family":"Lessler","given":"Justin"}],"issued":{"date-parts":[["2020",5,5]]}}}],"schema":"https://github.com/citation-style-language/schema/raw/master/csl-citation</vt:lpwstr>
  </property>
  <property fmtid="{D5CDD505-2E9C-101B-9397-08002B2CF9AE}" pid="371" name="ZOTERO_BREF_xajaEi4rDuMh_6">
    <vt:lpwstr>.json"}</vt:lpwstr>
  </property>
  <property fmtid="{D5CDD505-2E9C-101B-9397-08002B2CF9AE}" pid="372" name="ZOTERO_PREF_1">
    <vt:lpwstr>&lt;data data-version="3" zotero-version="5.0.96.3"&gt;&lt;session id="FFBf2Cgl"/&gt;&lt;style id="http://www.zotero.org/styles/emerging-infectious-diseases" hasBibliography="1" bibliographyStyleHasBeenSet="1"/&gt;&lt;prefs&gt;&lt;pref name="fieldType" value="Bookmark"/&gt;&lt;/prefs&gt;&lt;/d</vt:lpwstr>
  </property>
  <property fmtid="{D5CDD505-2E9C-101B-9397-08002B2CF9AE}" pid="373" name="ZOTERO_PREF_2">
    <vt:lpwstr>ata&gt;</vt:lpwstr>
  </property>
</Properties>
</file>