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7FEF" w14:textId="23B44479" w:rsidR="00004113" w:rsidRDefault="00004113" w:rsidP="00004113">
      <w:pPr>
        <w:widowControl w:val="0"/>
        <w:spacing w:before="240" w:after="240"/>
        <w:rPr>
          <w:b/>
        </w:rPr>
      </w:pPr>
      <w:r>
        <w:rPr>
          <w:b/>
        </w:rPr>
        <w:t xml:space="preserve">Epidemiology and Infection </w:t>
      </w:r>
    </w:p>
    <w:p w14:paraId="775A961F" w14:textId="0EC06CF7" w:rsidR="00004113" w:rsidRPr="00004113" w:rsidRDefault="00004113" w:rsidP="00004113">
      <w:pPr>
        <w:widowControl w:val="0"/>
        <w:spacing w:before="240" w:after="240"/>
        <w:rPr>
          <w:b/>
        </w:rPr>
      </w:pPr>
      <w:r>
        <w:rPr>
          <w:b/>
        </w:rPr>
        <w:t xml:space="preserve">Leveraging serology to titrate immunization program functionality for diphtheria in Madagascar </w:t>
      </w:r>
    </w:p>
    <w:p w14:paraId="53E415AC" w14:textId="62432539" w:rsidR="00004113" w:rsidRPr="00CD3447" w:rsidRDefault="00004113" w:rsidP="00CD34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04113">
        <w:rPr>
          <w:rFonts w:eastAsia="Times New Roman"/>
          <w:color w:val="000000"/>
          <w:lang w:val="en-US"/>
        </w:rPr>
        <w:t>Solohery</w:t>
      </w:r>
      <w:proofErr w:type="spellEnd"/>
      <w:r w:rsidRPr="00004113">
        <w:rPr>
          <w:rFonts w:eastAsia="Times New Roman"/>
          <w:color w:val="000000"/>
          <w:lang w:val="en-US"/>
        </w:rPr>
        <w:t xml:space="preserve"> L </w:t>
      </w:r>
      <w:proofErr w:type="spellStart"/>
      <w:r w:rsidRPr="00004113">
        <w:rPr>
          <w:rFonts w:eastAsia="Times New Roman"/>
          <w:color w:val="000000"/>
          <w:lang w:val="en-US"/>
        </w:rPr>
        <w:t>Razafimahatratr</w:t>
      </w:r>
      <w:r w:rsidR="00CD3447">
        <w:rPr>
          <w:rFonts w:eastAsia="Times New Roman"/>
          <w:color w:val="000000"/>
          <w:lang w:val="en-US"/>
        </w:rPr>
        <w:t>a</w:t>
      </w:r>
      <w:proofErr w:type="spellEnd"/>
      <w:r w:rsidRPr="00004113">
        <w:rPr>
          <w:rFonts w:eastAsia="Times New Roman"/>
          <w:color w:val="000000"/>
          <w:lang w:val="en-US"/>
        </w:rPr>
        <w:t xml:space="preserve">, Arthur Menezes, Amy </w:t>
      </w:r>
      <w:proofErr w:type="spellStart"/>
      <w:r w:rsidRPr="00004113">
        <w:rPr>
          <w:rFonts w:eastAsia="Times New Roman"/>
          <w:color w:val="000000"/>
          <w:lang w:val="en-US"/>
        </w:rPr>
        <w:t>Wesolowski</w:t>
      </w:r>
      <w:proofErr w:type="spellEnd"/>
      <w:r w:rsidRPr="00004113">
        <w:rPr>
          <w:rFonts w:eastAsia="Times New Roman"/>
          <w:color w:val="000000"/>
          <w:lang w:val="en-US"/>
        </w:rPr>
        <w:t xml:space="preserve">, Lala Rafetrarivony, Simon </w:t>
      </w:r>
      <w:proofErr w:type="spellStart"/>
      <w:r w:rsidRPr="00004113">
        <w:rPr>
          <w:rFonts w:eastAsia="Times New Roman"/>
          <w:color w:val="000000"/>
          <w:lang w:val="en-US"/>
        </w:rPr>
        <w:t>Cauchemez</w:t>
      </w:r>
      <w:proofErr w:type="spellEnd"/>
      <w:r w:rsidRPr="00004113">
        <w:rPr>
          <w:rFonts w:eastAsia="Times New Roman"/>
          <w:color w:val="000000"/>
          <w:lang w:val="en-US"/>
        </w:rPr>
        <w:t xml:space="preserve">, Richter Razafindratsimandresy, </w:t>
      </w:r>
      <w:proofErr w:type="spellStart"/>
      <w:r w:rsidRPr="00004113">
        <w:rPr>
          <w:rFonts w:eastAsia="Times New Roman"/>
          <w:color w:val="000000"/>
          <w:lang w:val="en-US"/>
        </w:rPr>
        <w:t>Aina</w:t>
      </w:r>
      <w:proofErr w:type="spellEnd"/>
      <w:r w:rsidRPr="00004113">
        <w:rPr>
          <w:rFonts w:eastAsia="Times New Roman"/>
          <w:color w:val="000000"/>
          <w:lang w:val="en-US"/>
        </w:rPr>
        <w:t xml:space="preserve"> </w:t>
      </w:r>
      <w:proofErr w:type="spellStart"/>
      <w:r w:rsidRPr="00004113">
        <w:rPr>
          <w:rFonts w:eastAsia="Times New Roman"/>
          <w:color w:val="000000"/>
          <w:lang w:val="en-US"/>
        </w:rPr>
        <w:t>Harimanana</w:t>
      </w:r>
      <w:proofErr w:type="spellEnd"/>
      <w:r w:rsidRPr="00004113">
        <w:rPr>
          <w:rFonts w:eastAsia="Times New Roman"/>
          <w:color w:val="000000"/>
          <w:lang w:val="en-US"/>
        </w:rPr>
        <w:t xml:space="preserve">, Tania </w:t>
      </w:r>
      <w:proofErr w:type="spellStart"/>
      <w:r w:rsidRPr="00004113">
        <w:rPr>
          <w:rFonts w:eastAsia="Times New Roman"/>
          <w:color w:val="000000"/>
          <w:lang w:val="en-US"/>
        </w:rPr>
        <w:t>Crucitti</w:t>
      </w:r>
      <w:proofErr w:type="spellEnd"/>
      <w:r w:rsidRPr="00004113">
        <w:rPr>
          <w:rFonts w:eastAsia="Times New Roman"/>
          <w:color w:val="000000"/>
          <w:lang w:val="en-US"/>
        </w:rPr>
        <w:t>, Jean Marc Collard, CJE Metcalf</w:t>
      </w:r>
    </w:p>
    <w:p w14:paraId="44582E2B" w14:textId="05EFEF55" w:rsidR="00CD3447" w:rsidRDefault="00004113" w:rsidP="00004113">
      <w:pPr>
        <w:widowControl w:val="0"/>
        <w:spacing w:before="240" w:after="240"/>
        <w:rPr>
          <w:b/>
        </w:rPr>
      </w:pPr>
      <w:r>
        <w:rPr>
          <w:b/>
        </w:rPr>
        <w:t>Supplement</w:t>
      </w:r>
      <w:r w:rsidR="00CD3447">
        <w:rPr>
          <w:b/>
        </w:rPr>
        <w:t>ary Material</w:t>
      </w:r>
    </w:p>
    <w:p w14:paraId="736BDB5F" w14:textId="77777777" w:rsidR="00004113" w:rsidRDefault="00004113" w:rsidP="00004113">
      <w:pPr>
        <w:widowControl w:val="0"/>
        <w:spacing w:before="240" w:after="240"/>
        <w:rPr>
          <w:b/>
          <w:color w:val="0000FF"/>
        </w:rPr>
      </w:pPr>
      <w:r>
        <w:rPr>
          <w:b/>
          <w:color w:val="0000FF"/>
        </w:rPr>
        <w:t xml:space="preserve">Supplementary Text </w:t>
      </w:r>
    </w:p>
    <w:p w14:paraId="0BCBC892" w14:textId="77777777" w:rsidR="00004113" w:rsidRDefault="00004113" w:rsidP="00004113">
      <w:pPr>
        <w:widowControl w:val="0"/>
        <w:spacing w:before="240" w:after="240"/>
        <w:rPr>
          <w:b/>
          <w:color w:val="0000FF"/>
        </w:rPr>
      </w:pPr>
      <w:r>
        <w:rPr>
          <w:b/>
          <w:color w:val="0000FF"/>
        </w:rPr>
        <w:t>Methods</w:t>
      </w:r>
    </w:p>
    <w:p w14:paraId="23DA42A9" w14:textId="3C5CCCEC" w:rsidR="00004113" w:rsidRDefault="003C2D1C" w:rsidP="00004113">
      <w:pPr>
        <w:widowControl w:val="0"/>
        <w:spacing w:before="240" w:after="240"/>
        <w:rPr>
          <w:b/>
          <w:color w:val="0000FF"/>
        </w:rPr>
      </w:pPr>
      <w:r>
        <w:rPr>
          <w:b/>
          <w:color w:val="0000FF"/>
        </w:rPr>
        <w:t xml:space="preserve">Supplementary Text </w:t>
      </w:r>
      <w:r w:rsidR="00887456">
        <w:rPr>
          <w:b/>
          <w:color w:val="0000FF"/>
        </w:rPr>
        <w:t>S</w:t>
      </w:r>
      <w:r w:rsidR="00004113">
        <w:rPr>
          <w:b/>
          <w:color w:val="0000FF"/>
        </w:rPr>
        <w:t>1. Study Sample</w:t>
      </w:r>
    </w:p>
    <w:p w14:paraId="073C1B06" w14:textId="77777777" w:rsidR="00004113" w:rsidRDefault="00004113" w:rsidP="00004113">
      <w:pPr>
        <w:spacing w:line="480" w:lineRule="auto"/>
        <w:rPr>
          <w:b/>
          <w:color w:val="0000FF"/>
        </w:rPr>
      </w:pPr>
      <w:r>
        <w:rPr>
          <w:color w:val="0000FF"/>
        </w:rPr>
        <w:t xml:space="preserve">Possession of a vaccination card and the associated data was recorded when available. The nutritional status of the children was defined based on a Z-score of weight-for-height </w:t>
      </w:r>
      <w:hyperlink r:id="rId5">
        <w:r>
          <w:rPr>
            <w:color w:val="000000"/>
          </w:rPr>
          <w:t>[46]</w:t>
        </w:r>
      </w:hyperlink>
      <w:r>
        <w:rPr>
          <w:rFonts w:ascii="Arial Unicode MS" w:eastAsia="Arial Unicode MS" w:hAnsi="Arial Unicode MS" w:cs="Arial Unicode MS"/>
          <w:color w:val="0000FF"/>
        </w:rPr>
        <w:t xml:space="preserve"> with moderate acute malnutrition (MAM) corresponding to a Z-score between -3 and −2 and severe acute malnutrition (SAM) corresponding to a Z-score below −3. Children normally nourished (NN) were defined based on a Z-score between -2 and 2. Measurements of Z-scores greater than or equal to 6 and less than or equal to -6 were discarded as likely measurement error. </w:t>
      </w:r>
    </w:p>
    <w:p w14:paraId="27E56F8D" w14:textId="77777777" w:rsidR="00004113" w:rsidRDefault="00004113" w:rsidP="00004113">
      <w:pPr>
        <w:widowControl w:val="0"/>
        <w:spacing w:before="240" w:after="240"/>
        <w:rPr>
          <w:b/>
          <w:color w:val="0000FF"/>
        </w:rPr>
      </w:pPr>
    </w:p>
    <w:p w14:paraId="27F53ACF" w14:textId="6DA7B5AF" w:rsidR="00004113" w:rsidRDefault="003C2D1C" w:rsidP="00004113">
      <w:pPr>
        <w:widowControl w:val="0"/>
        <w:spacing w:before="240" w:after="240"/>
        <w:rPr>
          <w:b/>
          <w:color w:val="0000FF"/>
        </w:rPr>
      </w:pPr>
      <w:r>
        <w:rPr>
          <w:b/>
          <w:color w:val="0000FF"/>
        </w:rPr>
        <w:t xml:space="preserve">Supplementary Text </w:t>
      </w:r>
      <w:r w:rsidR="00887456">
        <w:rPr>
          <w:b/>
          <w:color w:val="0000FF"/>
        </w:rPr>
        <w:t>S</w:t>
      </w:r>
      <w:r w:rsidR="00004113">
        <w:rPr>
          <w:b/>
          <w:color w:val="0000FF"/>
        </w:rPr>
        <w:t xml:space="preserve">2. Serological assay </w:t>
      </w:r>
    </w:p>
    <w:p w14:paraId="05DDCEBA" w14:textId="01BE7E08" w:rsidR="00004113" w:rsidRDefault="00004113" w:rsidP="00004113">
      <w:pPr>
        <w:spacing w:line="480" w:lineRule="auto"/>
        <w:rPr>
          <w:color w:val="0000FF"/>
        </w:rPr>
      </w:pPr>
      <w:r>
        <w:rPr>
          <w:color w:val="0000FF"/>
        </w:rPr>
        <w:t>We used a commercial Anti-Diphtheria Toxoid IgG ELISA (</w:t>
      </w:r>
      <w:proofErr w:type="spellStart"/>
      <w:r>
        <w:rPr>
          <w:color w:val="0000FF"/>
        </w:rPr>
        <w:t>Euroimmun</w:t>
      </w:r>
      <w:proofErr w:type="spellEnd"/>
      <w:r>
        <w:rPr>
          <w:color w:val="0000FF"/>
        </w:rPr>
        <w:t xml:space="preserve">, Germany) to measure diphtheria toxoid IgG-specific antibody levels. The reagent kit contains four ready-to-use calibrators - Calibrator 1 (2 International Units per Milliliter (IU/mL)), Calibrator 2 (1 IU/mL), Calibrator 3 (0.1 IU/mL), Calibrator 4 (0.01 IU/mL) for the determination of the IgG concentration and two control sera (one positive and one negative) for run validation. For the construction of </w:t>
      </w:r>
      <w:r>
        <w:rPr>
          <w:color w:val="0000FF"/>
        </w:rPr>
        <w:lastRenderedPageBreak/>
        <w:t xml:space="preserve">the calibration curve, the optical density (OD) of each calibrator (y-axis, linear) was plotted against its concentration (x-axis, logarithmic). </w:t>
      </w:r>
      <w:r>
        <w:rPr>
          <w:color w:val="0000FF"/>
          <w:highlight w:val="white"/>
        </w:rPr>
        <w:t>The sera were tested in a 1:101 dilution and results were classified into four groups: &lt;0.01 IU/mL ; 0.01-0.099 IU/mL ; 0.1-1.0 IU/mL ; &gt;1.0 IU/mL, according to the manufacturer's recommendation. The three last concentration groups (&gt;= 0.01 IU/mL) were considered to be protective against infection</w:t>
      </w:r>
      <w:r>
        <w:rPr>
          <w:color w:val="0000FF"/>
        </w:rPr>
        <w:t xml:space="preserve"> </w:t>
      </w:r>
      <w:hyperlink r:id="rId6">
        <w:r>
          <w:rPr>
            <w:color w:val="000000"/>
          </w:rPr>
          <w:t>[</w:t>
        </w:r>
        <w:r w:rsidR="00CD3447">
          <w:rPr>
            <w:color w:val="000000"/>
          </w:rPr>
          <w:t>1</w:t>
        </w:r>
        <w:r>
          <w:rPr>
            <w:color w:val="000000"/>
          </w:rPr>
          <w:t>]</w:t>
        </w:r>
      </w:hyperlink>
      <w:r>
        <w:rPr>
          <w:color w:val="0000FF"/>
        </w:rPr>
        <w:t>.</w:t>
      </w:r>
    </w:p>
    <w:p w14:paraId="32236764" w14:textId="13423EB3" w:rsidR="00CD3447" w:rsidRDefault="00CD3447" w:rsidP="00004113">
      <w:pPr>
        <w:spacing w:line="480" w:lineRule="auto"/>
        <w:rPr>
          <w:color w:val="0000FF"/>
        </w:rPr>
      </w:pPr>
    </w:p>
    <w:p w14:paraId="46FCC2C0" w14:textId="7E95A0EA" w:rsidR="00CD3447" w:rsidRDefault="00CD3447" w:rsidP="00004113">
      <w:pPr>
        <w:spacing w:line="480" w:lineRule="auto"/>
        <w:rPr>
          <w:color w:val="0000FF"/>
        </w:rPr>
      </w:pPr>
    </w:p>
    <w:p w14:paraId="3A993DE7" w14:textId="23E8905A" w:rsidR="00CD3447" w:rsidRDefault="00CD3447" w:rsidP="00004113">
      <w:pPr>
        <w:spacing w:line="480" w:lineRule="auto"/>
        <w:rPr>
          <w:color w:val="0000FF"/>
        </w:rPr>
      </w:pPr>
    </w:p>
    <w:p w14:paraId="2BF68079" w14:textId="2AAB6924" w:rsidR="00CD3447" w:rsidRDefault="00CD3447" w:rsidP="00004113">
      <w:pPr>
        <w:spacing w:line="480" w:lineRule="auto"/>
        <w:rPr>
          <w:color w:val="0000FF"/>
        </w:rPr>
      </w:pPr>
    </w:p>
    <w:p w14:paraId="0CED52FD" w14:textId="07955D46" w:rsidR="00CD3447" w:rsidRDefault="00CD3447" w:rsidP="00004113">
      <w:pPr>
        <w:spacing w:line="480" w:lineRule="auto"/>
        <w:rPr>
          <w:color w:val="0000FF"/>
        </w:rPr>
      </w:pPr>
    </w:p>
    <w:p w14:paraId="08280419" w14:textId="0231F95E" w:rsidR="00CD3447" w:rsidRDefault="00CD3447" w:rsidP="00004113">
      <w:pPr>
        <w:spacing w:line="480" w:lineRule="auto"/>
        <w:rPr>
          <w:color w:val="0000FF"/>
        </w:rPr>
      </w:pPr>
    </w:p>
    <w:p w14:paraId="52384D29" w14:textId="54F4F8B6" w:rsidR="00CD3447" w:rsidRDefault="00CD3447" w:rsidP="00004113">
      <w:pPr>
        <w:spacing w:line="480" w:lineRule="auto"/>
        <w:rPr>
          <w:color w:val="0000FF"/>
        </w:rPr>
      </w:pPr>
    </w:p>
    <w:p w14:paraId="54F62E4A" w14:textId="035AB45D" w:rsidR="00CD3447" w:rsidRDefault="00CD3447" w:rsidP="00004113">
      <w:pPr>
        <w:spacing w:line="480" w:lineRule="auto"/>
        <w:rPr>
          <w:color w:val="0000FF"/>
        </w:rPr>
      </w:pPr>
    </w:p>
    <w:p w14:paraId="49C60157" w14:textId="4C2E513A" w:rsidR="00CD3447" w:rsidRDefault="00CD3447" w:rsidP="00004113">
      <w:pPr>
        <w:spacing w:line="480" w:lineRule="auto"/>
        <w:rPr>
          <w:color w:val="0000FF"/>
        </w:rPr>
      </w:pPr>
    </w:p>
    <w:p w14:paraId="27EF0A1E" w14:textId="1863F7E5" w:rsidR="00CD3447" w:rsidRDefault="00CD3447" w:rsidP="00004113">
      <w:pPr>
        <w:spacing w:line="480" w:lineRule="auto"/>
        <w:rPr>
          <w:color w:val="0000FF"/>
        </w:rPr>
      </w:pPr>
    </w:p>
    <w:p w14:paraId="4E29BB3F" w14:textId="32013C6D" w:rsidR="00CD3447" w:rsidRDefault="00CD3447" w:rsidP="00004113">
      <w:pPr>
        <w:spacing w:line="480" w:lineRule="auto"/>
        <w:rPr>
          <w:color w:val="0000FF"/>
        </w:rPr>
      </w:pPr>
    </w:p>
    <w:p w14:paraId="7477E195" w14:textId="361615FA" w:rsidR="00CD3447" w:rsidRDefault="00CD3447" w:rsidP="00004113">
      <w:pPr>
        <w:spacing w:line="480" w:lineRule="auto"/>
        <w:rPr>
          <w:color w:val="0000FF"/>
        </w:rPr>
      </w:pPr>
    </w:p>
    <w:p w14:paraId="0855F39C" w14:textId="646F6EB4" w:rsidR="00CD3447" w:rsidRDefault="00CD3447" w:rsidP="00004113">
      <w:pPr>
        <w:spacing w:line="480" w:lineRule="auto"/>
        <w:rPr>
          <w:color w:val="0000FF"/>
        </w:rPr>
      </w:pPr>
    </w:p>
    <w:p w14:paraId="21F6D0BA" w14:textId="14B2212D" w:rsidR="00CD3447" w:rsidRDefault="00CD3447" w:rsidP="00004113">
      <w:pPr>
        <w:spacing w:line="480" w:lineRule="auto"/>
        <w:rPr>
          <w:color w:val="0000FF"/>
        </w:rPr>
      </w:pPr>
    </w:p>
    <w:p w14:paraId="10AF7844" w14:textId="36A59608" w:rsidR="00CD3447" w:rsidRDefault="00CD3447" w:rsidP="00004113">
      <w:pPr>
        <w:spacing w:line="480" w:lineRule="auto"/>
        <w:rPr>
          <w:color w:val="0000FF"/>
        </w:rPr>
      </w:pPr>
    </w:p>
    <w:p w14:paraId="097975C5" w14:textId="13A7B746" w:rsidR="00CD3447" w:rsidRDefault="00CD3447" w:rsidP="00004113">
      <w:pPr>
        <w:spacing w:line="480" w:lineRule="auto"/>
        <w:rPr>
          <w:color w:val="0000FF"/>
        </w:rPr>
      </w:pPr>
    </w:p>
    <w:p w14:paraId="242EAE74" w14:textId="77777777" w:rsidR="00CD3447" w:rsidRDefault="00CD3447" w:rsidP="00004113">
      <w:pPr>
        <w:spacing w:line="480" w:lineRule="auto"/>
        <w:rPr>
          <w:b/>
          <w:color w:val="0000FF"/>
        </w:rPr>
      </w:pPr>
    </w:p>
    <w:p w14:paraId="2950598A" w14:textId="4D4B31CF" w:rsidR="00004113" w:rsidRDefault="00004113" w:rsidP="00004113">
      <w:pPr>
        <w:widowControl w:val="0"/>
        <w:spacing w:before="240" w:after="240"/>
        <w:rPr>
          <w:b/>
        </w:rPr>
      </w:pPr>
    </w:p>
    <w:p w14:paraId="58C2B554" w14:textId="77777777" w:rsidR="006C6539" w:rsidRDefault="006C6539" w:rsidP="00004113">
      <w:pPr>
        <w:widowControl w:val="0"/>
        <w:spacing w:before="240" w:after="240"/>
        <w:rPr>
          <w:b/>
        </w:rPr>
      </w:pPr>
    </w:p>
    <w:p w14:paraId="2612F148" w14:textId="77777777" w:rsidR="00887456" w:rsidRDefault="00887456" w:rsidP="00004113">
      <w:pPr>
        <w:widowControl w:val="0"/>
        <w:spacing w:before="240" w:after="240"/>
        <w:rPr>
          <w:b/>
        </w:rPr>
      </w:pPr>
    </w:p>
    <w:p w14:paraId="148943EE" w14:textId="1F97740F" w:rsidR="00004113" w:rsidRDefault="00004113" w:rsidP="00004113">
      <w:pPr>
        <w:widowControl w:val="0"/>
        <w:spacing w:before="240" w:after="240"/>
        <w:rPr>
          <w:b/>
        </w:rPr>
      </w:pPr>
      <w:r>
        <w:rPr>
          <w:noProof/>
        </w:rPr>
        <w:lastRenderedPageBreak/>
        <w:drawing>
          <wp:anchor distT="114300" distB="114300" distL="114300" distR="114300" simplePos="0" relativeHeight="251659264" behindDoc="1" locked="0" layoutInCell="1" hidden="0" allowOverlap="1" wp14:anchorId="6A94BD1F" wp14:editId="67282BC5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5091113" cy="7508105"/>
            <wp:effectExtent l="0" t="0" r="0" b="0"/>
            <wp:wrapNone/>
            <wp:docPr id="5" name="image4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Tabl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113" cy="7508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FFCEDC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20AFC01D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1169EB7C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277BAA72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4E46AC4F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084D24D3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128A6921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62EFCC7C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2484A56A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0FCA8A5C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682A9D66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45E531D0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04B4D7A7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28C1C20A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2C3DBF18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57D8BDCE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30F6699E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783EADCF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179ECF1E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427C818C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3D82B4EC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5A638C23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380402B7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0CE904D2" w14:textId="60BD3CD6" w:rsidR="00004113" w:rsidRDefault="00004113" w:rsidP="00004113">
      <w:pPr>
        <w:widowControl w:val="0"/>
        <w:spacing w:before="240" w:after="240" w:line="480" w:lineRule="auto"/>
      </w:pPr>
      <w:r>
        <w:rPr>
          <w:b/>
        </w:rPr>
        <w:lastRenderedPageBreak/>
        <w:t xml:space="preserve">Supplementary Table </w:t>
      </w:r>
      <w:r w:rsidR="00CD3447">
        <w:rPr>
          <w:b/>
        </w:rPr>
        <w:t>S</w:t>
      </w:r>
      <w:r>
        <w:rPr>
          <w:b/>
        </w:rPr>
        <w:t xml:space="preserve">1: Diphtheria and pertussis seropositivity and estimated vaccination coverage among children aged 6-11 months old broken down by district </w:t>
      </w:r>
      <w:r>
        <w:t>Diphtheria (DP) and pertussis (PT) seropositivity in children</w:t>
      </w:r>
      <w:r>
        <w:rPr>
          <w:b/>
        </w:rPr>
        <w:t xml:space="preserve"> </w:t>
      </w:r>
      <w:r>
        <w:t>aged</w:t>
      </w:r>
      <w:r>
        <w:rPr>
          <w:b/>
        </w:rPr>
        <w:t xml:space="preserve"> </w:t>
      </w:r>
      <w:r>
        <w:t>6-11 months</w:t>
      </w:r>
      <w:r>
        <w:rPr>
          <w:b/>
        </w:rPr>
        <w:t xml:space="preserve"> </w:t>
      </w:r>
      <w:r>
        <w:t xml:space="preserve">in the three districts for which data was available; excess number of diphtheria only seropositive individuals; expectations given vaccine efficacy under complete vaccination and estimated vaccination coverage. </w:t>
      </w:r>
    </w:p>
    <w:p w14:paraId="626A93B3" w14:textId="77777777" w:rsidR="00004113" w:rsidRDefault="00004113" w:rsidP="00004113">
      <w:pPr>
        <w:widowControl w:val="0"/>
        <w:spacing w:before="240" w:after="240"/>
      </w:pPr>
    </w:p>
    <w:p w14:paraId="2DB128B3" w14:textId="77777777" w:rsidR="00004113" w:rsidRDefault="00004113" w:rsidP="00004113">
      <w:pPr>
        <w:widowControl w:val="0"/>
        <w:spacing w:before="240" w:after="240"/>
      </w:pPr>
    </w:p>
    <w:p w14:paraId="0073195F" w14:textId="77777777" w:rsidR="00004113" w:rsidRDefault="00004113" w:rsidP="00004113">
      <w:pPr>
        <w:widowControl w:val="0"/>
        <w:spacing w:before="240" w:after="240"/>
      </w:pPr>
    </w:p>
    <w:p w14:paraId="5AA109C8" w14:textId="77777777" w:rsidR="00004113" w:rsidRDefault="00004113" w:rsidP="00004113">
      <w:pPr>
        <w:widowControl w:val="0"/>
        <w:spacing w:before="240" w:after="240"/>
      </w:pPr>
    </w:p>
    <w:p w14:paraId="6F01274E" w14:textId="77777777" w:rsidR="00004113" w:rsidRDefault="00004113" w:rsidP="00004113">
      <w:pPr>
        <w:widowControl w:val="0"/>
        <w:spacing w:before="240" w:after="240"/>
      </w:pPr>
    </w:p>
    <w:p w14:paraId="1A4DC4FD" w14:textId="77777777" w:rsidR="00004113" w:rsidRDefault="00004113" w:rsidP="00004113">
      <w:pPr>
        <w:widowControl w:val="0"/>
        <w:spacing w:before="240" w:after="240"/>
      </w:pPr>
    </w:p>
    <w:p w14:paraId="348AD5E2" w14:textId="77777777" w:rsidR="00004113" w:rsidRDefault="00004113" w:rsidP="00004113">
      <w:pPr>
        <w:widowControl w:val="0"/>
        <w:spacing w:before="240" w:after="240"/>
      </w:pPr>
    </w:p>
    <w:p w14:paraId="4D3C0CE0" w14:textId="77777777" w:rsidR="00004113" w:rsidRDefault="00004113" w:rsidP="00004113">
      <w:pPr>
        <w:widowControl w:val="0"/>
        <w:spacing w:before="240" w:after="240"/>
      </w:pPr>
    </w:p>
    <w:p w14:paraId="13C6DC0C" w14:textId="77777777" w:rsidR="00004113" w:rsidRDefault="00004113" w:rsidP="00004113">
      <w:pPr>
        <w:widowControl w:val="0"/>
        <w:spacing w:before="240" w:after="240"/>
      </w:pPr>
    </w:p>
    <w:p w14:paraId="4EF476B3" w14:textId="77777777" w:rsidR="00004113" w:rsidRDefault="00004113" w:rsidP="00004113">
      <w:pPr>
        <w:widowControl w:val="0"/>
        <w:spacing w:before="240" w:after="240"/>
      </w:pPr>
    </w:p>
    <w:p w14:paraId="137A8FAA" w14:textId="77777777" w:rsidR="00004113" w:rsidRDefault="00004113" w:rsidP="00004113">
      <w:pPr>
        <w:widowControl w:val="0"/>
        <w:spacing w:before="240" w:after="240"/>
      </w:pPr>
    </w:p>
    <w:p w14:paraId="5FE6300B" w14:textId="77777777" w:rsidR="00004113" w:rsidRDefault="00004113" w:rsidP="00004113">
      <w:pPr>
        <w:widowControl w:val="0"/>
        <w:spacing w:before="240" w:after="240"/>
      </w:pPr>
    </w:p>
    <w:p w14:paraId="1CCDF42F" w14:textId="77777777" w:rsidR="00004113" w:rsidRDefault="00004113" w:rsidP="00004113">
      <w:pPr>
        <w:widowControl w:val="0"/>
        <w:spacing w:before="240" w:after="240"/>
      </w:pPr>
    </w:p>
    <w:p w14:paraId="241D6EEA" w14:textId="77777777" w:rsidR="00004113" w:rsidRDefault="00004113" w:rsidP="00004113">
      <w:pPr>
        <w:widowControl w:val="0"/>
        <w:spacing w:before="240" w:after="240"/>
      </w:pPr>
    </w:p>
    <w:p w14:paraId="1834D78F" w14:textId="77777777" w:rsidR="00004113" w:rsidRDefault="00004113" w:rsidP="00004113">
      <w:pPr>
        <w:widowControl w:val="0"/>
        <w:spacing w:before="240" w:after="240"/>
      </w:pPr>
    </w:p>
    <w:p w14:paraId="3E3E468A" w14:textId="77777777" w:rsidR="00004113" w:rsidRDefault="00004113" w:rsidP="00004113">
      <w:pPr>
        <w:widowControl w:val="0"/>
        <w:spacing w:before="240" w:after="240"/>
      </w:pPr>
    </w:p>
    <w:p w14:paraId="762501CF" w14:textId="77777777" w:rsidR="00004113" w:rsidRDefault="00004113" w:rsidP="00004113">
      <w:pPr>
        <w:widowControl w:val="0"/>
        <w:spacing w:before="240" w:after="240"/>
      </w:pPr>
    </w:p>
    <w:tbl>
      <w:tblPr>
        <w:tblW w:w="69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305"/>
        <w:gridCol w:w="1275"/>
        <w:gridCol w:w="1305"/>
        <w:gridCol w:w="1305"/>
      </w:tblGrid>
      <w:tr w:rsidR="00004113" w14:paraId="6A77D5D6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C34EB3" w14:textId="77777777" w:rsidR="00004113" w:rsidRDefault="00004113" w:rsidP="0088296D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AEDD1A" w14:textId="77777777" w:rsidR="00004113" w:rsidRDefault="00004113" w:rsidP="0088296D">
            <w:pPr>
              <w:widowControl w:val="0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65117F" w14:textId="77777777" w:rsidR="00004113" w:rsidRDefault="00004113" w:rsidP="0088296D">
            <w:pPr>
              <w:widowControl w:val="0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5D3A49" w14:textId="77777777" w:rsidR="00004113" w:rsidRDefault="00004113" w:rsidP="0088296D">
            <w:pPr>
              <w:widowControl w:val="0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91D3D0" w14:textId="77777777" w:rsidR="00004113" w:rsidRDefault="00004113" w:rsidP="0088296D">
            <w:pPr>
              <w:widowControl w:val="0"/>
            </w:pPr>
          </w:p>
        </w:tc>
      </w:tr>
      <w:tr w:rsidR="00004113" w14:paraId="75F251BD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535593" w14:textId="77777777" w:rsidR="00004113" w:rsidRDefault="00004113" w:rsidP="0088296D">
            <w:pPr>
              <w:widowControl w:val="0"/>
              <w:spacing w:line="480" w:lineRule="auto"/>
            </w:pPr>
          </w:p>
        </w:tc>
        <w:tc>
          <w:tcPr>
            <w:tcW w:w="519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06B249" w14:textId="77777777" w:rsidR="00004113" w:rsidRDefault="00004113" w:rsidP="0088296D">
            <w:pPr>
              <w:spacing w:line="480" w:lineRule="auto"/>
              <w:jc w:val="center"/>
            </w:pPr>
            <w:r>
              <w:t xml:space="preserve">8-15 year old </w:t>
            </w:r>
          </w:p>
        </w:tc>
      </w:tr>
      <w:tr w:rsidR="00004113" w14:paraId="56B0AE13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36BAD7" w14:textId="77777777" w:rsidR="00004113" w:rsidRDefault="00004113" w:rsidP="0088296D">
            <w:pPr>
              <w:widowControl w:val="0"/>
              <w:spacing w:line="480" w:lineRule="auto"/>
            </w:pPr>
            <w:r>
              <w:t xml:space="preserve">Seropositive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AABBA0" w14:textId="77777777" w:rsidR="00004113" w:rsidRDefault="00004113" w:rsidP="0088296D">
            <w:pPr>
              <w:spacing w:line="480" w:lineRule="auto"/>
              <w:jc w:val="center"/>
            </w:pPr>
            <w:r>
              <w:t>PT &amp; DP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ECA3CB" w14:textId="77777777" w:rsidR="00004113" w:rsidRDefault="00004113" w:rsidP="0088296D">
            <w:pPr>
              <w:spacing w:line="480" w:lineRule="auto"/>
              <w:jc w:val="center"/>
            </w:pPr>
            <w:r>
              <w:t>PT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548533" w14:textId="77777777" w:rsidR="00004113" w:rsidRDefault="00004113" w:rsidP="0088296D">
            <w:pPr>
              <w:spacing w:line="480" w:lineRule="auto"/>
              <w:jc w:val="center"/>
            </w:pPr>
            <w:r>
              <w:t>DP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86E94A" w14:textId="77777777" w:rsidR="00004113" w:rsidRDefault="00004113" w:rsidP="0088296D">
            <w:pPr>
              <w:spacing w:line="480" w:lineRule="auto"/>
              <w:jc w:val="center"/>
            </w:pPr>
            <w:r>
              <w:t>Neither</w:t>
            </w:r>
          </w:p>
        </w:tc>
      </w:tr>
      <w:tr w:rsidR="00004113" w14:paraId="132CE983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12E1D9" w14:textId="77777777" w:rsidR="00004113" w:rsidRDefault="00004113" w:rsidP="0088296D">
            <w:pPr>
              <w:spacing w:line="480" w:lineRule="auto"/>
            </w:pPr>
            <w:r>
              <w:t>ANT (N=74)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6F1E99" w14:textId="77777777" w:rsidR="00004113" w:rsidRDefault="00004113" w:rsidP="0088296D">
            <w:pPr>
              <w:spacing w:line="480" w:lineRule="auto"/>
              <w:jc w:val="center"/>
            </w:pPr>
            <w:r>
              <w:t>28 (37.8%)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F5821D" w14:textId="77777777" w:rsidR="00004113" w:rsidRDefault="00004113" w:rsidP="0088296D">
            <w:pPr>
              <w:spacing w:line="480" w:lineRule="auto"/>
              <w:jc w:val="center"/>
            </w:pPr>
            <w:r>
              <w:t>17 (23%)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8D64A8" w14:textId="77777777" w:rsidR="00004113" w:rsidRDefault="00004113" w:rsidP="0088296D">
            <w:pPr>
              <w:spacing w:line="480" w:lineRule="auto"/>
              <w:jc w:val="center"/>
            </w:pPr>
            <w:r>
              <w:t>21 (28.4%)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5B5DDD" w14:textId="77777777" w:rsidR="00004113" w:rsidRDefault="00004113" w:rsidP="0088296D">
            <w:pPr>
              <w:spacing w:line="480" w:lineRule="auto"/>
              <w:jc w:val="center"/>
            </w:pPr>
            <w:r>
              <w:t>8 (10.8%)</w:t>
            </w:r>
          </w:p>
        </w:tc>
      </w:tr>
      <w:tr w:rsidR="00004113" w14:paraId="7338FD82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0714BE" w14:textId="77777777" w:rsidR="00004113" w:rsidRDefault="00004113" w:rsidP="0088296D">
            <w:pPr>
              <w:spacing w:line="480" w:lineRule="auto"/>
            </w:pPr>
            <w:r>
              <w:t>ATS (N=67)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B381CF" w14:textId="77777777" w:rsidR="00004113" w:rsidRDefault="00004113" w:rsidP="0088296D">
            <w:pPr>
              <w:spacing w:line="480" w:lineRule="auto"/>
              <w:jc w:val="center"/>
            </w:pPr>
            <w:r>
              <w:t>51 (76.1%)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87B24D" w14:textId="77777777" w:rsidR="00004113" w:rsidRDefault="00004113" w:rsidP="0088296D">
            <w:pPr>
              <w:spacing w:line="480" w:lineRule="auto"/>
              <w:jc w:val="center"/>
            </w:pPr>
            <w:r>
              <w:t>2 (3%)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CFEE1D" w14:textId="77777777" w:rsidR="00004113" w:rsidRDefault="00004113" w:rsidP="0088296D">
            <w:pPr>
              <w:spacing w:line="480" w:lineRule="auto"/>
              <w:jc w:val="center"/>
            </w:pPr>
            <w:r>
              <w:t>13 (19.4%)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EECCF0" w14:textId="77777777" w:rsidR="00004113" w:rsidRDefault="00004113" w:rsidP="0088296D">
            <w:pPr>
              <w:spacing w:line="480" w:lineRule="auto"/>
              <w:jc w:val="center"/>
            </w:pPr>
            <w:r>
              <w:t>1 (1.5%)</w:t>
            </w:r>
          </w:p>
        </w:tc>
      </w:tr>
      <w:tr w:rsidR="00004113" w14:paraId="3BFDFEED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625AC3" w14:textId="77777777" w:rsidR="00004113" w:rsidRDefault="00004113" w:rsidP="0088296D">
            <w:pPr>
              <w:spacing w:line="480" w:lineRule="auto"/>
            </w:pPr>
            <w:r>
              <w:t>MAH (N=81)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40D278" w14:textId="77777777" w:rsidR="00004113" w:rsidRDefault="00004113" w:rsidP="0088296D">
            <w:pPr>
              <w:spacing w:line="480" w:lineRule="auto"/>
              <w:jc w:val="center"/>
            </w:pPr>
            <w:r>
              <w:t>46 (56.8%)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D7012A" w14:textId="77777777" w:rsidR="00004113" w:rsidRDefault="00004113" w:rsidP="0088296D">
            <w:pPr>
              <w:spacing w:line="480" w:lineRule="auto"/>
              <w:jc w:val="center"/>
            </w:pPr>
            <w:r>
              <w:t>6 (7.4%)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546B3E" w14:textId="77777777" w:rsidR="00004113" w:rsidRDefault="00004113" w:rsidP="0088296D">
            <w:pPr>
              <w:spacing w:line="480" w:lineRule="auto"/>
              <w:jc w:val="center"/>
            </w:pPr>
            <w:r>
              <w:t>29 (35.8%)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A31232" w14:textId="77777777" w:rsidR="00004113" w:rsidRDefault="00004113" w:rsidP="0088296D">
            <w:pPr>
              <w:spacing w:line="480" w:lineRule="auto"/>
              <w:jc w:val="center"/>
            </w:pPr>
            <w:r>
              <w:t>0</w:t>
            </w:r>
          </w:p>
        </w:tc>
      </w:tr>
      <w:tr w:rsidR="00004113" w14:paraId="1B0DA5F7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29A01E" w14:textId="77777777" w:rsidR="00004113" w:rsidRDefault="00004113" w:rsidP="0088296D">
            <w:pPr>
              <w:spacing w:line="480" w:lineRule="auto"/>
            </w:pPr>
            <w:r>
              <w:t>MID (N=64)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F06674" w14:textId="77777777" w:rsidR="00004113" w:rsidRDefault="00004113" w:rsidP="0088296D">
            <w:pPr>
              <w:spacing w:line="480" w:lineRule="auto"/>
              <w:jc w:val="center"/>
            </w:pPr>
            <w:r>
              <w:t>45 (70.3%)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975BE4" w14:textId="77777777" w:rsidR="00004113" w:rsidRDefault="00004113" w:rsidP="0088296D">
            <w:pPr>
              <w:spacing w:line="480" w:lineRule="auto"/>
              <w:jc w:val="center"/>
            </w:pPr>
            <w:r>
              <w:t>4 (6.3%)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ACF4F3" w14:textId="77777777" w:rsidR="00004113" w:rsidRDefault="00004113" w:rsidP="0088296D">
            <w:pPr>
              <w:spacing w:line="480" w:lineRule="auto"/>
              <w:jc w:val="center"/>
            </w:pPr>
            <w:r>
              <w:t>15 (23.4%)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3DCDD1" w14:textId="77777777" w:rsidR="00004113" w:rsidRDefault="00004113" w:rsidP="0088296D">
            <w:pPr>
              <w:spacing w:line="480" w:lineRule="auto"/>
              <w:jc w:val="center"/>
            </w:pPr>
            <w:r>
              <w:t>0</w:t>
            </w:r>
          </w:p>
        </w:tc>
      </w:tr>
      <w:tr w:rsidR="00004113" w14:paraId="6473B222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A4C2CE" w14:textId="77777777" w:rsidR="00004113" w:rsidRDefault="00004113" w:rsidP="0088296D">
            <w:pPr>
              <w:spacing w:line="480" w:lineRule="auto"/>
            </w:pPr>
            <w:r>
              <w:t>TOL (N=76)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D23D04" w14:textId="77777777" w:rsidR="00004113" w:rsidRDefault="00004113" w:rsidP="0088296D">
            <w:pPr>
              <w:spacing w:line="480" w:lineRule="auto"/>
              <w:jc w:val="center"/>
            </w:pPr>
            <w:r>
              <w:t>45 (59.2%)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7B96C0" w14:textId="77777777" w:rsidR="00004113" w:rsidRDefault="00004113" w:rsidP="0088296D">
            <w:pPr>
              <w:spacing w:line="480" w:lineRule="auto"/>
              <w:jc w:val="center"/>
            </w:pPr>
            <w:r>
              <w:t>2 (2.6%)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53047C" w14:textId="77777777" w:rsidR="00004113" w:rsidRDefault="00004113" w:rsidP="0088296D">
            <w:pPr>
              <w:spacing w:line="480" w:lineRule="auto"/>
              <w:jc w:val="center"/>
            </w:pPr>
            <w:r>
              <w:t>28 (36.8%)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E006DB" w14:textId="77777777" w:rsidR="00004113" w:rsidRDefault="00004113" w:rsidP="0088296D">
            <w:pPr>
              <w:spacing w:line="480" w:lineRule="auto"/>
              <w:jc w:val="center"/>
            </w:pPr>
            <w:r>
              <w:t>1 (1.3%)</w:t>
            </w:r>
          </w:p>
        </w:tc>
      </w:tr>
      <w:tr w:rsidR="00004113" w14:paraId="674AD245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85B37E" w14:textId="77777777" w:rsidR="00004113" w:rsidRDefault="00004113" w:rsidP="0088296D">
            <w:pPr>
              <w:spacing w:line="480" w:lineRule="auto"/>
            </w:pPr>
            <w:r>
              <w:t>Total (N=362)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43CD41" w14:textId="77777777" w:rsidR="00004113" w:rsidRDefault="00004113" w:rsidP="0088296D">
            <w:pPr>
              <w:spacing w:line="480" w:lineRule="auto"/>
              <w:jc w:val="center"/>
            </w:pPr>
            <w:r>
              <w:t>215 (59.4%)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260059" w14:textId="77777777" w:rsidR="00004113" w:rsidRDefault="00004113" w:rsidP="0088296D">
            <w:pPr>
              <w:spacing w:line="480" w:lineRule="auto"/>
              <w:jc w:val="center"/>
            </w:pPr>
            <w:r>
              <w:t>31 (8.7%)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E7FF9F" w14:textId="77777777" w:rsidR="00004113" w:rsidRDefault="00004113" w:rsidP="0088296D">
            <w:pPr>
              <w:spacing w:line="480" w:lineRule="auto"/>
              <w:jc w:val="center"/>
            </w:pPr>
            <w:r>
              <w:t>106 (29.3%)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462D75" w14:textId="77777777" w:rsidR="00004113" w:rsidRDefault="00004113" w:rsidP="0088296D">
            <w:pPr>
              <w:spacing w:line="480" w:lineRule="auto"/>
              <w:jc w:val="center"/>
            </w:pPr>
            <w:r>
              <w:t>10 (2.8%)</w:t>
            </w:r>
          </w:p>
        </w:tc>
      </w:tr>
      <w:tr w:rsidR="00004113" w14:paraId="29BF0DD0" w14:textId="77777777" w:rsidTr="0088296D">
        <w:trPr>
          <w:trHeight w:val="1615"/>
        </w:trPr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718911" w14:textId="77777777" w:rsidR="00004113" w:rsidRDefault="00004113" w:rsidP="0088296D">
            <w:pPr>
              <w:spacing w:line="480" w:lineRule="auto"/>
            </w:pPr>
            <w:r>
              <w:t>Expected under complete vaccination (N=362)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A42F82" w14:textId="77777777" w:rsidR="00004113" w:rsidRDefault="00004113" w:rsidP="0088296D">
            <w:pPr>
              <w:spacing w:line="480" w:lineRule="auto"/>
              <w:jc w:val="center"/>
            </w:pPr>
            <w:r>
              <w:t>330 (91.2%)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BF825E" w14:textId="77777777" w:rsidR="00004113" w:rsidRDefault="00004113" w:rsidP="0088296D">
            <w:pPr>
              <w:spacing w:line="480" w:lineRule="auto"/>
              <w:jc w:val="center"/>
            </w:pPr>
            <w:r>
              <w:t>10 (2.8%)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F91874" w14:textId="77777777" w:rsidR="00004113" w:rsidRDefault="00004113" w:rsidP="0088296D">
            <w:pPr>
              <w:spacing w:line="480" w:lineRule="auto"/>
              <w:jc w:val="center"/>
            </w:pPr>
            <w:r>
              <w:t>21 (5.8%)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2BFED9" w14:textId="77777777" w:rsidR="00004113" w:rsidRDefault="00004113" w:rsidP="0088296D">
            <w:pPr>
              <w:spacing w:line="480" w:lineRule="auto"/>
              <w:jc w:val="center"/>
            </w:pPr>
          </w:p>
          <w:p w14:paraId="0DDC831B" w14:textId="77777777" w:rsidR="00004113" w:rsidRDefault="00004113" w:rsidP="0088296D">
            <w:pPr>
              <w:spacing w:line="480" w:lineRule="auto"/>
              <w:jc w:val="center"/>
            </w:pPr>
          </w:p>
          <w:p w14:paraId="5F9E6618" w14:textId="77777777" w:rsidR="00004113" w:rsidRDefault="00004113" w:rsidP="0088296D">
            <w:pPr>
              <w:spacing w:line="480" w:lineRule="auto"/>
              <w:jc w:val="center"/>
            </w:pPr>
          </w:p>
          <w:p w14:paraId="5ABF84E7" w14:textId="77777777" w:rsidR="00004113" w:rsidRDefault="00004113" w:rsidP="0088296D">
            <w:pPr>
              <w:spacing w:line="480" w:lineRule="auto"/>
              <w:jc w:val="center"/>
            </w:pPr>
          </w:p>
          <w:p w14:paraId="005A7820" w14:textId="77777777" w:rsidR="00004113" w:rsidRDefault="00004113" w:rsidP="0088296D">
            <w:pPr>
              <w:spacing w:line="480" w:lineRule="auto"/>
              <w:jc w:val="center"/>
            </w:pPr>
            <w:r>
              <w:t>1 (0.28%)</w:t>
            </w:r>
          </w:p>
        </w:tc>
      </w:tr>
    </w:tbl>
    <w:p w14:paraId="2181A228" w14:textId="77777777" w:rsidR="00004113" w:rsidRDefault="00004113" w:rsidP="00004113">
      <w:pPr>
        <w:spacing w:line="480" w:lineRule="auto"/>
      </w:pPr>
    </w:p>
    <w:p w14:paraId="0536A63C" w14:textId="77777777" w:rsidR="00004113" w:rsidRDefault="00004113" w:rsidP="00004113">
      <w:pPr>
        <w:spacing w:line="480" w:lineRule="auto"/>
      </w:pPr>
    </w:p>
    <w:p w14:paraId="1C940D23" w14:textId="77777777" w:rsidR="00004113" w:rsidRDefault="00004113" w:rsidP="00004113">
      <w:pPr>
        <w:spacing w:line="480" w:lineRule="auto"/>
      </w:pPr>
    </w:p>
    <w:p w14:paraId="76C8BA2C" w14:textId="77777777" w:rsidR="00004113" w:rsidRDefault="00004113" w:rsidP="00004113">
      <w:pPr>
        <w:spacing w:line="480" w:lineRule="auto"/>
      </w:pPr>
    </w:p>
    <w:p w14:paraId="0D9B2E9C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1557DDA2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66DE43DA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77DDDE47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15A55311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02705DAA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2BC5F5DC" w14:textId="56D3B6FB" w:rsidR="00004113" w:rsidRDefault="00004113" w:rsidP="00004113">
      <w:pPr>
        <w:widowControl w:val="0"/>
        <w:spacing w:before="240" w:after="240" w:line="480" w:lineRule="auto"/>
        <w:rPr>
          <w:b/>
        </w:rPr>
      </w:pPr>
      <w:r>
        <w:rPr>
          <w:b/>
        </w:rPr>
        <w:lastRenderedPageBreak/>
        <w:t xml:space="preserve">Supplementary Table </w:t>
      </w:r>
      <w:r w:rsidR="00CD3447">
        <w:rPr>
          <w:b/>
        </w:rPr>
        <w:t>S</w:t>
      </w:r>
      <w:r>
        <w:rPr>
          <w:b/>
        </w:rPr>
        <w:t xml:space="preserve">2: Diphtheria and pertussis seropositivity among children aged 8-15 years old </w:t>
      </w:r>
      <w:r>
        <w:t>Diphtheria (DP) and pertussis (PT) seropositivity in children</w:t>
      </w:r>
      <w:r>
        <w:rPr>
          <w:b/>
        </w:rPr>
        <w:t xml:space="preserve"> </w:t>
      </w:r>
      <w:r>
        <w:t>aged</w:t>
      </w:r>
      <w:r>
        <w:rPr>
          <w:b/>
        </w:rPr>
        <w:t xml:space="preserve"> </w:t>
      </w:r>
      <w:r>
        <w:t xml:space="preserve">8-15 years old in the five districts for which data was available and expectations given vaccine efficacy under complete vaccination. ANT, Antananarivo </w:t>
      </w:r>
      <w:proofErr w:type="spellStart"/>
      <w:r>
        <w:t>Renivohitra</w:t>
      </w:r>
      <w:proofErr w:type="spellEnd"/>
      <w:r>
        <w:t xml:space="preserve">; ATS, </w:t>
      </w:r>
      <w:proofErr w:type="spellStart"/>
      <w:r>
        <w:t>Antsalova</w:t>
      </w:r>
      <w:proofErr w:type="spellEnd"/>
      <w:r>
        <w:t xml:space="preserve">; MAH, Mahajanga I; MID, </w:t>
      </w:r>
      <w:proofErr w:type="spellStart"/>
      <w:r>
        <w:t>Midongy</w:t>
      </w:r>
      <w:proofErr w:type="spellEnd"/>
      <w:r>
        <w:t xml:space="preserve"> </w:t>
      </w:r>
      <w:proofErr w:type="spellStart"/>
      <w:r>
        <w:t>Atsimo</w:t>
      </w:r>
      <w:proofErr w:type="spellEnd"/>
      <w:r>
        <w:t xml:space="preserve">; TOL, </w:t>
      </w:r>
      <w:proofErr w:type="spellStart"/>
      <w:r>
        <w:t>Toliara</w:t>
      </w:r>
      <w:proofErr w:type="spellEnd"/>
      <w:r>
        <w:t xml:space="preserve"> I</w:t>
      </w:r>
    </w:p>
    <w:p w14:paraId="6475CE1E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16713389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0FD2D20F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25D14146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67C1DA44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12DF599E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1D7DBFFE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7C3B3296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061090FE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44971459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72F47D62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287B1DC0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1631200D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75A74944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2DB2BEE6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3D524782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188E2AC8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210C0B5B" w14:textId="77777777" w:rsidR="00004113" w:rsidRDefault="00004113" w:rsidP="00004113">
      <w:pPr>
        <w:widowControl w:val="0"/>
        <w:spacing w:before="240" w:after="240"/>
        <w:rPr>
          <w:b/>
        </w:rPr>
      </w:pPr>
    </w:p>
    <w:tbl>
      <w:tblPr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1350"/>
        <w:gridCol w:w="1485"/>
        <w:gridCol w:w="1560"/>
        <w:gridCol w:w="1905"/>
      </w:tblGrid>
      <w:tr w:rsidR="00004113" w14:paraId="31BBA158" w14:textId="77777777" w:rsidTr="0088296D">
        <w:trPr>
          <w:trHeight w:val="485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61C6D96" w14:textId="77777777" w:rsidR="00004113" w:rsidRDefault="00004113" w:rsidP="0088296D">
            <w:pPr>
              <w:widowControl w:val="0"/>
              <w:spacing w:line="240" w:lineRule="auto"/>
            </w:pPr>
            <w:r>
              <w:lastRenderedPageBreak/>
              <w:t xml:space="preserve"> 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BA4F0ED" w14:textId="77777777" w:rsidR="00004113" w:rsidRDefault="00004113" w:rsidP="0088296D">
            <w:pPr>
              <w:widowControl w:val="0"/>
              <w:spacing w:before="240" w:line="240" w:lineRule="auto"/>
              <w:jc w:val="center"/>
            </w:pPr>
            <w:r>
              <w:rPr>
                <w:sz w:val="24"/>
                <w:szCs w:val="24"/>
              </w:rPr>
              <w:t xml:space="preserve">6-11 month old  </w:t>
            </w:r>
          </w:p>
        </w:tc>
      </w:tr>
      <w:tr w:rsidR="00004113" w14:paraId="00A99EB8" w14:textId="77777777" w:rsidTr="0088296D">
        <w:trPr>
          <w:trHeight w:val="672"/>
        </w:trPr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6298085" w14:textId="77777777" w:rsidR="00004113" w:rsidRDefault="00004113" w:rsidP="0088296D">
            <w:pPr>
              <w:widowControl w:val="0"/>
              <w:spacing w:line="240" w:lineRule="auto"/>
            </w:pPr>
            <w:r>
              <w:t xml:space="preserve">Seropositive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1340FBD" w14:textId="77777777" w:rsidR="00004113" w:rsidRDefault="00004113" w:rsidP="0088296D">
            <w:pPr>
              <w:widowControl w:val="0"/>
              <w:spacing w:before="240" w:line="240" w:lineRule="auto"/>
              <w:jc w:val="center"/>
            </w:pPr>
            <w:r>
              <w:t>PT &amp; DP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54C7996" w14:textId="77777777" w:rsidR="00004113" w:rsidRDefault="00004113" w:rsidP="0088296D">
            <w:pPr>
              <w:widowControl w:val="0"/>
              <w:spacing w:before="240" w:line="240" w:lineRule="auto"/>
              <w:jc w:val="center"/>
            </w:pPr>
            <w:r>
              <w:t>PT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1E1449D" w14:textId="77777777" w:rsidR="00004113" w:rsidRDefault="00004113" w:rsidP="0088296D">
            <w:pPr>
              <w:widowControl w:val="0"/>
              <w:spacing w:before="240" w:line="240" w:lineRule="auto"/>
              <w:jc w:val="center"/>
            </w:pPr>
            <w:r>
              <w:t>DP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A120729" w14:textId="77777777" w:rsidR="00004113" w:rsidRDefault="00004113" w:rsidP="0088296D">
            <w:pPr>
              <w:widowControl w:val="0"/>
              <w:spacing w:before="240" w:line="240" w:lineRule="auto"/>
              <w:jc w:val="center"/>
            </w:pPr>
            <w:r>
              <w:t>Neither</w:t>
            </w:r>
          </w:p>
        </w:tc>
      </w:tr>
      <w:tr w:rsidR="00004113" w14:paraId="529AD78D" w14:textId="77777777" w:rsidTr="0088296D">
        <w:trPr>
          <w:trHeight w:val="545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63A9EC3" w14:textId="77777777" w:rsidR="00004113" w:rsidRDefault="00004113" w:rsidP="0088296D">
            <w:pPr>
              <w:widowControl w:val="0"/>
              <w:spacing w:before="240" w:after="240" w:line="240" w:lineRule="auto"/>
            </w:pPr>
            <w:r>
              <w:t>ANT (N=51)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E94EE0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5 (9.8%)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83908B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4D02A9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41 (80.4%)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6BFB77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5 (9.9%)</w:t>
            </w:r>
          </w:p>
        </w:tc>
      </w:tr>
      <w:tr w:rsidR="00004113" w14:paraId="74AE0A90" w14:textId="77777777" w:rsidTr="0088296D">
        <w:trPr>
          <w:trHeight w:val="515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94C1577" w14:textId="77777777" w:rsidR="00004113" w:rsidRDefault="00004113" w:rsidP="0088296D">
            <w:pPr>
              <w:widowControl w:val="0"/>
              <w:spacing w:before="240" w:after="240" w:line="240" w:lineRule="auto"/>
            </w:pPr>
            <w:r>
              <w:t>ATS (N=49)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E03686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1 (2.0%)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986050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B3A84B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33 (67.3%)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4C06CE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15 (30.6%)</w:t>
            </w:r>
          </w:p>
        </w:tc>
      </w:tr>
      <w:tr w:rsidR="00004113" w14:paraId="735D064E" w14:textId="77777777" w:rsidTr="0088296D">
        <w:trPr>
          <w:trHeight w:val="515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3D82EB9" w14:textId="77777777" w:rsidR="00004113" w:rsidRDefault="00004113" w:rsidP="0088296D">
            <w:pPr>
              <w:widowControl w:val="0"/>
              <w:spacing w:before="240" w:after="240" w:line="240" w:lineRule="auto"/>
            </w:pPr>
            <w:r>
              <w:t>MID (N=85)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854527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3 (3.5%)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BAA9C2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0F40FC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67 (78.8%)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3CBE4A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15 (17.6%)</w:t>
            </w:r>
          </w:p>
        </w:tc>
      </w:tr>
      <w:tr w:rsidR="00004113" w14:paraId="209B1F0D" w14:textId="77777777" w:rsidTr="0088296D">
        <w:trPr>
          <w:trHeight w:val="515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2C7CDFA" w14:textId="77777777" w:rsidR="00004113" w:rsidRDefault="00004113" w:rsidP="0088296D">
            <w:pPr>
              <w:widowControl w:val="0"/>
              <w:spacing w:before="240" w:after="240" w:line="240" w:lineRule="auto"/>
            </w:pPr>
            <w:r>
              <w:t>Total(N=185)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35E289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9 (4.9%)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407F21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59FB45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141 (76.2%)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09374B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35 (18.9%)</w:t>
            </w:r>
          </w:p>
        </w:tc>
      </w:tr>
      <w:tr w:rsidR="00004113" w14:paraId="01A1C6C9" w14:textId="77777777" w:rsidTr="0088296D">
        <w:trPr>
          <w:trHeight w:val="1311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A02FCD4" w14:textId="77777777" w:rsidR="00004113" w:rsidRDefault="00004113" w:rsidP="0088296D">
            <w:pPr>
              <w:widowControl w:val="0"/>
              <w:spacing w:before="240" w:after="240" w:line="240" w:lineRule="auto"/>
            </w:pPr>
            <w:r>
              <w:t>Expected under complete vaccination (N=185)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AA3950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169 (91.1%)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65AC46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5 (2.8%)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8EB6B8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11 (5.8%)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04A103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0 (0.18%)</w:t>
            </w:r>
          </w:p>
        </w:tc>
      </w:tr>
      <w:tr w:rsidR="00004113" w14:paraId="208B891A" w14:textId="77777777" w:rsidTr="0088296D">
        <w:trPr>
          <w:trHeight w:val="1639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53C691" w14:textId="77777777" w:rsidR="00004113" w:rsidRDefault="00004113" w:rsidP="0088296D">
            <w:pPr>
              <w:widowControl w:val="0"/>
              <w:spacing w:before="240" w:after="240" w:line="240" w:lineRule="auto"/>
            </w:pPr>
            <w:r>
              <w:t xml:space="preserve">Expected seropositivity under estimated </w:t>
            </w:r>
            <w:r>
              <w:rPr>
                <w:color w:val="305496"/>
              </w:rPr>
              <w:t>vaccination coverage</w:t>
            </w:r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14:paraId="46F56F56" w14:textId="77777777" w:rsidR="00004113" w:rsidRDefault="00004113" w:rsidP="0088296D">
            <w:pPr>
              <w:widowControl w:val="0"/>
              <w:spacing w:line="240" w:lineRule="auto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14:paraId="50BD0032" w14:textId="77777777" w:rsidR="00004113" w:rsidRDefault="00004113" w:rsidP="0088296D">
            <w:pPr>
              <w:widowControl w:val="0"/>
              <w:spacing w:line="240" w:lineRule="auto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14:paraId="7DBD62B7" w14:textId="77777777" w:rsidR="00004113" w:rsidRDefault="00004113" w:rsidP="0088296D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14:paraId="6580FD8A" w14:textId="77777777" w:rsidR="00004113" w:rsidRDefault="00004113" w:rsidP="0088296D">
            <w:pPr>
              <w:widowControl w:val="0"/>
              <w:spacing w:line="240" w:lineRule="auto"/>
            </w:pPr>
          </w:p>
        </w:tc>
      </w:tr>
      <w:tr w:rsidR="00004113" w14:paraId="12B2124D" w14:textId="77777777" w:rsidTr="0088296D">
        <w:trPr>
          <w:trHeight w:val="800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17687D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 xml:space="preserve">Bound 1: </w:t>
            </w:r>
            <w:r>
              <w:rPr>
                <w:color w:val="305496"/>
              </w:rPr>
              <w:t>9.9%</w:t>
            </w:r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10462C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9 (4.9%)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60D9C1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8E9DCD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1 (0.5%)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488F65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175  (94.6%)</w:t>
            </w:r>
          </w:p>
        </w:tc>
      </w:tr>
      <w:tr w:rsidR="00004113" w14:paraId="417C772D" w14:textId="77777777" w:rsidTr="0088296D">
        <w:trPr>
          <w:trHeight w:val="515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74CA25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Difference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7BD3CC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78F13A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CB4025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rPr>
                <w:color w:val="FF0000"/>
              </w:rPr>
              <w:t>140 (75.7%)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68B1DE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 xml:space="preserve"> -140 (-75.7%)</w:t>
            </w:r>
          </w:p>
        </w:tc>
      </w:tr>
      <w:tr w:rsidR="00004113" w14:paraId="5391DC58" w14:textId="77777777" w:rsidTr="0088296D">
        <w:trPr>
          <w:trHeight w:val="800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F4D7FB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 xml:space="preserve">Bound 2: </w:t>
            </w:r>
            <w:r>
              <w:rPr>
                <w:color w:val="305496"/>
              </w:rPr>
              <w:t xml:space="preserve">4.9%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0EA1D4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8 (4.3%)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634691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 xml:space="preserve">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96E898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1 (0.5%)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65C05F" w14:textId="77777777" w:rsidR="00004113" w:rsidRDefault="00004113" w:rsidP="0088296D">
            <w:pPr>
              <w:widowControl w:val="0"/>
              <w:spacing w:before="240" w:after="240" w:line="240" w:lineRule="auto"/>
              <w:jc w:val="center"/>
            </w:pPr>
            <w:r>
              <w:t>176 (95.1%)</w:t>
            </w:r>
          </w:p>
        </w:tc>
      </w:tr>
      <w:tr w:rsidR="00004113" w14:paraId="5E782364" w14:textId="77777777" w:rsidTr="0088296D">
        <w:trPr>
          <w:trHeight w:val="642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BF0206" w14:textId="77777777" w:rsidR="00004113" w:rsidRDefault="00004113" w:rsidP="0088296D">
            <w:pPr>
              <w:widowControl w:val="0"/>
              <w:spacing w:before="240" w:line="240" w:lineRule="auto"/>
              <w:jc w:val="center"/>
            </w:pPr>
            <w:r>
              <w:t>Difference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BD62CB" w14:textId="77777777" w:rsidR="00004113" w:rsidRDefault="00004113" w:rsidP="0088296D">
            <w:pPr>
              <w:widowControl w:val="0"/>
              <w:spacing w:before="240" w:line="240" w:lineRule="auto"/>
              <w:jc w:val="center"/>
            </w:pPr>
            <w:r>
              <w:t xml:space="preserve"> 1 (0.5%)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83CB94" w14:textId="77777777" w:rsidR="00004113" w:rsidRDefault="00004113" w:rsidP="0088296D">
            <w:pPr>
              <w:widowControl w:val="0"/>
              <w:spacing w:before="240" w:line="240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25D1B3" w14:textId="77777777" w:rsidR="00004113" w:rsidRDefault="00004113" w:rsidP="0088296D">
            <w:pPr>
              <w:widowControl w:val="0"/>
              <w:spacing w:before="240" w:line="240" w:lineRule="auto"/>
              <w:jc w:val="center"/>
            </w:pPr>
            <w:r>
              <w:rPr>
                <w:color w:val="FF0000"/>
              </w:rPr>
              <w:t>140 (75.7%)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EA66D6" w14:textId="77777777" w:rsidR="00004113" w:rsidRDefault="00004113" w:rsidP="0088296D">
            <w:pPr>
              <w:widowControl w:val="0"/>
              <w:spacing w:before="240" w:line="240" w:lineRule="auto"/>
              <w:jc w:val="center"/>
            </w:pPr>
            <w:r>
              <w:t xml:space="preserve"> -141 (-76.2%)</w:t>
            </w:r>
          </w:p>
        </w:tc>
      </w:tr>
    </w:tbl>
    <w:p w14:paraId="41F2A9A4" w14:textId="77777777" w:rsidR="00004113" w:rsidRDefault="00004113" w:rsidP="00004113">
      <w:pPr>
        <w:rPr>
          <w:b/>
        </w:rPr>
      </w:pPr>
    </w:p>
    <w:p w14:paraId="61EBA27D" w14:textId="77777777" w:rsidR="00004113" w:rsidRDefault="00004113" w:rsidP="00004113">
      <w:pPr>
        <w:spacing w:line="240" w:lineRule="auto"/>
        <w:rPr>
          <w:b/>
          <w:color w:val="0000FF"/>
        </w:rPr>
      </w:pPr>
    </w:p>
    <w:p w14:paraId="27C58C06" w14:textId="131FA1D7" w:rsidR="00004113" w:rsidRDefault="00004113" w:rsidP="00004113">
      <w:pPr>
        <w:spacing w:line="480" w:lineRule="auto"/>
        <w:rPr>
          <w:b/>
        </w:rPr>
      </w:pPr>
      <w:r>
        <w:rPr>
          <w:b/>
          <w:color w:val="0000FF"/>
        </w:rPr>
        <w:lastRenderedPageBreak/>
        <w:t xml:space="preserve">Supplementary Table </w:t>
      </w:r>
      <w:r w:rsidR="00CD3447">
        <w:rPr>
          <w:b/>
          <w:color w:val="0000FF"/>
        </w:rPr>
        <w:t>S</w:t>
      </w:r>
      <w:r>
        <w:rPr>
          <w:b/>
          <w:color w:val="0000FF"/>
        </w:rPr>
        <w:t xml:space="preserve">3: Diphtheria and pertussis seropositivity and estimated vaccination coverage among children aged 6-11 months old </w:t>
      </w:r>
      <w:r>
        <w:rPr>
          <w:color w:val="0000FF"/>
        </w:rPr>
        <w:t>Diphtheria (DP) and pertussis (PT) seropositivity in children</w:t>
      </w:r>
      <w:r>
        <w:rPr>
          <w:b/>
          <w:color w:val="0000FF"/>
        </w:rPr>
        <w:t xml:space="preserve"> </w:t>
      </w:r>
      <w:r>
        <w:rPr>
          <w:color w:val="0000FF"/>
        </w:rPr>
        <w:t>aged</w:t>
      </w:r>
      <w:r>
        <w:rPr>
          <w:b/>
          <w:color w:val="0000FF"/>
        </w:rPr>
        <w:t xml:space="preserve"> </w:t>
      </w:r>
      <w:r>
        <w:rPr>
          <w:color w:val="0000FF"/>
        </w:rPr>
        <w:t>6-11 months</w:t>
      </w:r>
      <w:r>
        <w:rPr>
          <w:b/>
          <w:color w:val="0000FF"/>
        </w:rPr>
        <w:t xml:space="preserve"> </w:t>
      </w:r>
      <w:r>
        <w:rPr>
          <w:color w:val="0000FF"/>
        </w:rPr>
        <w:t>in the three districts for which data was available; excess number of diphtheria only seropositive individuals; expectations given vaccine efficacy under complete vaccination and estimated vaccination coverage. The threshold for pertussis seropositivity was raised to 40 IU/</w:t>
      </w:r>
      <w:proofErr w:type="spellStart"/>
      <w:r>
        <w:rPr>
          <w:color w:val="0000FF"/>
        </w:rPr>
        <w:t>mL.</w:t>
      </w:r>
      <w:proofErr w:type="spellEnd"/>
      <w:r>
        <w:rPr>
          <w:color w:val="0000FF"/>
        </w:rPr>
        <w:t xml:space="preserve">  ANT, Antananarivo </w:t>
      </w:r>
      <w:proofErr w:type="spellStart"/>
      <w:r>
        <w:rPr>
          <w:color w:val="0000FF"/>
        </w:rPr>
        <w:t>Renivohitra</w:t>
      </w:r>
      <w:proofErr w:type="spellEnd"/>
      <w:r>
        <w:rPr>
          <w:color w:val="0000FF"/>
        </w:rPr>
        <w:t xml:space="preserve"> ; ATS, </w:t>
      </w:r>
      <w:proofErr w:type="spellStart"/>
      <w:r>
        <w:rPr>
          <w:color w:val="0000FF"/>
        </w:rPr>
        <w:t>Antsalova</w:t>
      </w:r>
      <w:proofErr w:type="spellEnd"/>
      <w:r>
        <w:rPr>
          <w:color w:val="0000FF"/>
        </w:rPr>
        <w:t xml:space="preserve"> ; MID, </w:t>
      </w:r>
      <w:proofErr w:type="spellStart"/>
      <w:r>
        <w:rPr>
          <w:color w:val="0000FF"/>
        </w:rPr>
        <w:t>Midongy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Atsimo</w:t>
      </w:r>
      <w:proofErr w:type="spellEnd"/>
      <w:r>
        <w:rPr>
          <w:color w:val="0000FF"/>
        </w:rPr>
        <w:t xml:space="preserve"> </w:t>
      </w:r>
    </w:p>
    <w:p w14:paraId="60998A42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7D59FC23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002AB5B7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0189EFA5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23BB4F55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63DF2F2E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0421D8D2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2187B35A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6DF84CF9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69ADDF05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4E51B8AE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3026BA56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58C747E3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701DB6B7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3EF76FDC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358B1B9F" w14:textId="77777777" w:rsidR="00004113" w:rsidRDefault="00004113" w:rsidP="00004113">
      <w:pPr>
        <w:widowControl w:val="0"/>
        <w:spacing w:before="240" w:after="240"/>
      </w:pPr>
    </w:p>
    <w:tbl>
      <w:tblPr>
        <w:tblW w:w="69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305"/>
        <w:gridCol w:w="1275"/>
        <w:gridCol w:w="1305"/>
        <w:gridCol w:w="1305"/>
      </w:tblGrid>
      <w:tr w:rsidR="00004113" w14:paraId="49B65C64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AF6E4A" w14:textId="77777777" w:rsidR="00004113" w:rsidRDefault="00004113" w:rsidP="0088296D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26EA51" w14:textId="77777777" w:rsidR="00004113" w:rsidRDefault="00004113" w:rsidP="0088296D">
            <w:pPr>
              <w:widowControl w:val="0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F812AB" w14:textId="77777777" w:rsidR="00004113" w:rsidRDefault="00004113" w:rsidP="0088296D">
            <w:pPr>
              <w:widowControl w:val="0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F123E1" w14:textId="77777777" w:rsidR="00004113" w:rsidRDefault="00004113" w:rsidP="0088296D">
            <w:pPr>
              <w:widowControl w:val="0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FA4F06" w14:textId="77777777" w:rsidR="00004113" w:rsidRDefault="00004113" w:rsidP="0088296D">
            <w:pPr>
              <w:widowControl w:val="0"/>
            </w:pPr>
          </w:p>
        </w:tc>
      </w:tr>
      <w:tr w:rsidR="00004113" w14:paraId="75B1C589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033F8B" w14:textId="77777777" w:rsidR="00004113" w:rsidRDefault="00004113" w:rsidP="0088296D">
            <w:pPr>
              <w:widowControl w:val="0"/>
              <w:spacing w:line="480" w:lineRule="auto"/>
            </w:pPr>
          </w:p>
        </w:tc>
        <w:tc>
          <w:tcPr>
            <w:tcW w:w="519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A9A1D2" w14:textId="77777777" w:rsidR="00004113" w:rsidRDefault="00004113" w:rsidP="0088296D">
            <w:pPr>
              <w:spacing w:line="480" w:lineRule="auto"/>
              <w:jc w:val="center"/>
            </w:pPr>
            <w:r>
              <w:t xml:space="preserve">8-15 year old </w:t>
            </w:r>
          </w:p>
        </w:tc>
      </w:tr>
      <w:tr w:rsidR="00004113" w14:paraId="0D81AD70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F40737" w14:textId="77777777" w:rsidR="00004113" w:rsidRDefault="00004113" w:rsidP="0088296D">
            <w:pPr>
              <w:widowControl w:val="0"/>
              <w:spacing w:line="480" w:lineRule="auto"/>
            </w:pPr>
            <w:r>
              <w:t xml:space="preserve">Seropositive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C598EF" w14:textId="77777777" w:rsidR="00004113" w:rsidRDefault="00004113" w:rsidP="0088296D">
            <w:pPr>
              <w:spacing w:line="480" w:lineRule="auto"/>
              <w:jc w:val="center"/>
            </w:pPr>
            <w:r>
              <w:t>PT &amp; DP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88B509" w14:textId="77777777" w:rsidR="00004113" w:rsidRDefault="00004113" w:rsidP="0088296D">
            <w:pPr>
              <w:spacing w:line="480" w:lineRule="auto"/>
              <w:jc w:val="center"/>
            </w:pPr>
            <w:r>
              <w:t>PT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95D430" w14:textId="77777777" w:rsidR="00004113" w:rsidRDefault="00004113" w:rsidP="0088296D">
            <w:pPr>
              <w:spacing w:line="480" w:lineRule="auto"/>
              <w:jc w:val="center"/>
            </w:pPr>
            <w:r>
              <w:t>DP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FA1EEF" w14:textId="77777777" w:rsidR="00004113" w:rsidRDefault="00004113" w:rsidP="0088296D">
            <w:pPr>
              <w:spacing w:line="480" w:lineRule="auto"/>
              <w:jc w:val="center"/>
            </w:pPr>
            <w:r>
              <w:t>Neither</w:t>
            </w:r>
          </w:p>
        </w:tc>
      </w:tr>
      <w:tr w:rsidR="00004113" w14:paraId="02796409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E769C5" w14:textId="77777777" w:rsidR="00004113" w:rsidRDefault="00004113" w:rsidP="0088296D">
            <w:pPr>
              <w:spacing w:line="480" w:lineRule="auto"/>
            </w:pPr>
            <w:r>
              <w:t>ANT (N=74)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D17A5D" w14:textId="77777777" w:rsidR="00004113" w:rsidRDefault="00004113" w:rsidP="0088296D">
            <w:pPr>
              <w:spacing w:line="480" w:lineRule="auto"/>
              <w:jc w:val="center"/>
            </w:pPr>
            <w:r>
              <w:t>4 (5.4%)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502CC8" w14:textId="77777777" w:rsidR="00004113" w:rsidRDefault="00004113" w:rsidP="0088296D">
            <w:pPr>
              <w:spacing w:line="480" w:lineRule="auto"/>
              <w:jc w:val="center"/>
            </w:pPr>
            <w:r>
              <w:t>7 (9.5%)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D2DD2F" w14:textId="77777777" w:rsidR="00004113" w:rsidRDefault="00004113" w:rsidP="0088296D">
            <w:pPr>
              <w:spacing w:line="480" w:lineRule="auto"/>
              <w:jc w:val="center"/>
            </w:pPr>
            <w:r>
              <w:t>45 (60.8%)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7C168A" w14:textId="77777777" w:rsidR="00004113" w:rsidRDefault="00004113" w:rsidP="0088296D">
            <w:pPr>
              <w:spacing w:line="480" w:lineRule="auto"/>
              <w:jc w:val="center"/>
            </w:pPr>
            <w:r>
              <w:t>18 (24.3%)</w:t>
            </w:r>
          </w:p>
        </w:tc>
      </w:tr>
      <w:tr w:rsidR="00004113" w14:paraId="1313D918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FF4DB8" w14:textId="77777777" w:rsidR="00004113" w:rsidRDefault="00004113" w:rsidP="0088296D">
            <w:pPr>
              <w:spacing w:line="480" w:lineRule="auto"/>
            </w:pPr>
            <w:r>
              <w:t>ATS (N=67)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5531E9" w14:textId="77777777" w:rsidR="00004113" w:rsidRDefault="00004113" w:rsidP="0088296D">
            <w:pPr>
              <w:spacing w:line="480" w:lineRule="auto"/>
              <w:jc w:val="center"/>
            </w:pPr>
            <w:r>
              <w:t>14 (20.9%)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688C9B" w14:textId="77777777" w:rsidR="00004113" w:rsidRDefault="00004113" w:rsidP="0088296D">
            <w:pPr>
              <w:spacing w:line="480" w:lineRule="auto"/>
              <w:jc w:val="center"/>
            </w:pPr>
            <w:r>
              <w:t>2 (3.0%)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E6E026" w14:textId="77777777" w:rsidR="00004113" w:rsidRDefault="00004113" w:rsidP="0088296D">
            <w:pPr>
              <w:spacing w:line="480" w:lineRule="auto"/>
              <w:jc w:val="center"/>
            </w:pPr>
            <w:r>
              <w:t>50 (74.6%)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31FF16" w14:textId="77777777" w:rsidR="00004113" w:rsidRDefault="00004113" w:rsidP="0088296D">
            <w:pPr>
              <w:spacing w:line="480" w:lineRule="auto"/>
              <w:jc w:val="center"/>
            </w:pPr>
            <w:r>
              <w:t>1 (1.5%)</w:t>
            </w:r>
          </w:p>
        </w:tc>
      </w:tr>
      <w:tr w:rsidR="00004113" w14:paraId="09CCF6B7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7C28FC" w14:textId="77777777" w:rsidR="00004113" w:rsidRDefault="00004113" w:rsidP="0088296D">
            <w:pPr>
              <w:spacing w:line="480" w:lineRule="auto"/>
            </w:pPr>
            <w:r>
              <w:t>MAH (N=81)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3D3F62" w14:textId="77777777" w:rsidR="00004113" w:rsidRDefault="00004113" w:rsidP="0088296D">
            <w:pPr>
              <w:spacing w:line="480" w:lineRule="auto"/>
              <w:jc w:val="center"/>
            </w:pPr>
            <w:r>
              <w:t>6 (7.4%)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B58BE8" w14:textId="77777777" w:rsidR="00004113" w:rsidRDefault="00004113" w:rsidP="0088296D">
            <w:pPr>
              <w:spacing w:line="480" w:lineRule="auto"/>
              <w:jc w:val="center"/>
            </w:pPr>
            <w:r>
              <w:t>2 (2.5%)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C54668" w14:textId="77777777" w:rsidR="00004113" w:rsidRDefault="00004113" w:rsidP="0088296D">
            <w:pPr>
              <w:spacing w:line="480" w:lineRule="auto"/>
              <w:jc w:val="center"/>
            </w:pPr>
            <w:r>
              <w:t>69 (85.2%)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2AD8D3" w14:textId="77777777" w:rsidR="00004113" w:rsidRDefault="00004113" w:rsidP="0088296D">
            <w:pPr>
              <w:spacing w:line="480" w:lineRule="auto"/>
              <w:jc w:val="center"/>
            </w:pPr>
            <w:r>
              <w:t>4 (4.9%)</w:t>
            </w:r>
          </w:p>
        </w:tc>
      </w:tr>
      <w:tr w:rsidR="00004113" w14:paraId="53B39B43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2178B7" w14:textId="77777777" w:rsidR="00004113" w:rsidRDefault="00004113" w:rsidP="0088296D">
            <w:pPr>
              <w:spacing w:line="480" w:lineRule="auto"/>
            </w:pPr>
            <w:r>
              <w:t>MID (N=64)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20BABA" w14:textId="77777777" w:rsidR="00004113" w:rsidRDefault="00004113" w:rsidP="0088296D">
            <w:pPr>
              <w:spacing w:line="480" w:lineRule="auto"/>
              <w:jc w:val="center"/>
            </w:pPr>
            <w:r>
              <w:t>15 (23.4%)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A85EE4" w14:textId="77777777" w:rsidR="00004113" w:rsidRDefault="00004113" w:rsidP="0088296D">
            <w:pPr>
              <w:spacing w:line="480" w:lineRule="auto"/>
              <w:jc w:val="center"/>
            </w:pPr>
            <w:r>
              <w:t>1 (1.6%)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4D2B44" w14:textId="77777777" w:rsidR="00004113" w:rsidRDefault="00004113" w:rsidP="0088296D">
            <w:pPr>
              <w:spacing w:line="480" w:lineRule="auto"/>
              <w:jc w:val="center"/>
            </w:pPr>
            <w:r>
              <w:t>45 (70.3%)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81B2C2" w14:textId="77777777" w:rsidR="00004113" w:rsidRDefault="00004113" w:rsidP="0088296D">
            <w:pPr>
              <w:spacing w:line="480" w:lineRule="auto"/>
              <w:jc w:val="center"/>
            </w:pPr>
            <w:r>
              <w:t>3 (4.7%)</w:t>
            </w:r>
          </w:p>
        </w:tc>
      </w:tr>
      <w:tr w:rsidR="00004113" w14:paraId="21ED105A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582A90" w14:textId="77777777" w:rsidR="00004113" w:rsidRDefault="00004113" w:rsidP="0088296D">
            <w:pPr>
              <w:spacing w:line="480" w:lineRule="auto"/>
            </w:pPr>
            <w:r>
              <w:t>TOL (N=76)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65AC41" w14:textId="77777777" w:rsidR="00004113" w:rsidRDefault="00004113" w:rsidP="0088296D">
            <w:pPr>
              <w:spacing w:line="480" w:lineRule="auto"/>
              <w:jc w:val="center"/>
            </w:pPr>
            <w:r>
              <w:t>9 (11.8%)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8E2090" w14:textId="77777777" w:rsidR="00004113" w:rsidRDefault="00004113" w:rsidP="0088296D">
            <w:pPr>
              <w:spacing w:line="480" w:lineRule="auto"/>
              <w:jc w:val="center"/>
            </w:pPr>
            <w:r>
              <w:t>1 (1.3%)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84242D" w14:textId="77777777" w:rsidR="00004113" w:rsidRDefault="00004113" w:rsidP="0088296D">
            <w:pPr>
              <w:spacing w:line="480" w:lineRule="auto"/>
              <w:jc w:val="center"/>
            </w:pPr>
            <w:r>
              <w:t>64 (84.2%)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6CD9D2" w14:textId="77777777" w:rsidR="00004113" w:rsidRDefault="00004113" w:rsidP="0088296D">
            <w:pPr>
              <w:spacing w:line="480" w:lineRule="auto"/>
              <w:jc w:val="center"/>
            </w:pPr>
            <w:r>
              <w:t>2 (2.6%)</w:t>
            </w:r>
          </w:p>
        </w:tc>
      </w:tr>
      <w:tr w:rsidR="00004113" w14:paraId="23477BAA" w14:textId="77777777" w:rsidTr="0088296D">
        <w:trPr>
          <w:trHeight w:val="400"/>
        </w:trPr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9915FA" w14:textId="77777777" w:rsidR="00004113" w:rsidRDefault="00004113" w:rsidP="0088296D">
            <w:pPr>
              <w:spacing w:line="480" w:lineRule="auto"/>
            </w:pPr>
            <w:r>
              <w:t>Total (N=362)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ECE405" w14:textId="77777777" w:rsidR="00004113" w:rsidRDefault="00004113" w:rsidP="0088296D">
            <w:pPr>
              <w:spacing w:line="480" w:lineRule="auto"/>
              <w:jc w:val="center"/>
            </w:pPr>
            <w:r>
              <w:t>48 (13.3%)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F4899B" w14:textId="77777777" w:rsidR="00004113" w:rsidRDefault="00004113" w:rsidP="0088296D">
            <w:pPr>
              <w:spacing w:line="480" w:lineRule="auto"/>
              <w:jc w:val="center"/>
            </w:pPr>
            <w:r>
              <w:t>13 (3.6%)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4FC776" w14:textId="77777777" w:rsidR="00004113" w:rsidRDefault="00004113" w:rsidP="0088296D">
            <w:pPr>
              <w:spacing w:line="480" w:lineRule="auto"/>
              <w:jc w:val="center"/>
            </w:pPr>
            <w:r>
              <w:t>273 (75.4%)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A3F6FF" w14:textId="77777777" w:rsidR="00004113" w:rsidRDefault="00004113" w:rsidP="0088296D">
            <w:pPr>
              <w:spacing w:line="480" w:lineRule="auto"/>
              <w:jc w:val="center"/>
            </w:pPr>
            <w:r>
              <w:t>28 (7.7%)</w:t>
            </w:r>
          </w:p>
        </w:tc>
      </w:tr>
      <w:tr w:rsidR="00004113" w14:paraId="08666670" w14:textId="77777777" w:rsidTr="0088296D">
        <w:trPr>
          <w:trHeight w:val="1615"/>
        </w:trPr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5FF94F" w14:textId="77777777" w:rsidR="00004113" w:rsidRDefault="00004113" w:rsidP="0088296D">
            <w:pPr>
              <w:spacing w:line="480" w:lineRule="auto"/>
            </w:pPr>
            <w:r>
              <w:t>Expected under complete vaccination (N=362)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EC094A" w14:textId="77777777" w:rsidR="00004113" w:rsidRDefault="00004113" w:rsidP="0088296D">
            <w:pPr>
              <w:spacing w:line="480" w:lineRule="auto"/>
              <w:jc w:val="center"/>
            </w:pPr>
            <w:r>
              <w:t>330 (91.2%)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2D418F" w14:textId="77777777" w:rsidR="00004113" w:rsidRDefault="00004113" w:rsidP="0088296D">
            <w:pPr>
              <w:spacing w:line="480" w:lineRule="auto"/>
              <w:jc w:val="center"/>
            </w:pPr>
            <w:r>
              <w:t>10 (2.8%)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38F772" w14:textId="77777777" w:rsidR="00004113" w:rsidRDefault="00004113" w:rsidP="0088296D">
            <w:pPr>
              <w:spacing w:line="480" w:lineRule="auto"/>
              <w:jc w:val="center"/>
            </w:pPr>
            <w:r>
              <w:t>21 (5.8%)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79AADA" w14:textId="77777777" w:rsidR="00004113" w:rsidRDefault="00004113" w:rsidP="0088296D">
            <w:pPr>
              <w:spacing w:line="480" w:lineRule="auto"/>
              <w:jc w:val="center"/>
            </w:pPr>
          </w:p>
          <w:p w14:paraId="2B9C5041" w14:textId="77777777" w:rsidR="00004113" w:rsidRDefault="00004113" w:rsidP="0088296D">
            <w:pPr>
              <w:spacing w:line="480" w:lineRule="auto"/>
              <w:jc w:val="center"/>
            </w:pPr>
          </w:p>
          <w:p w14:paraId="26BF8609" w14:textId="77777777" w:rsidR="00004113" w:rsidRDefault="00004113" w:rsidP="0088296D">
            <w:pPr>
              <w:spacing w:line="480" w:lineRule="auto"/>
              <w:jc w:val="center"/>
            </w:pPr>
          </w:p>
          <w:p w14:paraId="1C85D87F" w14:textId="77777777" w:rsidR="00004113" w:rsidRDefault="00004113" w:rsidP="0088296D">
            <w:pPr>
              <w:spacing w:line="480" w:lineRule="auto"/>
              <w:jc w:val="center"/>
            </w:pPr>
          </w:p>
          <w:p w14:paraId="55CF2FB7" w14:textId="77777777" w:rsidR="00004113" w:rsidRDefault="00004113" w:rsidP="0088296D">
            <w:pPr>
              <w:spacing w:line="480" w:lineRule="auto"/>
              <w:jc w:val="center"/>
            </w:pPr>
            <w:r>
              <w:t>1 (0.28%)</w:t>
            </w:r>
          </w:p>
        </w:tc>
      </w:tr>
    </w:tbl>
    <w:p w14:paraId="5B7479D4" w14:textId="77777777" w:rsidR="00004113" w:rsidRDefault="00004113" w:rsidP="00004113"/>
    <w:p w14:paraId="1E729B20" w14:textId="77777777" w:rsidR="00004113" w:rsidRDefault="00004113" w:rsidP="00004113"/>
    <w:p w14:paraId="2DB5DDB0" w14:textId="77777777" w:rsidR="00004113" w:rsidRDefault="00004113" w:rsidP="00004113"/>
    <w:p w14:paraId="35067238" w14:textId="77777777" w:rsidR="00004113" w:rsidRDefault="00004113" w:rsidP="00004113"/>
    <w:p w14:paraId="53589A8C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092DBC49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3A9D04AD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34C9379E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266768EA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68309B8B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2BCC08BA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4D778A42" w14:textId="3F9062BD" w:rsidR="00004113" w:rsidRDefault="00004113" w:rsidP="00004113">
      <w:pPr>
        <w:widowControl w:val="0"/>
        <w:spacing w:before="240" w:after="240" w:line="480" w:lineRule="auto"/>
        <w:rPr>
          <w:b/>
          <w:color w:val="0000FF"/>
        </w:rPr>
      </w:pPr>
      <w:r>
        <w:rPr>
          <w:b/>
          <w:color w:val="0000FF"/>
        </w:rPr>
        <w:lastRenderedPageBreak/>
        <w:t xml:space="preserve">Supplementary Table </w:t>
      </w:r>
      <w:r w:rsidR="00CD3447">
        <w:rPr>
          <w:b/>
          <w:color w:val="0000FF"/>
        </w:rPr>
        <w:t>S</w:t>
      </w:r>
      <w:r>
        <w:rPr>
          <w:b/>
          <w:color w:val="0000FF"/>
        </w:rPr>
        <w:t xml:space="preserve">4: Diphtheria and pertussis seropositivity among children aged 8-15 years old </w:t>
      </w:r>
      <w:r>
        <w:rPr>
          <w:color w:val="0000FF"/>
        </w:rPr>
        <w:t>Diphtheria (DP) and pertussis (PT) seropositivity in children</w:t>
      </w:r>
      <w:r>
        <w:rPr>
          <w:b/>
          <w:color w:val="0000FF"/>
        </w:rPr>
        <w:t xml:space="preserve"> </w:t>
      </w:r>
      <w:r>
        <w:rPr>
          <w:color w:val="0000FF"/>
        </w:rPr>
        <w:t>aged</w:t>
      </w:r>
      <w:r>
        <w:rPr>
          <w:b/>
          <w:color w:val="0000FF"/>
        </w:rPr>
        <w:t xml:space="preserve"> </w:t>
      </w:r>
      <w:r>
        <w:rPr>
          <w:color w:val="0000FF"/>
        </w:rPr>
        <w:t>8-15 years old in the five districts for which data was available and expectations given vaccine efficacy under complete vaccination. The threshold for pertussis seropositivity was raised to 40 IU/</w:t>
      </w:r>
      <w:proofErr w:type="spellStart"/>
      <w:r>
        <w:rPr>
          <w:color w:val="0000FF"/>
        </w:rPr>
        <w:t>mL.</w:t>
      </w:r>
      <w:proofErr w:type="spellEnd"/>
      <w:r>
        <w:rPr>
          <w:color w:val="0000FF"/>
        </w:rPr>
        <w:t xml:space="preserve"> ANT, Antananarivo </w:t>
      </w:r>
      <w:proofErr w:type="spellStart"/>
      <w:r>
        <w:rPr>
          <w:color w:val="0000FF"/>
        </w:rPr>
        <w:t>Renivohitra</w:t>
      </w:r>
      <w:proofErr w:type="spellEnd"/>
      <w:r>
        <w:rPr>
          <w:color w:val="0000FF"/>
        </w:rPr>
        <w:t xml:space="preserve">; ATS, </w:t>
      </w:r>
      <w:proofErr w:type="spellStart"/>
      <w:r>
        <w:rPr>
          <w:color w:val="0000FF"/>
        </w:rPr>
        <w:t>Antsalova</w:t>
      </w:r>
      <w:proofErr w:type="spellEnd"/>
      <w:r>
        <w:rPr>
          <w:color w:val="0000FF"/>
        </w:rPr>
        <w:t xml:space="preserve">; MAH, Mahajanga I; MID, </w:t>
      </w:r>
      <w:proofErr w:type="spellStart"/>
      <w:r>
        <w:rPr>
          <w:color w:val="0000FF"/>
        </w:rPr>
        <w:t>Midongy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Atsimo</w:t>
      </w:r>
      <w:proofErr w:type="spellEnd"/>
      <w:r>
        <w:rPr>
          <w:color w:val="0000FF"/>
        </w:rPr>
        <w:t xml:space="preserve">; TOL, </w:t>
      </w:r>
      <w:proofErr w:type="spellStart"/>
      <w:r>
        <w:rPr>
          <w:color w:val="0000FF"/>
        </w:rPr>
        <w:t>Toliara</w:t>
      </w:r>
      <w:proofErr w:type="spellEnd"/>
      <w:r>
        <w:rPr>
          <w:color w:val="0000FF"/>
        </w:rPr>
        <w:t xml:space="preserve"> I</w:t>
      </w:r>
    </w:p>
    <w:p w14:paraId="7DFFD2C6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5A45FD19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4A0B9BFF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3A6C5F67" w14:textId="77777777" w:rsidR="00004113" w:rsidRDefault="00004113" w:rsidP="00004113">
      <w:pPr>
        <w:widowControl w:val="0"/>
        <w:spacing w:before="240" w:after="240"/>
        <w:rPr>
          <w:b/>
        </w:rPr>
      </w:pPr>
    </w:p>
    <w:p w14:paraId="36B3455A" w14:textId="40B33D45" w:rsidR="0073165A" w:rsidRDefault="003C2D1C"/>
    <w:p w14:paraId="37424D2B" w14:textId="059740F1" w:rsidR="006C6539" w:rsidRDefault="006C6539"/>
    <w:p w14:paraId="16A31A9F" w14:textId="0A40FAAA" w:rsidR="006C6539" w:rsidRDefault="006C6539"/>
    <w:p w14:paraId="79DD085F" w14:textId="2F9722B1" w:rsidR="006C6539" w:rsidRDefault="006C6539"/>
    <w:p w14:paraId="541AB5A5" w14:textId="1FB75083" w:rsidR="006C6539" w:rsidRDefault="006C6539"/>
    <w:p w14:paraId="569875B3" w14:textId="31E83223" w:rsidR="006C6539" w:rsidRDefault="006C6539"/>
    <w:p w14:paraId="33D847F3" w14:textId="0B4D09F3" w:rsidR="006C6539" w:rsidRDefault="006C6539"/>
    <w:p w14:paraId="25836C7F" w14:textId="3DE606F9" w:rsidR="006C6539" w:rsidRDefault="006C6539"/>
    <w:p w14:paraId="3CA65932" w14:textId="54B8ABBA" w:rsidR="006C6539" w:rsidRDefault="006C6539"/>
    <w:p w14:paraId="4BA0F33C" w14:textId="78A01784" w:rsidR="006C6539" w:rsidRDefault="006C6539"/>
    <w:p w14:paraId="30B3112D" w14:textId="60A6A651" w:rsidR="006C6539" w:rsidRDefault="006C6539"/>
    <w:p w14:paraId="74474964" w14:textId="6DD7649B" w:rsidR="006C6539" w:rsidRDefault="006C6539"/>
    <w:p w14:paraId="7B3B8212" w14:textId="34F9DECE" w:rsidR="006C6539" w:rsidRDefault="006C6539"/>
    <w:p w14:paraId="70E55ED2" w14:textId="2A73A443" w:rsidR="006C6539" w:rsidRDefault="006C6539"/>
    <w:p w14:paraId="31716F7D" w14:textId="67CEDD62" w:rsidR="006C6539" w:rsidRDefault="006C6539"/>
    <w:p w14:paraId="060FE3AE" w14:textId="2A9E2CFB" w:rsidR="006C6539" w:rsidRDefault="006C6539"/>
    <w:p w14:paraId="11305774" w14:textId="0697AE73" w:rsidR="006C6539" w:rsidRDefault="006C6539"/>
    <w:p w14:paraId="040C12D3" w14:textId="5E3AE019" w:rsidR="006C6539" w:rsidRDefault="006C6539"/>
    <w:p w14:paraId="13B408CF" w14:textId="7CC2ABFC" w:rsidR="006C6539" w:rsidRDefault="006C6539"/>
    <w:p w14:paraId="534CEAFE" w14:textId="48DFE345" w:rsidR="006C6539" w:rsidRDefault="006C6539"/>
    <w:p w14:paraId="501EB577" w14:textId="465639CA" w:rsidR="006C6539" w:rsidRDefault="006C6539"/>
    <w:p w14:paraId="74F3D0D9" w14:textId="48A00633" w:rsidR="003C2D1C" w:rsidRDefault="003C2D1C"/>
    <w:p w14:paraId="3E1AA5A0" w14:textId="77777777" w:rsidR="003C2D1C" w:rsidRDefault="003C2D1C"/>
    <w:p w14:paraId="25BD883E" w14:textId="732077D4" w:rsidR="006C6539" w:rsidRDefault="006C6539"/>
    <w:p w14:paraId="3FA200E5" w14:textId="450914DA" w:rsidR="006C6539" w:rsidRDefault="006C6539"/>
    <w:p w14:paraId="0871C9DD" w14:textId="1059CE86" w:rsidR="006C6539" w:rsidRDefault="006C6539"/>
    <w:p w14:paraId="605496BC" w14:textId="1A93AA66" w:rsidR="006C6539" w:rsidRDefault="00887456">
      <w:pPr>
        <w:rPr>
          <w:color w:val="0000FF"/>
        </w:rPr>
      </w:pPr>
      <w:r>
        <w:rPr>
          <w:color w:val="0000FF"/>
        </w:rPr>
        <w:lastRenderedPageBreak/>
        <w:t>Supplementary References</w:t>
      </w:r>
    </w:p>
    <w:p w14:paraId="71D39C40" w14:textId="0AB57CFD" w:rsidR="006C6539" w:rsidRPr="00887456" w:rsidRDefault="006C6539" w:rsidP="00887456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887456">
        <w:rPr>
          <w:b/>
          <w:bCs/>
          <w:color w:val="000000" w:themeColor="text1"/>
        </w:rPr>
        <w:t>Burkovski A</w:t>
      </w:r>
      <w:r w:rsidRPr="00887456">
        <w:rPr>
          <w:color w:val="000000" w:themeColor="text1"/>
        </w:rPr>
        <w:t xml:space="preserve">. </w:t>
      </w:r>
      <w:r w:rsidRPr="00887456">
        <w:rPr>
          <w:i/>
          <w:iCs/>
          <w:color w:val="000000" w:themeColor="text1"/>
        </w:rPr>
        <w:t>Corynebacterium diphtheriae and Related Toxigenic Species: Genomics, Pathogenicity and Applications</w:t>
      </w:r>
      <w:r w:rsidRPr="00887456">
        <w:rPr>
          <w:color w:val="000000" w:themeColor="text1"/>
        </w:rPr>
        <w:t>. Springer Science &amp; Business Media, 2013.</w:t>
      </w:r>
    </w:p>
    <w:p w14:paraId="63CE3F12" w14:textId="12E51EC4" w:rsidR="006C6539" w:rsidRDefault="006C6539" w:rsidP="006C6539">
      <w:pPr>
        <w:pStyle w:val="ListParagraph"/>
      </w:pPr>
    </w:p>
    <w:sectPr w:rsidR="006C6539" w:rsidSect="005D7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766A8"/>
    <w:multiLevelType w:val="hybridMultilevel"/>
    <w:tmpl w:val="7100AE12"/>
    <w:lvl w:ilvl="0" w:tplc="9612C42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D91850"/>
    <w:multiLevelType w:val="hybridMultilevel"/>
    <w:tmpl w:val="D3F2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13"/>
    <w:rsid w:val="00004113"/>
    <w:rsid w:val="003C2D1C"/>
    <w:rsid w:val="005D71BC"/>
    <w:rsid w:val="006C6539"/>
    <w:rsid w:val="00731131"/>
    <w:rsid w:val="00887456"/>
    <w:rsid w:val="00CD3447"/>
    <w:rsid w:val="00E0522E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BFB56"/>
  <w14:defaultImageDpi w14:val="32767"/>
  <w15:chartTrackingRefBased/>
  <w15:docId w15:val="{01C2FD23-A4AB-C24F-9541-6D57992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411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C65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C6539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6C6539"/>
  </w:style>
  <w:style w:type="character" w:styleId="FollowedHyperlink">
    <w:name w:val="FollowedHyperlink"/>
    <w:basedOn w:val="DefaultParagraphFont"/>
    <w:uiPriority w:val="99"/>
    <w:semiHidden/>
    <w:unhideWhenUsed/>
    <w:rsid w:val="006C65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perpile.com/c/vuVPt1/bGbd" TargetMode="External"/><Relationship Id="rId5" Type="http://schemas.openxmlformats.org/officeDocument/2006/relationships/hyperlink" Target="https://paperpile.com/c/vuVPt1/wj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Menezes, Arthur</dc:creator>
  <cp:keywords/>
  <dc:description/>
  <cp:lastModifiedBy>Menezes, Arthur</cp:lastModifiedBy>
  <cp:revision>1</cp:revision>
  <dcterms:created xsi:type="dcterms:W3CDTF">2021-12-05T15:42:00Z</dcterms:created>
  <dcterms:modified xsi:type="dcterms:W3CDTF">2021-12-05T16:15:00Z</dcterms:modified>
</cp:coreProperties>
</file>