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A4" w:rsidRPr="00B02A85" w:rsidRDefault="006015A4" w:rsidP="000E5F48">
      <w:pPr>
        <w:pStyle w:val="Title"/>
      </w:pPr>
      <w:r w:rsidRPr="00B02A85">
        <w:t>Validation of a clinical and genetic model for predicting severe COVID-19</w:t>
      </w:r>
    </w:p>
    <w:p w:rsidR="006015A4" w:rsidRDefault="006015A4" w:rsidP="001671D8">
      <w:r w:rsidRPr="00B02A85">
        <w:t>Gillian S. Dite</w:t>
      </w:r>
      <w:r w:rsidR="008F70AF">
        <w:t xml:space="preserve">, </w:t>
      </w:r>
      <w:r w:rsidRPr="00B02A85">
        <w:t>Nicholas M. Murphy</w:t>
      </w:r>
      <w:r w:rsidR="008F70AF">
        <w:t xml:space="preserve">, </w:t>
      </w:r>
      <w:r>
        <w:t xml:space="preserve">Erika </w:t>
      </w:r>
      <w:proofErr w:type="spellStart"/>
      <w:r>
        <w:t>Spaeth</w:t>
      </w:r>
      <w:proofErr w:type="spellEnd"/>
      <w:r w:rsidR="008F70AF">
        <w:t xml:space="preserve">, </w:t>
      </w:r>
      <w:r w:rsidRPr="00B02A85">
        <w:t>Richard Allman</w:t>
      </w:r>
      <w:r w:rsidR="008F70AF">
        <w:t xml:space="preserve">, </w:t>
      </w:r>
      <w:r>
        <w:t>Lifelines Corona Research Initiative</w:t>
      </w:r>
    </w:p>
    <w:p w:rsidR="006015A4" w:rsidRDefault="006015A4" w:rsidP="000E2590">
      <w:pPr>
        <w:pStyle w:val="Heading1"/>
      </w:pPr>
      <w:bookmarkStart w:id="0" w:name="_GoBack"/>
      <w:bookmarkEnd w:id="0"/>
      <w:r>
        <w:t>Supplementary information</w:t>
      </w:r>
    </w:p>
    <w:p w:rsidR="006015A4" w:rsidRDefault="006015A4" w:rsidP="006B6AE7">
      <w:pPr>
        <w:spacing w:line="276" w:lineRule="auto"/>
      </w:pPr>
      <w:r>
        <w:rPr>
          <w:b/>
        </w:rPr>
        <w:t xml:space="preserve">Supplementary </w:t>
      </w:r>
      <w:r w:rsidRPr="00B41F59">
        <w:rPr>
          <w:b/>
        </w:rPr>
        <w:t xml:space="preserve">Table </w:t>
      </w:r>
      <w:r>
        <w:rPr>
          <w:b/>
        </w:rPr>
        <w:t>S</w:t>
      </w:r>
      <w:r w:rsidRPr="00B41F59">
        <w:rPr>
          <w:b/>
        </w:rPr>
        <w:t>1.</w:t>
      </w:r>
      <w:r>
        <w:t xml:space="preserve"> Beta coefficients for calculation of risk of severe COVID-19</w:t>
      </w:r>
    </w:p>
    <w:tbl>
      <w:tblPr>
        <w:tblW w:w="924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2294"/>
      </w:tblGrid>
      <w:tr w:rsidR="006015A4" w:rsidRPr="007A3347" w:rsidTr="00F123A3">
        <w:trPr>
          <w:trHeight w:val="28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A4" w:rsidRPr="007A3347" w:rsidRDefault="006015A4" w:rsidP="00CB1B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b/>
                <w:color w:val="000000"/>
                <w:szCs w:val="24"/>
                <w:lang w:eastAsia="en-AU"/>
              </w:rPr>
              <w:t>Variable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A4" w:rsidRPr="007A3347" w:rsidRDefault="006015A4" w:rsidP="00CB1B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b/>
                <w:color w:val="000000"/>
                <w:szCs w:val="24"/>
                <w:lang w:eastAsia="en-AU"/>
              </w:rPr>
              <w:t>Value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A4" w:rsidRPr="007A3347" w:rsidRDefault="006015A4" w:rsidP="00CB1B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b/>
                <w:color w:val="000000"/>
                <w:szCs w:val="24"/>
                <w:lang w:eastAsia="en-AU"/>
              </w:rPr>
              <w:t>Beta coefficient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Intercept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−1.37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Age 18–29 years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−1.31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Age 30–39 years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−0.83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Age 40–49 years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−0.40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Age 50–69 years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6015A4" w:rsidRPr="007A3347" w:rsidRDefault="006015A4" w:rsidP="00CB1BE9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0.00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Age 70–74 years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0.57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Age 75–79 years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0.82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Age 80+ years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1.01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Male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CB1BE9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0.24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Inverse of BMI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10/BMI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−1.60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Cancer, haematological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1.00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Cancer, non-haematological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0.26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Cerebrovascular disease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0.40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Diabetes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0.43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Hypertension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0.29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Kidney disease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0.69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Respiratory disease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(excluding asthma)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no,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yes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1.17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rs112317747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T/T,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C/T, 2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C/C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0.27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rs2034831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A/A,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C/A, 2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C/C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0.24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rs112641600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C/C,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T/C, 2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T/T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−0.24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rs10755709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A/A,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G/A, 2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G/G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0.12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rs118072448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T/T,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C/T, 2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C/C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−0.20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rs7027911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G/G,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A/G, 2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A/A</w:t>
            </w:r>
          </w:p>
        </w:tc>
        <w:tc>
          <w:tcPr>
            <w:tcW w:w="2294" w:type="dxa"/>
            <w:shd w:val="clear" w:color="auto" w:fill="auto"/>
            <w:noWrap/>
            <w:vAlign w:val="bottom"/>
            <w:hideMark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0.10</w:t>
            </w:r>
          </w:p>
        </w:tc>
      </w:tr>
      <w:tr w:rsidR="006015A4" w:rsidRPr="007A3347" w:rsidTr="00F123A3">
        <w:trPr>
          <w:trHeight w:val="288"/>
        </w:trPr>
        <w:tc>
          <w:tcPr>
            <w:tcW w:w="3969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rs71481792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0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A/A, 1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T/A, 2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=</w:t>
            </w:r>
            <w:r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 xml:space="preserve"> </w:t>
            </w: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T/T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6015A4" w:rsidRPr="007A3347" w:rsidRDefault="006015A4" w:rsidP="006807FE">
            <w:pPr>
              <w:tabs>
                <w:tab w:val="decimal" w:pos="1169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</w:pPr>
            <w:r w:rsidRPr="007A3347">
              <w:rPr>
                <w:rFonts w:ascii="Arial Narrow" w:eastAsia="Times New Roman" w:hAnsi="Arial Narrow" w:cs="Times New Roman"/>
                <w:color w:val="000000"/>
                <w:szCs w:val="24"/>
                <w:lang w:eastAsia="en-AU"/>
              </w:rPr>
              <w:t>−0.11</w:t>
            </w:r>
          </w:p>
        </w:tc>
      </w:tr>
    </w:tbl>
    <w:p w:rsidR="006015A4" w:rsidRDefault="006015A4" w:rsidP="006B6AE7">
      <w:pPr>
        <w:spacing w:before="240" w:line="276" w:lineRule="auto"/>
      </w:pPr>
      <w:r w:rsidRPr="007A3347">
        <w:rPr>
          <w:rFonts w:ascii="Arial Narrow" w:hAnsi="Arial Narrow"/>
        </w:rPr>
        <w:t>Note: Body mass index (BMI) is calculated as kg/m</w:t>
      </w:r>
      <w:r w:rsidRPr="007A3347">
        <w:rPr>
          <w:rFonts w:ascii="Arial Narrow" w:hAnsi="Arial Narrow"/>
          <w:vertAlign w:val="superscript"/>
        </w:rPr>
        <w:t>2</w:t>
      </w:r>
      <w:r w:rsidRPr="007A3347">
        <w:rPr>
          <w:rFonts w:ascii="Arial Narrow" w:hAnsi="Arial Narrow"/>
        </w:rPr>
        <w:t>; the inverse of BMI is calculated as 10 divided by BMI. In the current analysis</w:t>
      </w:r>
      <w:r>
        <w:rPr>
          <w:rFonts w:ascii="Arial Narrow" w:hAnsi="Arial Narrow"/>
        </w:rPr>
        <w:t>,</w:t>
      </w:r>
      <w:r w:rsidRPr="007A3347">
        <w:rPr>
          <w:rFonts w:ascii="Arial Narrow" w:hAnsi="Arial Narrow"/>
        </w:rPr>
        <w:t xml:space="preserve"> we used rs10905502 as a proxy for rs71481792 and rs78654835 as a proxy for rs112317747.</w:t>
      </w:r>
      <w:r>
        <w:br w:type="page"/>
      </w:r>
    </w:p>
    <w:p w:rsidR="006015A4" w:rsidRPr="00D27AD6" w:rsidRDefault="006015A4" w:rsidP="000D20F0">
      <w:pPr>
        <w:rPr>
          <w:noProof/>
          <w:lang w:eastAsia="en-AU"/>
        </w:rPr>
      </w:pPr>
      <w:r w:rsidRPr="00B41341">
        <w:rPr>
          <w:noProof/>
          <w:lang w:eastAsia="en-AU"/>
        </w:rPr>
        <w:lastRenderedPageBreak/>
        <w:drawing>
          <wp:inline distT="0" distB="0" distL="0" distR="0" wp14:anchorId="6122E6E0" wp14:editId="1300170A">
            <wp:extent cx="50292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A4" w:rsidRDefault="006015A4" w:rsidP="006B6AE7">
      <w:pPr>
        <w:spacing w:line="276" w:lineRule="auto"/>
        <w:rPr>
          <w:noProof/>
          <w:lang w:eastAsia="en-AU"/>
        </w:rPr>
      </w:pPr>
      <w:r>
        <w:rPr>
          <w:b/>
          <w:noProof/>
          <w:lang w:eastAsia="en-AU"/>
        </w:rPr>
        <w:t xml:space="preserve">Supplementary Figure S1. </w:t>
      </w:r>
      <w:r w:rsidRPr="00C10F95">
        <w:rPr>
          <w:noProof/>
          <w:lang w:eastAsia="en-AU"/>
        </w:rPr>
        <w:t xml:space="preserve">Distribution of probability of severe COVID-19 in (A) all Lifelines COVID-19 </w:t>
      </w:r>
      <w:r>
        <w:rPr>
          <w:noProof/>
          <w:lang w:eastAsia="en-AU"/>
        </w:rPr>
        <w:t xml:space="preserve">cohort </w:t>
      </w:r>
      <w:r w:rsidRPr="00C10F95">
        <w:rPr>
          <w:noProof/>
          <w:lang w:eastAsia="en-AU"/>
        </w:rPr>
        <w:t>participants, (B) hospitalized (cases), (C) non-hospitalized confirmed COVID-19 (controls) and (D) non-hospitalized confirmed and self-reported COVID-19 (controls).</w:t>
      </w:r>
    </w:p>
    <w:p w:rsidR="006015A4" w:rsidRDefault="006015A4" w:rsidP="006B6AE7">
      <w:pPr>
        <w:spacing w:line="276" w:lineRule="auto"/>
        <w:rPr>
          <w:b/>
          <w:noProof/>
          <w:lang w:eastAsia="en-AU"/>
        </w:rPr>
      </w:pPr>
    </w:p>
    <w:p w:rsidR="006015A4" w:rsidRDefault="006015A4" w:rsidP="000D20F0">
      <w:pPr>
        <w:rPr>
          <w:b/>
          <w:noProof/>
          <w:lang w:eastAsia="en-AU"/>
        </w:rPr>
      </w:pPr>
      <w:r w:rsidRPr="00570137">
        <w:rPr>
          <w:b/>
          <w:noProof/>
          <w:lang w:eastAsia="en-AU"/>
        </w:rPr>
        <w:drawing>
          <wp:inline distT="0" distB="0" distL="0" distR="0" wp14:anchorId="0580912F" wp14:editId="304E748B">
            <wp:extent cx="5731510" cy="286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B6" w:rsidRPr="00625CC6" w:rsidRDefault="006015A4" w:rsidP="00824081">
      <w:pPr>
        <w:spacing w:line="276" w:lineRule="auto"/>
      </w:pPr>
      <w:r w:rsidRPr="00C141E5">
        <w:rPr>
          <w:b/>
        </w:rPr>
        <w:t>Supplementary Figure S</w:t>
      </w:r>
      <w:r>
        <w:rPr>
          <w:b/>
        </w:rPr>
        <w:t>2</w:t>
      </w:r>
      <w:r w:rsidRPr="00C141E5">
        <w:rPr>
          <w:b/>
        </w:rPr>
        <w:t xml:space="preserve">. </w:t>
      </w:r>
      <w:r w:rsidRPr="00C10F95">
        <w:t>Calibration plots for (A) the confirmed COVID-19 group and (B) the confirmed and self-reported COVID-19 group.</w:t>
      </w:r>
    </w:p>
    <w:sectPr w:rsidR="00EE49B6" w:rsidRPr="00625CC6" w:rsidSect="008F70A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D3" w:rsidRDefault="001D7FD3">
      <w:pPr>
        <w:spacing w:after="0" w:line="240" w:lineRule="auto"/>
      </w:pPr>
      <w:r>
        <w:separator/>
      </w:r>
    </w:p>
  </w:endnote>
  <w:endnote w:type="continuationSeparator" w:id="0">
    <w:p w:rsidR="001D7FD3" w:rsidRDefault="001D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760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3A3" w:rsidRDefault="008240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0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D3" w:rsidRDefault="001D7FD3">
      <w:pPr>
        <w:spacing w:after="0" w:line="240" w:lineRule="auto"/>
      </w:pPr>
      <w:r>
        <w:separator/>
      </w:r>
    </w:p>
  </w:footnote>
  <w:footnote w:type="continuationSeparator" w:id="0">
    <w:p w:rsidR="001D7FD3" w:rsidRDefault="001D7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C238F"/>
    <w:multiLevelType w:val="hybridMultilevel"/>
    <w:tmpl w:val="A3046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40E5A"/>
    <w:multiLevelType w:val="hybridMultilevel"/>
    <w:tmpl w:val="280258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70290"/>
    <w:multiLevelType w:val="hybridMultilevel"/>
    <w:tmpl w:val="E41EF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015A4"/>
    <w:rsid w:val="001D7FD3"/>
    <w:rsid w:val="0026447F"/>
    <w:rsid w:val="0038126B"/>
    <w:rsid w:val="0039623F"/>
    <w:rsid w:val="004526FF"/>
    <w:rsid w:val="006015A4"/>
    <w:rsid w:val="00625CC6"/>
    <w:rsid w:val="006B07AB"/>
    <w:rsid w:val="00824081"/>
    <w:rsid w:val="008F70AF"/>
    <w:rsid w:val="00CD33DE"/>
    <w:rsid w:val="00E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E66A"/>
  <w15:chartTrackingRefBased/>
  <w15:docId w15:val="{0D6BB909-E801-4C87-AA20-5A3F88A1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A4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5A4"/>
    <w:pPr>
      <w:keepNext/>
      <w:keepLines/>
      <w:spacing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5A4"/>
    <w:pPr>
      <w:keepNext/>
      <w:keepLines/>
      <w:spacing w:after="240"/>
      <w:outlineLvl w:val="1"/>
    </w:pPr>
    <w:rPr>
      <w:rFonts w:eastAsiaTheme="majorEastAsia" w:cstheme="majorBidi"/>
      <w:b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5A4"/>
    <w:pPr>
      <w:keepNext/>
      <w:keepLines/>
      <w:spacing w:after="240"/>
      <w:outlineLvl w:val="2"/>
    </w:pPr>
    <w:rPr>
      <w:rFonts w:ascii="Segoe UI" w:eastAsiaTheme="majorEastAsia" w:hAnsi="Segoe U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5A4"/>
    <w:pPr>
      <w:keepNext/>
      <w:keepLines/>
      <w:spacing w:after="120"/>
      <w:outlineLvl w:val="3"/>
    </w:pPr>
    <w:rPr>
      <w:rFonts w:ascii="Segoe UI" w:eastAsiaTheme="majorEastAsia" w:hAnsi="Segoe U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5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5A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15A4"/>
    <w:rPr>
      <w:rFonts w:ascii="Times New Roman" w:eastAsiaTheme="majorEastAsia" w:hAnsi="Times New Roman" w:cstheme="majorBidi"/>
      <w:b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5A4"/>
    <w:rPr>
      <w:rFonts w:ascii="Segoe UI" w:eastAsiaTheme="majorEastAsia" w:hAnsi="Segoe U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5A4"/>
    <w:rPr>
      <w:rFonts w:ascii="Segoe UI" w:eastAsiaTheme="majorEastAsia" w:hAnsi="Segoe U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5A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Results">
    <w:name w:val="Results"/>
    <w:basedOn w:val="Normal"/>
    <w:qFormat/>
    <w:rsid w:val="006015A4"/>
    <w:pPr>
      <w:spacing w:after="0" w:line="240" w:lineRule="auto"/>
    </w:pPr>
    <w:rPr>
      <w:rFonts w:ascii="Courier New" w:hAnsi="Courier New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15A4"/>
    <w:pPr>
      <w:spacing w:after="24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5A4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rsid w:val="006015A4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015A4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015A4"/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015A4"/>
    <w:rPr>
      <w:rFonts w:ascii="Times New Roman" w:hAnsi="Times New Roman" w:cs="Times New Roman"/>
      <w:noProof/>
      <w:sz w:val="24"/>
      <w:lang w:val="en-US"/>
    </w:rPr>
  </w:style>
  <w:style w:type="character" w:styleId="Strong">
    <w:name w:val="Strong"/>
    <w:basedOn w:val="DefaultParagraphFont"/>
    <w:uiPriority w:val="22"/>
    <w:qFormat/>
    <w:rsid w:val="006015A4"/>
    <w:rPr>
      <w:b/>
      <w:bCs/>
    </w:rPr>
  </w:style>
  <w:style w:type="character" w:styleId="Emphasis">
    <w:name w:val="Emphasis"/>
    <w:basedOn w:val="DefaultParagraphFont"/>
    <w:uiPriority w:val="20"/>
    <w:qFormat/>
    <w:rsid w:val="006015A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01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A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01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A4"/>
    <w:rPr>
      <w:rFonts w:ascii="Times New Roman" w:hAnsi="Times New Roman"/>
      <w:sz w:val="24"/>
    </w:rPr>
  </w:style>
  <w:style w:type="paragraph" w:customStyle="1" w:styleId="ParaText">
    <w:name w:val="ParaText"/>
    <w:basedOn w:val="Normal"/>
    <w:qFormat/>
    <w:rsid w:val="006015A4"/>
    <w:pPr>
      <w:spacing w:after="360"/>
      <w:ind w:firstLine="720"/>
      <w:contextualSpacing/>
    </w:pPr>
  </w:style>
  <w:style w:type="character" w:styleId="Hyperlink">
    <w:name w:val="Hyperlink"/>
    <w:basedOn w:val="DefaultParagraphFont"/>
    <w:uiPriority w:val="99"/>
    <w:unhideWhenUsed/>
    <w:rsid w:val="006015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5A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015A4"/>
  </w:style>
  <w:style w:type="table" w:styleId="TableGrid">
    <w:name w:val="Table Grid"/>
    <w:basedOn w:val="TableNormal"/>
    <w:uiPriority w:val="39"/>
    <w:rsid w:val="0060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15A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15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15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1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5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5A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Dite</dc:creator>
  <cp:keywords/>
  <dc:description/>
  <cp:lastModifiedBy>Gillian Dite</cp:lastModifiedBy>
  <cp:revision>3</cp:revision>
  <dcterms:created xsi:type="dcterms:W3CDTF">2022-01-14T05:46:00Z</dcterms:created>
  <dcterms:modified xsi:type="dcterms:W3CDTF">2022-01-14T05:48:00Z</dcterms:modified>
</cp:coreProperties>
</file>