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FFD0" w14:textId="77777777" w:rsidR="005A25F9" w:rsidRPr="00107CDF" w:rsidRDefault="005A25F9" w:rsidP="005A25F9">
      <w:pPr>
        <w:pStyle w:val="Heading1"/>
        <w:spacing w:before="0"/>
      </w:pPr>
      <w:r>
        <w:t>Supplementary Information</w:t>
      </w:r>
    </w:p>
    <w:p w14:paraId="6B19C433" w14:textId="77777777" w:rsidR="005A25F9" w:rsidRPr="007B47D6" w:rsidRDefault="005A25F9" w:rsidP="005A25F9">
      <w:pPr>
        <w:spacing w:before="0" w:after="0"/>
        <w:rPr>
          <w:rFonts w:eastAsia="Verdana" w:cs="Arial"/>
          <w:b/>
          <w:szCs w:val="18"/>
          <w:lang w:val="x-none" w:eastAsia="x-none"/>
        </w:rPr>
      </w:pPr>
      <w:r w:rsidRPr="007B47D6">
        <w:rPr>
          <w:rFonts w:eastAsia="Verdana" w:cs="Arial"/>
          <w:b/>
          <w:szCs w:val="18"/>
          <w:lang w:eastAsia="x-none"/>
        </w:rPr>
        <w:t>S1 Code lists</w:t>
      </w:r>
    </w:p>
    <w:p w14:paraId="5688B91C" w14:textId="77777777" w:rsidR="005A25F9" w:rsidRPr="003F3468" w:rsidRDefault="005A25F9" w:rsidP="005A25F9">
      <w:pPr>
        <w:pStyle w:val="Caption"/>
        <w:keepNext/>
        <w:jc w:val="left"/>
        <w:rPr>
          <w:b/>
          <w:szCs w:val="18"/>
          <w:lang w:val="en-US"/>
        </w:rPr>
      </w:pPr>
      <w:bookmarkStart w:id="0" w:name="_Ref68540941"/>
      <w:bookmarkStart w:id="1" w:name="_Ref68540934"/>
      <w:r w:rsidRPr="003F3468">
        <w:rPr>
          <w:rFonts w:ascii="Verdana" w:hAnsi="Verdana"/>
          <w:b/>
          <w:sz w:val="18"/>
          <w:szCs w:val="18"/>
          <w:lang w:val="en-US"/>
        </w:rPr>
        <w:t>Table</w:t>
      </w:r>
      <w:bookmarkEnd w:id="0"/>
      <w:r w:rsidRPr="003F3468">
        <w:rPr>
          <w:rFonts w:ascii="Verdana" w:hAnsi="Verdana"/>
          <w:b/>
          <w:sz w:val="18"/>
          <w:szCs w:val="18"/>
          <w:lang w:val="en-US"/>
        </w:rPr>
        <w:t xml:space="preserve"> 1. </w:t>
      </w:r>
      <w:bookmarkEnd w:id="1"/>
      <w:r>
        <w:rPr>
          <w:rFonts w:ascii="Verdana" w:hAnsi="Verdana"/>
          <w:b/>
          <w:sz w:val="18"/>
          <w:szCs w:val="18"/>
          <w:lang w:val="en-US"/>
        </w:rPr>
        <w:t>All-cause pneumonia ICD-10-GM code list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A25F9" w:rsidRPr="006A4824" w14:paraId="61BE18B5" w14:textId="77777777" w:rsidTr="008520C1">
        <w:tc>
          <w:tcPr>
            <w:tcW w:w="5000" w:type="pct"/>
          </w:tcPr>
          <w:p w14:paraId="56324641" w14:textId="77777777" w:rsidR="005A25F9" w:rsidRPr="006532A5" w:rsidRDefault="005A25F9" w:rsidP="008520C1">
            <w:pPr>
              <w:spacing w:before="0" w:after="140"/>
              <w:rPr>
                <w:rFonts w:eastAsia="Verdana" w:cs="Arial"/>
                <w:b/>
                <w:szCs w:val="18"/>
                <w:lang w:eastAsia="x-none"/>
              </w:rPr>
            </w:pPr>
            <w:r w:rsidRPr="006532A5">
              <w:rPr>
                <w:rFonts w:eastAsia="Verdana" w:cs="Arial"/>
                <w:b/>
                <w:szCs w:val="18"/>
                <w:lang w:eastAsia="x-none"/>
              </w:rPr>
              <w:t>Category and ICD-10</w:t>
            </w:r>
            <w:r>
              <w:rPr>
                <w:rFonts w:eastAsia="Verdana" w:cs="Arial"/>
                <w:b/>
                <w:szCs w:val="18"/>
                <w:lang w:eastAsia="x-none"/>
              </w:rPr>
              <w:t>-</w:t>
            </w:r>
            <w:r w:rsidRPr="006532A5">
              <w:rPr>
                <w:rFonts w:eastAsia="Verdana" w:cs="Arial"/>
                <w:b/>
                <w:szCs w:val="18"/>
                <w:lang w:eastAsia="x-none"/>
              </w:rPr>
              <w:t xml:space="preserve">GM </w:t>
            </w:r>
          </w:p>
        </w:tc>
      </w:tr>
      <w:tr w:rsidR="005A25F9" w:rsidRPr="006A4824" w14:paraId="715E7AF9" w14:textId="77777777" w:rsidTr="008520C1">
        <w:tc>
          <w:tcPr>
            <w:tcW w:w="5000" w:type="pct"/>
          </w:tcPr>
          <w:p w14:paraId="54C6C393" w14:textId="77777777" w:rsidR="005A25F9" w:rsidRPr="006532A5" w:rsidRDefault="005A25F9" w:rsidP="008520C1">
            <w:pPr>
              <w:spacing w:before="0" w:after="140"/>
              <w:rPr>
                <w:rFonts w:eastAsia="Verdana" w:cs="Arial"/>
                <w:i/>
                <w:szCs w:val="18"/>
                <w:lang w:eastAsia="x-none"/>
              </w:rPr>
            </w:pPr>
            <w:r>
              <w:rPr>
                <w:rFonts w:eastAsia="Verdana" w:cs="Arial"/>
                <w:i/>
                <w:szCs w:val="18"/>
                <w:lang w:eastAsia="x-none"/>
              </w:rPr>
              <w:t>All-cause pneumonia</w:t>
            </w:r>
          </w:p>
          <w:p w14:paraId="6849C6DA" w14:textId="77777777" w:rsidR="005A25F9" w:rsidRPr="006532A5" w:rsidRDefault="005A25F9" w:rsidP="008520C1">
            <w:pPr>
              <w:spacing w:before="0" w:after="140"/>
              <w:rPr>
                <w:rFonts w:eastAsia="Verdana" w:cs="Arial"/>
                <w:szCs w:val="18"/>
                <w:lang w:eastAsia="x-none"/>
              </w:rPr>
            </w:pPr>
            <w:r w:rsidRPr="00FE6AA4">
              <w:rPr>
                <w:rFonts w:eastAsia="Verdana" w:cs="Arial"/>
                <w:szCs w:val="18"/>
                <w:lang w:eastAsia="x-none"/>
              </w:rPr>
              <w:t>J13, J15.9 + B95.3, J18.0 + B95.3, J18.1 + B95.3, J18.8 + B95.3, J18.9 + B95.3, J15.9, J18.0, J18.1, J18.8, J18.9, J10.0, J11.0, J12, J14, A48.1, J15.0, J15.1, J15.2, J15.3, J15.4, J15.5, J15.6, J15.7, J15.8, J16, A22.1, A37, B25.0, B44.0, J17, J18</w:t>
            </w:r>
          </w:p>
        </w:tc>
      </w:tr>
    </w:tbl>
    <w:p w14:paraId="50A0A43B" w14:textId="77777777" w:rsidR="005A25F9" w:rsidRPr="0078087E" w:rsidRDefault="005A25F9" w:rsidP="005A25F9">
      <w:pPr>
        <w:spacing w:before="0" w:after="0"/>
      </w:pPr>
    </w:p>
    <w:p w14:paraId="3DC95C5A" w14:textId="77777777" w:rsidR="005A25F9" w:rsidRPr="007B47D6" w:rsidRDefault="005A25F9" w:rsidP="005A25F9">
      <w:pPr>
        <w:pStyle w:val="Caption"/>
        <w:keepNext/>
        <w:jc w:val="left"/>
        <w:rPr>
          <w:rFonts w:eastAsia="Verdana"/>
          <w:b/>
          <w:szCs w:val="18"/>
          <w:lang w:val="en-US"/>
        </w:rPr>
      </w:pPr>
      <w:r w:rsidRPr="003F3468">
        <w:rPr>
          <w:rFonts w:ascii="Verdana" w:hAnsi="Verdana"/>
          <w:b/>
          <w:sz w:val="18"/>
          <w:szCs w:val="18"/>
          <w:lang w:val="en-US"/>
        </w:rPr>
        <w:t xml:space="preserve">Table </w:t>
      </w:r>
      <w:r>
        <w:rPr>
          <w:rFonts w:ascii="Verdana" w:hAnsi="Verdana"/>
          <w:b/>
          <w:sz w:val="18"/>
          <w:szCs w:val="18"/>
          <w:lang w:val="en-US"/>
        </w:rPr>
        <w:t>2</w:t>
      </w:r>
      <w:r w:rsidRPr="003F3468">
        <w:rPr>
          <w:rFonts w:ascii="Verdana" w:hAnsi="Verdana"/>
          <w:b/>
          <w:sz w:val="18"/>
          <w:szCs w:val="18"/>
          <w:lang w:val="en-US"/>
        </w:rPr>
        <w:t xml:space="preserve">. </w:t>
      </w:r>
      <w:r>
        <w:rPr>
          <w:rFonts w:ascii="Verdana" w:hAnsi="Verdana"/>
          <w:b/>
          <w:sz w:val="18"/>
          <w:szCs w:val="18"/>
          <w:lang w:val="en-US"/>
        </w:rPr>
        <w:t>IPD ICD-10-GM code list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A25F9" w:rsidRPr="006A4824" w14:paraId="2AF20529" w14:textId="77777777" w:rsidTr="008520C1">
        <w:tc>
          <w:tcPr>
            <w:tcW w:w="5000" w:type="pct"/>
          </w:tcPr>
          <w:p w14:paraId="70E8B844" w14:textId="77777777" w:rsidR="005A25F9" w:rsidRPr="007B47D6" w:rsidRDefault="005A25F9" w:rsidP="008520C1">
            <w:pPr>
              <w:spacing w:before="0" w:after="140"/>
              <w:rPr>
                <w:rFonts w:eastAsia="Verdana" w:cs="Arial"/>
                <w:b/>
                <w:szCs w:val="18"/>
                <w:lang w:eastAsia="x-none"/>
              </w:rPr>
            </w:pPr>
            <w:r w:rsidRPr="007B47D6">
              <w:rPr>
                <w:rFonts w:eastAsia="Verdana" w:cs="Arial"/>
                <w:b/>
                <w:szCs w:val="18"/>
                <w:lang w:eastAsia="x-none"/>
              </w:rPr>
              <w:t>Category and ICD-10</w:t>
            </w:r>
            <w:r>
              <w:rPr>
                <w:rFonts w:eastAsia="Verdana" w:cs="Arial"/>
                <w:b/>
                <w:szCs w:val="18"/>
                <w:lang w:eastAsia="x-none"/>
              </w:rPr>
              <w:t>-</w:t>
            </w:r>
            <w:r w:rsidRPr="007B47D6">
              <w:rPr>
                <w:rFonts w:eastAsia="Verdana" w:cs="Arial"/>
                <w:b/>
                <w:szCs w:val="18"/>
                <w:lang w:eastAsia="x-none"/>
              </w:rPr>
              <w:t xml:space="preserve">GM </w:t>
            </w:r>
          </w:p>
        </w:tc>
      </w:tr>
      <w:tr w:rsidR="005A25F9" w:rsidRPr="006A4824" w14:paraId="447367E2" w14:textId="77777777" w:rsidTr="008520C1">
        <w:tc>
          <w:tcPr>
            <w:tcW w:w="5000" w:type="pct"/>
          </w:tcPr>
          <w:p w14:paraId="21BCC47F" w14:textId="77777777" w:rsidR="005A25F9" w:rsidRPr="007B47D6" w:rsidRDefault="005A25F9" w:rsidP="008520C1">
            <w:pPr>
              <w:spacing w:before="0" w:after="140"/>
              <w:rPr>
                <w:rFonts w:eastAsia="Verdana" w:cs="Arial"/>
                <w:i/>
                <w:szCs w:val="18"/>
                <w:lang w:eastAsia="x-none"/>
              </w:rPr>
            </w:pPr>
            <w:proofErr w:type="spellStart"/>
            <w:r w:rsidRPr="007B47D6">
              <w:rPr>
                <w:rFonts w:eastAsia="Verdana" w:cs="Arial"/>
                <w:i/>
                <w:szCs w:val="18"/>
                <w:lang w:eastAsia="x-none"/>
              </w:rPr>
              <w:t>Bacteremia</w:t>
            </w:r>
            <w:proofErr w:type="spellEnd"/>
          </w:p>
          <w:p w14:paraId="61CB045E" w14:textId="77777777" w:rsidR="005A25F9" w:rsidRPr="007B47D6" w:rsidRDefault="005A25F9" w:rsidP="008520C1">
            <w:pPr>
              <w:spacing w:before="0" w:after="140"/>
              <w:rPr>
                <w:rFonts w:eastAsia="Verdana" w:cs="Arial"/>
                <w:szCs w:val="18"/>
                <w:lang w:eastAsia="x-none"/>
              </w:rPr>
            </w:pPr>
            <w:r w:rsidRPr="007B47D6">
              <w:rPr>
                <w:rFonts w:eastAsia="Verdana" w:cs="Arial"/>
                <w:szCs w:val="18"/>
                <w:lang w:eastAsia="x-none"/>
              </w:rPr>
              <w:t>A40.3, A40.9 + B95.3, A41.9 + B95.3, A49.9 + B95.3</w:t>
            </w:r>
          </w:p>
        </w:tc>
      </w:tr>
      <w:tr w:rsidR="005A25F9" w:rsidRPr="009F282D" w14:paraId="43932216" w14:textId="77777777" w:rsidTr="008520C1">
        <w:tc>
          <w:tcPr>
            <w:tcW w:w="5000" w:type="pct"/>
          </w:tcPr>
          <w:p w14:paraId="1A652BDC" w14:textId="77777777" w:rsidR="005A25F9" w:rsidRPr="00B319A9" w:rsidRDefault="005A25F9" w:rsidP="008520C1">
            <w:pPr>
              <w:spacing w:before="0" w:after="140"/>
              <w:rPr>
                <w:rFonts w:eastAsia="Verdana" w:cs="Arial"/>
                <w:i/>
                <w:szCs w:val="18"/>
                <w:lang w:val="nl-NL" w:eastAsia="x-none"/>
              </w:rPr>
            </w:pPr>
            <w:r w:rsidRPr="00B319A9">
              <w:rPr>
                <w:rFonts w:eastAsia="Verdana" w:cs="Arial"/>
                <w:i/>
                <w:szCs w:val="18"/>
                <w:lang w:val="nl-NL" w:eastAsia="x-none"/>
              </w:rPr>
              <w:t xml:space="preserve">Meningitis </w:t>
            </w:r>
          </w:p>
          <w:p w14:paraId="365059D5" w14:textId="77777777" w:rsidR="005A25F9" w:rsidRPr="00B319A9" w:rsidRDefault="005A25F9" w:rsidP="008520C1">
            <w:pPr>
              <w:spacing w:before="0" w:after="140"/>
              <w:rPr>
                <w:rFonts w:eastAsia="Verdana" w:cs="Arial"/>
                <w:i/>
                <w:szCs w:val="18"/>
                <w:lang w:val="nl-NL" w:eastAsia="x-none"/>
              </w:rPr>
            </w:pPr>
            <w:r w:rsidRPr="00B319A9">
              <w:rPr>
                <w:rFonts w:eastAsia="Verdana" w:cs="Arial"/>
                <w:szCs w:val="18"/>
                <w:lang w:val="nl-NL" w:eastAsia="x-none"/>
              </w:rPr>
              <w:t>G00.1, G00.2 + B95.3, G00.9 + B95.3, G03.9 + B95.3</w:t>
            </w:r>
          </w:p>
        </w:tc>
      </w:tr>
      <w:tr w:rsidR="005A25F9" w:rsidRPr="009F282D" w14:paraId="2AFD6423" w14:textId="77777777" w:rsidTr="008520C1">
        <w:tc>
          <w:tcPr>
            <w:tcW w:w="5000" w:type="pct"/>
          </w:tcPr>
          <w:p w14:paraId="7E8F7A6F" w14:textId="77777777" w:rsidR="005A25F9" w:rsidRPr="00B319A9" w:rsidRDefault="005A25F9" w:rsidP="008520C1">
            <w:pPr>
              <w:spacing w:before="0" w:after="140"/>
              <w:rPr>
                <w:rFonts w:eastAsia="Verdana" w:cs="Arial"/>
                <w:i/>
                <w:szCs w:val="18"/>
                <w:lang w:val="nl-NL" w:eastAsia="x-none"/>
              </w:rPr>
            </w:pPr>
            <w:proofErr w:type="spellStart"/>
            <w:r w:rsidRPr="00B319A9">
              <w:rPr>
                <w:rFonts w:eastAsia="Verdana" w:cs="Arial"/>
                <w:i/>
                <w:szCs w:val="18"/>
                <w:lang w:val="nl-NL" w:eastAsia="x-none"/>
              </w:rPr>
              <w:t>Bacteremic</w:t>
            </w:r>
            <w:proofErr w:type="spellEnd"/>
            <w:r w:rsidRPr="00B319A9">
              <w:rPr>
                <w:rFonts w:eastAsia="Verdana" w:cs="Arial"/>
                <w:i/>
                <w:szCs w:val="18"/>
                <w:lang w:val="nl-NL" w:eastAsia="x-none"/>
              </w:rPr>
              <w:t xml:space="preserve"> </w:t>
            </w:r>
            <w:proofErr w:type="spellStart"/>
            <w:r w:rsidRPr="00B319A9">
              <w:rPr>
                <w:rFonts w:eastAsia="Verdana" w:cs="Arial"/>
                <w:i/>
                <w:szCs w:val="18"/>
                <w:lang w:val="nl-NL" w:eastAsia="x-none"/>
              </w:rPr>
              <w:t>pneumonia</w:t>
            </w:r>
            <w:proofErr w:type="spellEnd"/>
          </w:p>
          <w:p w14:paraId="6158E95C" w14:textId="77777777" w:rsidR="005A25F9" w:rsidRPr="00B319A9" w:rsidRDefault="005A25F9" w:rsidP="008520C1">
            <w:pPr>
              <w:spacing w:before="0" w:after="140"/>
              <w:rPr>
                <w:rFonts w:eastAsia="Verdana" w:cs="Arial"/>
                <w:i/>
                <w:szCs w:val="18"/>
                <w:lang w:val="nl-NL" w:eastAsia="x-none"/>
              </w:rPr>
            </w:pPr>
            <w:r w:rsidRPr="00B319A9">
              <w:rPr>
                <w:rFonts w:eastAsia="Verdana" w:cs="Arial"/>
                <w:szCs w:val="18"/>
                <w:lang w:val="nl-NL" w:eastAsia="x-none"/>
              </w:rPr>
              <w:t xml:space="preserve">A22.1 + A40.3, A22.1 + A40.9 + B95.3, A22.1 + A41.9 + B95.3, A22.1 + A49.9 + B95.3, A37 + A40.3, A37 + A40.9 + B95.3, A37 + A41.9 + B95.3, A37 + A49.9 + B95.3, A48.1 + A40.3, A48.1 + A40.9 + B95.3, A48.1 + A41.9 + B95.3, A48.1 + A49.9 + B95.3, B25.0 + A40.3, B25.0 + A40.9 + B95.3, B25.0 + A41.9 + B95.3, B25.0 + A49.9 + B95.3, B44.0 + A40.3, B44.0 + A40.9 + B95.3, B44.0 + A41.9 + B95.3, B44.0 + A49.9 + B95.3, J09 + A40.3, J09 + A40.9 + B95.3, J09 + A41.9 + B95.3, J09 + A49.9 + B95.3, J10.0 + A40.3, J10.0 + A40.9 + B95.3, J10.0 + A41.9 + B95.3, J10.0 + A49.9 + B95.3, J11.0 + A40.3, J11.0 + A40.9 + B95.3, J11.0 + A41.9 + B95.3, J11.0 + A49.9 + B95.3, J12 + A40.9 + B95.3, J12 + A41.9 + B95.3, J12 + A49.9 + B95.3, J12+ A40.3, J13 + A40.3, J13 + A40.9, J13 + A40.9 + B95.3, J13 + A41.9, J13 + A41.9 + B95.3, J13 + A49.9, J13 + A49.9 + B95.3, J14 + A40.3, J14 + A40.9 + B95.3, J14 + A41.9 + B95.3, J14 + A49.9 + B95.3, J15 + A40.3, J15 + A40.9 + B95.3, J15 + </w:t>
            </w:r>
            <w:r w:rsidRPr="00B319A9">
              <w:rPr>
                <w:rFonts w:eastAsia="Verdana" w:cs="Arial"/>
                <w:szCs w:val="18"/>
                <w:lang w:val="nl-NL" w:eastAsia="x-none"/>
              </w:rPr>
              <w:lastRenderedPageBreak/>
              <w:t>A41.9 + B95.3, J15 + A49.9 + B95.3, J16 + A40.3, J16 + A40.9 + B95.3, J16 + A41.9 + B95.3, J16 + A49.9 + B95.3, J17 + A40.3, J17 + A40.9 + B95.3, J17 + A41.9 + B95.3, J17 + A49.9 + B95.3, J18.0 + A40.3, J18.0 + A40.9 + B95.3, J18.0 + A41.9 + B95.3, J18.0 + A49.9 + B95.3, J18.1 + A40.3, J18.1 + A40.9 + B95.3, J18.1 + A41.9 + B95.3, J18.1 + A49.9 + B95.3, J18.8 + A40.3, J18.8 + A40.9 + B95.3, J18.8 + A41.9 + B95.3, J18.8 + A49.9 + B95.3, J18.9 + A40.3, J18.9 + A40.9 + B95.3, J18.9 + A41.9 + B95.3, J18.9 + A49.9 + B95.3, J85.1 + B95.3, J86.0 + B95.3, J86.9 + B95.3, A22.1 + A40.9 , A22.1 + A41.9, A22.1 + A49.9, A37 + A40.9, A37 + A41.9, A37 + A49.9, A48.1 + A40.9, A48.1 + A41.9, A48.1 + A49.9, B25.0 + A40.9 , B25.0 + A41.9, B25.0 + A49.9, B44.0 + A40.9, B44.0 + A41.9, B44.0 + A49.9, J09 + A40.9, J10.0 + A40.9, J10.0 + A41.9, J10.0 + A49.9, J11.0 + A40.9, J11.0 + A41.9, J11.0 + A49.9, J12 + A41.9, J12 + A49.9, J13 + A40.9, J14 + A40.9, J14 + A41.9, J14 + A49.9, J15 + A40.9, J15 + A41.9, J15 + A49.9, J16 + A40.9, J16 + A41.9, J16 + A49.9, J17 + A40.9, J17 + A41.9, J17 + A49.9, J18.0 + A40.9, J18.0 + A41.9, J18.0 + A49.9, J18.2 + A40.9, J18.2 + A41.9, J18.2 + A49.9, J18.8 + A40.9, J18.8 + A41.9, J18.8 + A49.9, J18.9 + A40.9, J18.9 + A41.9, J18.9 + A49.9</w:t>
            </w:r>
          </w:p>
        </w:tc>
      </w:tr>
      <w:tr w:rsidR="005A25F9" w:rsidRPr="009F282D" w14:paraId="0BB18857" w14:textId="77777777" w:rsidTr="008520C1">
        <w:tc>
          <w:tcPr>
            <w:tcW w:w="5000" w:type="pct"/>
          </w:tcPr>
          <w:p w14:paraId="55F753E7" w14:textId="77777777" w:rsidR="005A25F9" w:rsidRPr="00B319A9" w:rsidRDefault="005A25F9" w:rsidP="008520C1">
            <w:pPr>
              <w:spacing w:before="0" w:after="140"/>
              <w:rPr>
                <w:rFonts w:eastAsia="Verdana" w:cs="Arial"/>
                <w:i/>
                <w:szCs w:val="18"/>
                <w:lang w:val="nl-NL" w:eastAsia="x-none"/>
              </w:rPr>
            </w:pPr>
            <w:proofErr w:type="spellStart"/>
            <w:r w:rsidRPr="00B319A9">
              <w:rPr>
                <w:rFonts w:eastAsia="Verdana" w:cs="Arial"/>
                <w:i/>
                <w:szCs w:val="18"/>
                <w:lang w:val="nl-NL" w:eastAsia="x-none"/>
              </w:rPr>
              <w:lastRenderedPageBreak/>
              <w:t>Other</w:t>
            </w:r>
            <w:proofErr w:type="spellEnd"/>
            <w:r w:rsidRPr="00B319A9">
              <w:rPr>
                <w:rFonts w:eastAsia="Verdana" w:cs="Arial"/>
                <w:i/>
                <w:szCs w:val="18"/>
                <w:lang w:val="nl-NL" w:eastAsia="x-none"/>
              </w:rPr>
              <w:t xml:space="preserve"> IPD</w:t>
            </w:r>
          </w:p>
          <w:p w14:paraId="0C5A9FCF" w14:textId="77777777" w:rsidR="005A25F9" w:rsidRPr="00B319A9" w:rsidRDefault="005A25F9" w:rsidP="008520C1">
            <w:pPr>
              <w:spacing w:before="0" w:after="140"/>
              <w:rPr>
                <w:rFonts w:eastAsia="Verdana" w:cs="Arial"/>
                <w:i/>
                <w:szCs w:val="18"/>
                <w:lang w:val="nl-NL" w:eastAsia="x-none"/>
              </w:rPr>
            </w:pPr>
            <w:r w:rsidRPr="00B319A9">
              <w:rPr>
                <w:rFonts w:eastAsia="Verdana" w:cs="Arial"/>
                <w:szCs w:val="18"/>
                <w:lang w:val="nl-NL" w:eastAsia="x-none"/>
              </w:rPr>
              <w:t>I30.1 + B95.3, I33.0 + B95.3, I33.9 + B95.3, K65.0 + B95.3, K65.2 + B95.3, K65.8 + B95.3, K65.8 + B95.3, K65.9 + B95.3, M00.0 + B95.3, M00.1, M00.1 + B95.3, M00.2 + B95.3, M00.8 + B95.3 , M00.9 + B95.3, M86.1 + B95.3, M86.2 + B95.3, M86.9 + B95.3</w:t>
            </w:r>
          </w:p>
        </w:tc>
      </w:tr>
    </w:tbl>
    <w:p w14:paraId="34C837AA" w14:textId="77777777" w:rsidR="005A25F9" w:rsidRPr="005A25F9" w:rsidRDefault="005A25F9" w:rsidP="005A25F9">
      <w:pPr>
        <w:spacing w:before="0" w:after="0"/>
        <w:rPr>
          <w:rFonts w:ascii="Arial" w:eastAsia="Verdana" w:hAnsi="Arial" w:cs="Arial"/>
          <w:b/>
          <w:szCs w:val="18"/>
          <w:lang w:val="nl-NL" w:eastAsia="x-none"/>
        </w:rPr>
      </w:pPr>
      <w:r>
        <w:rPr>
          <w:rFonts w:ascii="Arial" w:eastAsia="Verdana" w:hAnsi="Arial" w:cs="Arial"/>
          <w:b/>
          <w:szCs w:val="18"/>
          <w:lang w:eastAsia="x-none"/>
        </w:rPr>
        <w:fldChar w:fldCharType="begin"/>
      </w:r>
      <w:r w:rsidRPr="005A25F9">
        <w:rPr>
          <w:rFonts w:ascii="Arial" w:eastAsia="Verdana" w:hAnsi="Arial" w:cs="Arial"/>
          <w:b/>
          <w:szCs w:val="18"/>
          <w:lang w:val="nl-NL" w:eastAsia="x-none"/>
        </w:rPr>
        <w:instrText xml:space="preserve"> ADDIN </w:instrText>
      </w:r>
      <w:r>
        <w:rPr>
          <w:rFonts w:ascii="Arial" w:eastAsia="Verdana" w:hAnsi="Arial" w:cs="Arial"/>
          <w:b/>
          <w:szCs w:val="18"/>
          <w:lang w:eastAsia="x-none"/>
        </w:rPr>
        <w:fldChar w:fldCharType="end"/>
      </w:r>
    </w:p>
    <w:p w14:paraId="5C3A4F4A" w14:textId="61EC06EF" w:rsidR="003D6885" w:rsidRPr="007B47D6" w:rsidRDefault="003D6885" w:rsidP="003D6885">
      <w:pPr>
        <w:spacing w:before="0" w:after="0"/>
        <w:rPr>
          <w:rFonts w:eastAsia="Verdana" w:cs="Arial"/>
          <w:b/>
          <w:szCs w:val="18"/>
          <w:lang w:val="x-none" w:eastAsia="x-none"/>
        </w:rPr>
      </w:pPr>
      <w:r w:rsidRPr="007B47D6">
        <w:rPr>
          <w:rFonts w:eastAsia="Verdana" w:cs="Arial"/>
          <w:b/>
          <w:szCs w:val="18"/>
          <w:lang w:eastAsia="x-none"/>
        </w:rPr>
        <w:t>S</w:t>
      </w:r>
      <w:r>
        <w:rPr>
          <w:rFonts w:eastAsia="Verdana" w:cs="Arial"/>
          <w:b/>
          <w:szCs w:val="18"/>
          <w:lang w:eastAsia="x-none"/>
        </w:rPr>
        <w:t xml:space="preserve">2 </w:t>
      </w:r>
      <w:r w:rsidR="0053333F">
        <w:rPr>
          <w:rFonts w:eastAsia="Verdana" w:cs="Arial"/>
          <w:b/>
          <w:szCs w:val="18"/>
          <w:lang w:eastAsia="x-none"/>
        </w:rPr>
        <w:t>Additional tables</w:t>
      </w:r>
    </w:p>
    <w:p w14:paraId="7612AC9F" w14:textId="76269963" w:rsidR="00271300" w:rsidRPr="00271300" w:rsidRDefault="00271300" w:rsidP="00271300">
      <w:pPr>
        <w:keepNext/>
        <w:spacing w:before="0" w:after="0"/>
        <w:rPr>
          <w:rFonts w:eastAsia="Times New Roman" w:cs="Times New Roman"/>
          <w:b/>
          <w:bCs/>
          <w:sz w:val="20"/>
          <w:szCs w:val="20"/>
          <w:lang w:eastAsia="en-GB"/>
        </w:rPr>
      </w:pPr>
      <w:r w:rsidRPr="00271300">
        <w:rPr>
          <w:rFonts w:eastAsia="Times New Roman" w:cs="Times New Roman"/>
          <w:b/>
          <w:bCs/>
          <w:sz w:val="20"/>
          <w:szCs w:val="20"/>
          <w:lang w:eastAsia="en-GB"/>
        </w:rPr>
        <w:t xml:space="preserve">Table </w:t>
      </w:r>
      <w:r w:rsidR="0053333F">
        <w:rPr>
          <w:rFonts w:eastAsia="Times New Roman" w:cs="Times New Roman"/>
          <w:b/>
          <w:bCs/>
          <w:sz w:val="20"/>
          <w:szCs w:val="20"/>
          <w:lang w:eastAsia="en-GB"/>
        </w:rPr>
        <w:t>1</w:t>
      </w:r>
      <w:r w:rsidRPr="00271300">
        <w:rPr>
          <w:rFonts w:eastAsia="Times New Roman" w:cs="Times New Roman"/>
          <w:b/>
          <w:bCs/>
          <w:sz w:val="20"/>
          <w:szCs w:val="20"/>
          <w:lang w:eastAsia="en-GB"/>
        </w:rPr>
        <w:t>. Incidence rates of ACP by inpatient and outpatient setting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1440"/>
        <w:gridCol w:w="2021"/>
        <w:gridCol w:w="1523"/>
        <w:gridCol w:w="1938"/>
      </w:tblGrid>
      <w:tr w:rsidR="00271300" w:rsidRPr="00271300" w14:paraId="73CFE11C" w14:textId="77777777" w:rsidTr="009B2C65">
        <w:trPr>
          <w:trHeight w:val="14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5753FA1" w14:textId="77777777" w:rsidR="00271300" w:rsidRPr="00271300" w:rsidRDefault="00271300" w:rsidP="00271300">
            <w:pPr>
              <w:spacing w:before="0" w:after="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6E4AC" w14:textId="77777777" w:rsidR="00271300" w:rsidRPr="00271300" w:rsidRDefault="00271300" w:rsidP="00271300">
            <w:pPr>
              <w:spacing w:before="0" w:after="0"/>
              <w:jc w:val="center"/>
              <w:rPr>
                <w:b/>
                <w:bCs/>
                <w:szCs w:val="18"/>
              </w:rPr>
            </w:pPr>
            <w:r w:rsidRPr="00271300">
              <w:rPr>
                <w:b/>
                <w:bCs/>
                <w:szCs w:val="18"/>
              </w:rPr>
              <w:t>ACP inpatients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6484" w14:textId="77777777" w:rsidR="00271300" w:rsidRPr="00271300" w:rsidRDefault="00271300" w:rsidP="00271300">
            <w:pPr>
              <w:spacing w:before="0" w:after="0"/>
              <w:jc w:val="center"/>
              <w:rPr>
                <w:b/>
                <w:bCs/>
                <w:szCs w:val="18"/>
              </w:rPr>
            </w:pPr>
            <w:r w:rsidRPr="00271300">
              <w:rPr>
                <w:b/>
                <w:bCs/>
                <w:szCs w:val="18"/>
              </w:rPr>
              <w:t>ACP outpatients</w:t>
            </w:r>
          </w:p>
        </w:tc>
      </w:tr>
      <w:tr w:rsidR="00271300" w:rsidRPr="00271300" w14:paraId="3705485E" w14:textId="77777777" w:rsidTr="009B2C65">
        <w:trPr>
          <w:trHeight w:val="3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08FBE21E" w14:textId="77777777" w:rsidR="00271300" w:rsidRPr="00271300" w:rsidRDefault="00271300" w:rsidP="00271300">
            <w:pPr>
              <w:spacing w:before="0" w:after="0"/>
              <w:jc w:val="center"/>
              <w:rPr>
                <w:b/>
                <w:bCs/>
                <w:szCs w:val="18"/>
              </w:rPr>
            </w:pPr>
            <w:r w:rsidRPr="00271300">
              <w:rPr>
                <w:b/>
                <w:bCs/>
                <w:szCs w:val="18"/>
              </w:rPr>
              <w:t xml:space="preserve">Overall number of episodes 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1E3E96" w14:textId="77777777" w:rsidR="00271300" w:rsidRPr="00271300" w:rsidRDefault="00271300" w:rsidP="00271300">
            <w:pPr>
              <w:spacing w:before="0" w:after="0"/>
              <w:jc w:val="center"/>
              <w:rPr>
                <w:b/>
                <w:bCs/>
                <w:szCs w:val="18"/>
              </w:rPr>
            </w:pPr>
            <w:r w:rsidRPr="00271300">
              <w:rPr>
                <w:b/>
                <w:bCs/>
                <w:szCs w:val="18"/>
              </w:rPr>
              <w:t>N= 171175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E858" w14:textId="77777777" w:rsidR="00271300" w:rsidRPr="00271300" w:rsidRDefault="00271300" w:rsidP="00271300">
            <w:pPr>
              <w:spacing w:before="0" w:after="0"/>
              <w:jc w:val="center"/>
              <w:rPr>
                <w:b/>
                <w:bCs/>
                <w:szCs w:val="18"/>
              </w:rPr>
            </w:pPr>
            <w:r w:rsidRPr="00271300">
              <w:rPr>
                <w:b/>
                <w:bCs/>
                <w:szCs w:val="18"/>
              </w:rPr>
              <w:t>N= 1053</w:t>
            </w:r>
          </w:p>
        </w:tc>
      </w:tr>
      <w:tr w:rsidR="00271300" w:rsidRPr="00271300" w14:paraId="3E24A200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B6142A" w14:textId="77777777" w:rsidR="00271300" w:rsidRPr="00271300" w:rsidRDefault="00271300" w:rsidP="00271300">
            <w:pPr>
              <w:spacing w:before="0" w:after="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307D2D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b/>
                <w:bCs/>
                <w:szCs w:val="18"/>
              </w:rPr>
              <w:t>Rate per 100000 PY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3F1319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b/>
                <w:bCs/>
                <w:szCs w:val="18"/>
              </w:rPr>
              <w:t>95% CI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CC6133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b/>
                <w:bCs/>
                <w:szCs w:val="18"/>
              </w:rPr>
              <w:t>Rate per 100000 PY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C76E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b/>
                <w:bCs/>
                <w:szCs w:val="18"/>
              </w:rPr>
              <w:t>95% CI</w:t>
            </w:r>
          </w:p>
        </w:tc>
      </w:tr>
      <w:tr w:rsidR="00271300" w:rsidRPr="00271300" w14:paraId="17DA4EBD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67A814" w14:textId="77777777" w:rsidR="00271300" w:rsidRPr="00271300" w:rsidRDefault="00271300" w:rsidP="00271300">
            <w:pPr>
              <w:spacing w:before="0" w:after="0"/>
              <w:rPr>
                <w:b/>
                <w:bCs/>
                <w:szCs w:val="18"/>
              </w:rPr>
            </w:pPr>
            <w:r w:rsidRPr="00271300">
              <w:rPr>
                <w:b/>
                <w:bCs/>
                <w:szCs w:val="18"/>
              </w:rPr>
              <w:t>Age group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7C516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08ADA" w14:textId="77777777" w:rsidR="00271300" w:rsidRPr="00271300" w:rsidRDefault="00271300" w:rsidP="00271300">
            <w:pPr>
              <w:spacing w:before="0" w:after="0"/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B86F7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58D4B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</w:p>
        </w:tc>
      </w:tr>
      <w:tr w:rsidR="00271300" w:rsidRPr="00271300" w14:paraId="5D2F379D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0B6FFE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16-49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3A1E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111.41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5862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108.90-113.96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6605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401.28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8D0F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396.51-406.10</w:t>
            </w:r>
          </w:p>
        </w:tc>
      </w:tr>
      <w:tr w:rsidR="00271300" w:rsidRPr="00271300" w14:paraId="3977B494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756097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50-59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89E6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365.55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1EEF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357.99-373.23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A3B1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660.68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BA94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650.50-670.98</w:t>
            </w:r>
          </w:p>
        </w:tc>
      </w:tr>
      <w:tr w:rsidR="00271300" w:rsidRPr="00271300" w14:paraId="5C042FFC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57726C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lastRenderedPageBreak/>
              <w:t>60-69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7F35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914.42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1C9F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899.57-929.45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F015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758.09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13D1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744.57-771.79</w:t>
            </w:r>
          </w:p>
        </w:tc>
      </w:tr>
      <w:tr w:rsidR="00271300" w:rsidRPr="00271300" w14:paraId="3154DC46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B1C884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≥70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2DFE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3152.67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5265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3128.08-3177.40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E6D4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1119.46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097D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1104.85-1134.22</w:t>
            </w:r>
          </w:p>
        </w:tc>
      </w:tr>
      <w:tr w:rsidR="00271300" w:rsidRPr="00271300" w14:paraId="3B27068F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93376F" w14:textId="77777777" w:rsidR="00271300" w:rsidRPr="00271300" w:rsidRDefault="00271300" w:rsidP="00271300">
            <w:pPr>
              <w:spacing w:before="0" w:after="0"/>
              <w:rPr>
                <w:b/>
                <w:bCs/>
                <w:szCs w:val="18"/>
              </w:rPr>
            </w:pPr>
            <w:r w:rsidRPr="00271300">
              <w:rPr>
                <w:b/>
                <w:bCs/>
                <w:szCs w:val="18"/>
              </w:rPr>
              <w:t>Sex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2542B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3F453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0F3FD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CF09A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</w:p>
        </w:tc>
      </w:tr>
      <w:tr w:rsidR="00271300" w:rsidRPr="00271300" w14:paraId="552490FE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33361C8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i/>
                <w:iCs/>
                <w:szCs w:val="18"/>
              </w:rPr>
              <w:t>Overall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53B1A96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0777B9AC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171AB269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1F16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71300" w:rsidRPr="00271300" w14:paraId="46A88B26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DB3FCE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Male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B261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843.81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067C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836.61-851.06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9552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596.70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F33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590.65-602.81</w:t>
            </w:r>
          </w:p>
        </w:tc>
      </w:tr>
      <w:tr w:rsidR="00271300" w:rsidRPr="00271300" w14:paraId="0E814D9C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EEFF8E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C0C1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632.76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819C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626.67-638.89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FAD1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618.39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DFCB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612.37-624.46</w:t>
            </w:r>
          </w:p>
        </w:tc>
      </w:tr>
      <w:tr w:rsidR="00271300" w:rsidRPr="00271300" w14:paraId="15C9493F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18B0B81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i/>
                <w:iCs/>
                <w:szCs w:val="18"/>
              </w:rPr>
              <w:t>Aged 16-49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44FF53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5803D41D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25ED48E2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D29B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71300" w:rsidRPr="00271300" w14:paraId="771CAEDC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60BAD8E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Male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0E1F36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125.87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5DD059C5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122.13-129.69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1D10BDC6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387.08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1B4A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380.51-393.74</w:t>
            </w:r>
          </w:p>
        </w:tc>
      </w:tr>
      <w:tr w:rsidR="00271300" w:rsidRPr="00271300" w14:paraId="09EBE5CD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26D2AFB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1698CE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96.51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6AF0E476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93.20-99.92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3679639A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415.91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D19A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408.99-422.91</w:t>
            </w:r>
          </w:p>
        </w:tc>
      </w:tr>
      <w:tr w:rsidR="00271300" w:rsidRPr="00271300" w14:paraId="48FBCC53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9DBAFAE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i/>
                <w:iCs/>
                <w:szCs w:val="18"/>
              </w:rPr>
              <w:t>Aged 50-59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EF879E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6F329754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02E4770B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887D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71300" w:rsidRPr="00271300" w14:paraId="7E732B30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EDA5D5F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Male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3D01D2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463.66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317B95F4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451.65-475.91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6D34821C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669.41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6F86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654.96-684.10</w:t>
            </w:r>
          </w:p>
        </w:tc>
      </w:tr>
      <w:tr w:rsidR="00271300" w:rsidRPr="00271300" w14:paraId="6A41D034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34CC388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F5EBE2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266.94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3F670EC6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257.83-276.30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6FAE9B51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651.90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6704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637.60-666.44</w:t>
            </w:r>
          </w:p>
        </w:tc>
      </w:tr>
      <w:tr w:rsidR="00271300" w:rsidRPr="00271300" w14:paraId="71E4E0CF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9DD4D3A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i/>
                <w:iCs/>
                <w:szCs w:val="18"/>
              </w:rPr>
              <w:t>Aged 60-69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E8B151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2EE74505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794FAD6D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1BEC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71300" w:rsidRPr="00271300" w14:paraId="1E1AADDC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4914841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Male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8DCFF1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1209.57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4F6EFA6F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1185.00-1234.51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6F8A62C4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774.41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EF5E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754.79-794.41</w:t>
            </w:r>
          </w:p>
        </w:tc>
      </w:tr>
      <w:tr w:rsidR="00271300" w:rsidRPr="00271300" w14:paraId="4EACE58C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08C9A0E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FEC95A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639.19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457F595D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621.98-656.76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419417B2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742.85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CDCB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724.28-761.78</w:t>
            </w:r>
          </w:p>
        </w:tc>
      </w:tr>
      <w:tr w:rsidR="00271300" w:rsidRPr="00271300" w14:paraId="439FD537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9EF0EEA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i/>
                <w:iCs/>
                <w:szCs w:val="18"/>
              </w:rPr>
              <w:t>Aged ≥70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1C05CB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25170DF8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007FB90A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7539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71300" w:rsidRPr="00271300" w14:paraId="78264DAB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5C36530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Male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0DC3D9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4065.04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6F1F1466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4021.48-4108.94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165E9294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1194.50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059E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1170.99-1218.35</w:t>
            </w:r>
          </w:p>
        </w:tc>
      </w:tr>
      <w:tr w:rsidR="00271300" w:rsidRPr="00271300" w14:paraId="427387FF" w14:textId="77777777" w:rsidTr="009B2C65">
        <w:trPr>
          <w:trHeight w:val="340"/>
        </w:trPr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07EA010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Female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CF8B43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2517.60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 w14:paraId="691E5025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2489.01-2546.44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4AF58E3B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1067.11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51C3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1048.54-1085.92</w:t>
            </w:r>
          </w:p>
        </w:tc>
      </w:tr>
      <w:tr w:rsidR="00271300" w:rsidRPr="00271300" w14:paraId="30AF7082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351987" w14:textId="77777777" w:rsidR="00271300" w:rsidRPr="00271300" w:rsidRDefault="00271300" w:rsidP="00271300">
            <w:pPr>
              <w:spacing w:before="0" w:after="0"/>
              <w:rPr>
                <w:b/>
                <w:bCs/>
                <w:szCs w:val="18"/>
              </w:rPr>
            </w:pPr>
            <w:r w:rsidRPr="00271300">
              <w:rPr>
                <w:b/>
                <w:bCs/>
                <w:szCs w:val="18"/>
              </w:rPr>
              <w:t>Presence of medical condition in the pre-period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12C5B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</w:p>
        </w:tc>
      </w:tr>
      <w:tr w:rsidR="00271300" w:rsidRPr="00271300" w14:paraId="5C3D3162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7BEFB6" w14:textId="77777777" w:rsidR="00271300" w:rsidRPr="00271300" w:rsidRDefault="00271300" w:rsidP="00271300">
            <w:pPr>
              <w:spacing w:before="0" w:after="0"/>
              <w:rPr>
                <w:b/>
                <w:bCs/>
                <w:szCs w:val="18"/>
              </w:rPr>
            </w:pPr>
            <w:r w:rsidRPr="00271300">
              <w:rPr>
                <w:i/>
                <w:iCs/>
                <w:szCs w:val="18"/>
              </w:rPr>
              <w:t>Overall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A7F3B5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</w:p>
        </w:tc>
      </w:tr>
      <w:tr w:rsidR="00271300" w:rsidRPr="00271300" w14:paraId="07CD77D0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9C5325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At-risk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846A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694.94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A568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687.90-702.04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6AE2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700.32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3B7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693.25-707.45</w:t>
            </w:r>
          </w:p>
        </w:tc>
      </w:tr>
      <w:tr w:rsidR="00271300" w:rsidRPr="00271300" w14:paraId="4DF4BB14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7A225A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High-risk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D4F4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2120.34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4AAA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2101.76-2139.05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342C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1072.40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62B7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1059.21-1085.72</w:t>
            </w:r>
          </w:p>
        </w:tc>
      </w:tr>
      <w:tr w:rsidR="00271300" w:rsidRPr="00271300" w14:paraId="2E56433B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B9DBBC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None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A399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133.89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F86C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130.72-137.13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5140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292.70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F492" w14:textId="77777777" w:rsidR="00271300" w:rsidRPr="00271300" w:rsidRDefault="00271300" w:rsidP="00271300">
            <w:pPr>
              <w:spacing w:before="0" w:after="0"/>
              <w:jc w:val="center"/>
              <w:rPr>
                <w:szCs w:val="18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287.99-297.46</w:t>
            </w:r>
          </w:p>
        </w:tc>
      </w:tr>
      <w:tr w:rsidR="00271300" w:rsidRPr="00271300" w14:paraId="371186E1" w14:textId="77777777" w:rsidTr="009B2C65">
        <w:trPr>
          <w:trHeight w:val="340"/>
        </w:trPr>
        <w:tc>
          <w:tcPr>
            <w:tcW w:w="9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FF22" w14:textId="77777777" w:rsidR="00271300" w:rsidRPr="00271300" w:rsidRDefault="00271300" w:rsidP="00271300">
            <w:pPr>
              <w:spacing w:before="0" w:after="0"/>
            </w:pPr>
            <w:r w:rsidRPr="00271300">
              <w:rPr>
                <w:i/>
                <w:iCs/>
                <w:szCs w:val="18"/>
              </w:rPr>
              <w:t xml:space="preserve">Aged 16-49 </w:t>
            </w:r>
          </w:p>
        </w:tc>
      </w:tr>
      <w:tr w:rsidR="00271300" w:rsidRPr="00271300" w14:paraId="0FBC0C88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70432D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At-risk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DDC3C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134.33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696D3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129.67-139.12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5233A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546.17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243E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536.73-555.74</w:t>
            </w:r>
          </w:p>
        </w:tc>
      </w:tr>
      <w:tr w:rsidR="00271300" w:rsidRPr="00271300" w14:paraId="44EBBEB7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C39851D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High-risk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47CDC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301.19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6B6CC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287.74-315.10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F96C4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656.95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8AFD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637.01-677.35</w:t>
            </w:r>
          </w:p>
        </w:tc>
      </w:tr>
      <w:tr w:rsidR="00271300" w:rsidRPr="00271300" w14:paraId="3DBF958F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03A30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lastRenderedPageBreak/>
              <w:t>None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516C2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65.76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E9B7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63.20-68.40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0F821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269.33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0458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264.12-274.62</w:t>
            </w:r>
          </w:p>
        </w:tc>
      </w:tr>
      <w:tr w:rsidR="00271300" w:rsidRPr="00271300" w14:paraId="26B246BE" w14:textId="77777777" w:rsidTr="009B2C65">
        <w:trPr>
          <w:trHeight w:val="340"/>
        </w:trPr>
        <w:tc>
          <w:tcPr>
            <w:tcW w:w="9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976DF" w14:textId="77777777" w:rsidR="00271300" w:rsidRPr="00271300" w:rsidRDefault="00271300" w:rsidP="00271300">
            <w:pPr>
              <w:spacing w:before="0" w:after="0"/>
            </w:pPr>
            <w:r w:rsidRPr="00271300">
              <w:rPr>
                <w:i/>
                <w:iCs/>
                <w:szCs w:val="18"/>
              </w:rPr>
              <w:t xml:space="preserve">Aged 50-59 </w:t>
            </w:r>
          </w:p>
        </w:tc>
      </w:tr>
      <w:tr w:rsidR="00271300" w:rsidRPr="00271300" w14:paraId="5F6B9F55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50B912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At-risk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8BD68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353.34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71EC4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342.68-364.25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412D5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756.76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2FC0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741.11-772.65</w:t>
            </w:r>
          </w:p>
        </w:tc>
      </w:tr>
      <w:tr w:rsidR="00271300" w:rsidRPr="00271300" w14:paraId="0B104160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CC5DC4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High-risk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5F288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725.22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62C70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700.66-750.42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3A724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943.85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03D7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915.79-972.54</w:t>
            </w:r>
          </w:p>
        </w:tc>
      </w:tr>
      <w:tr w:rsidR="00271300" w:rsidRPr="00271300" w14:paraId="3BD53A1A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A8B36E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None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8353D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179.27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F3A6D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170.11-188.80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15C8F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358.70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89E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345.70-372.08</w:t>
            </w:r>
          </w:p>
        </w:tc>
      </w:tr>
      <w:tr w:rsidR="00271300" w:rsidRPr="00271300" w14:paraId="197BA6EB" w14:textId="77777777" w:rsidTr="009B2C65">
        <w:trPr>
          <w:trHeight w:val="340"/>
        </w:trPr>
        <w:tc>
          <w:tcPr>
            <w:tcW w:w="9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D614" w14:textId="77777777" w:rsidR="00271300" w:rsidRPr="00271300" w:rsidRDefault="00271300" w:rsidP="00271300">
            <w:pPr>
              <w:spacing w:before="0" w:after="0"/>
            </w:pPr>
            <w:r w:rsidRPr="00271300">
              <w:rPr>
                <w:i/>
                <w:iCs/>
                <w:szCs w:val="18"/>
              </w:rPr>
              <w:t xml:space="preserve">Aged 60-69 </w:t>
            </w:r>
          </w:p>
        </w:tc>
      </w:tr>
      <w:tr w:rsidR="00271300" w:rsidRPr="00271300" w14:paraId="1B98A04A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BF3D58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At-risk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126BF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747.01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35B1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728.74-765.62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0AC02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736.77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8100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718.63-755.25</w:t>
            </w:r>
          </w:p>
        </w:tc>
      </w:tr>
      <w:tr w:rsidR="00271300" w:rsidRPr="00271300" w14:paraId="44639FCA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49EEB5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High-risk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6118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1600.50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B4E1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1563.04-1638.62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BE970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1066.99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5563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1036.45-1098.19</w:t>
            </w:r>
          </w:p>
        </w:tc>
      </w:tr>
      <w:tr w:rsidR="00271300" w:rsidRPr="00271300" w14:paraId="4A6FAB42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CF5E6A5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None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0EC0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392.86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8A82E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370.64-416.07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8AAAE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368.31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9102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346.80-390.80</w:t>
            </w:r>
          </w:p>
        </w:tc>
      </w:tr>
      <w:tr w:rsidR="00271300" w:rsidRPr="00271300" w14:paraId="487AA5D7" w14:textId="77777777" w:rsidTr="009B2C65">
        <w:trPr>
          <w:trHeight w:val="340"/>
        </w:trPr>
        <w:tc>
          <w:tcPr>
            <w:tcW w:w="9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9CFEE" w14:textId="77777777" w:rsidR="00271300" w:rsidRPr="00271300" w:rsidRDefault="00271300" w:rsidP="00271300">
            <w:pPr>
              <w:spacing w:before="0" w:after="0"/>
            </w:pPr>
            <w:r w:rsidRPr="00271300">
              <w:rPr>
                <w:i/>
                <w:iCs/>
                <w:szCs w:val="18"/>
              </w:rPr>
              <w:t xml:space="preserve">Aged ≥70 </w:t>
            </w:r>
          </w:p>
        </w:tc>
      </w:tr>
      <w:tr w:rsidR="00271300" w:rsidRPr="00271300" w14:paraId="05DB9ADB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3914C8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At-risk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F0CF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2377.32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8F8DC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2347.05-2407.88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EA95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964.50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4E17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945.28-984.02</w:t>
            </w:r>
          </w:p>
        </w:tc>
      </w:tr>
      <w:tr w:rsidR="00271300" w:rsidRPr="00271300" w14:paraId="3016EFFE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D07682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High-risk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F46D8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4511.18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DC2B4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4465.74-4556.95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3655B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1454.18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3876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1428.50-1480.21</w:t>
            </w:r>
          </w:p>
        </w:tc>
      </w:tr>
      <w:tr w:rsidR="00271300" w:rsidRPr="00271300" w14:paraId="068079A3" w14:textId="77777777" w:rsidTr="009B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01B70A" w14:textId="77777777" w:rsidR="00271300" w:rsidRPr="00271300" w:rsidRDefault="00271300" w:rsidP="00271300">
            <w:pPr>
              <w:spacing w:before="0" w:after="0"/>
              <w:ind w:left="179"/>
              <w:rPr>
                <w:szCs w:val="18"/>
              </w:rPr>
            </w:pPr>
            <w:r w:rsidRPr="00271300">
              <w:rPr>
                <w:szCs w:val="18"/>
              </w:rPr>
              <w:t>None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7FDB0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984.37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BF092" w14:textId="77777777" w:rsidR="00271300" w:rsidRPr="00271300" w:rsidRDefault="00271300" w:rsidP="00271300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937.66-1032.80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9149D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368.92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A35F" w14:textId="77777777" w:rsidR="00271300" w:rsidRPr="00271300" w:rsidRDefault="00271300" w:rsidP="00271300">
            <w:pPr>
              <w:spacing w:before="0" w:after="0"/>
              <w:jc w:val="center"/>
            </w:pPr>
            <w:r w:rsidRPr="00271300">
              <w:rPr>
                <w:rFonts w:ascii="Calibri" w:hAnsi="Calibri" w:cs="Calibri"/>
                <w:color w:val="000000"/>
                <w:sz w:val="22"/>
              </w:rPr>
              <w:t>340.56-399.01</w:t>
            </w:r>
          </w:p>
        </w:tc>
      </w:tr>
    </w:tbl>
    <w:p w14:paraId="09C71B17" w14:textId="77777777" w:rsidR="00271300" w:rsidRPr="00271300" w:rsidRDefault="00271300" w:rsidP="00271300">
      <w:pPr>
        <w:spacing w:before="0" w:after="0"/>
        <w:rPr>
          <w:bCs/>
        </w:rPr>
      </w:pPr>
      <w:r w:rsidRPr="00271300">
        <w:rPr>
          <w:bCs/>
        </w:rPr>
        <w:t>ACP: all-cause pneumonia; CI: confidence interval; IPD: invasive pneumococcal disease; PY: person-year.</w:t>
      </w:r>
    </w:p>
    <w:p w14:paraId="3666EFA9" w14:textId="77777777" w:rsidR="00271300" w:rsidRPr="00271300" w:rsidRDefault="00271300" w:rsidP="00271300">
      <w:pPr>
        <w:spacing w:before="0" w:after="0"/>
        <w:rPr>
          <w:bCs/>
        </w:rPr>
        <w:sectPr w:rsidR="00271300" w:rsidRPr="00271300" w:rsidSect="00946513">
          <w:pgSz w:w="11906" w:h="16838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  <w:r w:rsidRPr="00271300">
        <w:rPr>
          <w:bCs/>
        </w:rPr>
        <w:t>* Mann-Kendall test for trend</w:t>
      </w:r>
    </w:p>
    <w:p w14:paraId="7B72BBDE" w14:textId="77777777" w:rsidR="001D7858" w:rsidRPr="00271300" w:rsidRDefault="001D7858" w:rsidP="009F282D">
      <w:pPr>
        <w:spacing w:before="0"/>
      </w:pPr>
    </w:p>
    <w:sectPr w:rsidR="001D7858" w:rsidRPr="00271300" w:rsidSect="00A62E3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F9"/>
    <w:rsid w:val="001D7858"/>
    <w:rsid w:val="00271300"/>
    <w:rsid w:val="003D6885"/>
    <w:rsid w:val="0053333F"/>
    <w:rsid w:val="005A25F9"/>
    <w:rsid w:val="009B1309"/>
    <w:rsid w:val="009B2C65"/>
    <w:rsid w:val="009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7B03"/>
  <w15:chartTrackingRefBased/>
  <w15:docId w15:val="{73BEE3E4-AC33-43B4-BFC9-321F052F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F9"/>
    <w:pPr>
      <w:spacing w:before="240" w:after="400" w:line="480" w:lineRule="auto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5F9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5F9"/>
    <w:rPr>
      <w:rFonts w:ascii="Verdana" w:eastAsiaTheme="majorEastAsia" w:hAnsi="Verdana" w:cstheme="majorBidi"/>
      <w:b/>
      <w:sz w:val="32"/>
      <w:szCs w:val="32"/>
    </w:rPr>
  </w:style>
  <w:style w:type="paragraph" w:styleId="Caption">
    <w:name w:val="caption"/>
    <w:basedOn w:val="Normal"/>
    <w:next w:val="Normal"/>
    <w:qFormat/>
    <w:rsid w:val="005A25F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5A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27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300"/>
    <w:rPr>
      <w:rFonts w:ascii="Verdana" w:hAnsi="Verdana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7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7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40C9840BE1948AF765D82A5B2FAD2" ma:contentTypeVersion="11" ma:contentTypeDescription="Create a new document." ma:contentTypeScope="" ma:versionID="fa87b157bf4337cc893293e7b8309534">
  <xsd:schema xmlns:xsd="http://www.w3.org/2001/XMLSchema" xmlns:xs="http://www.w3.org/2001/XMLSchema" xmlns:p="http://schemas.microsoft.com/office/2006/metadata/properties" xmlns:ns2="7e2fe37e-e360-4165-b70a-6144ea451ae0" xmlns:ns3="338398ed-0b1f-4d39-9b4b-d5fa1da24a97" targetNamespace="http://schemas.microsoft.com/office/2006/metadata/properties" ma:root="true" ma:fieldsID="6696ee61950a976771323201349997cb" ns2:_="" ns3:_="">
    <xsd:import namespace="7e2fe37e-e360-4165-b70a-6144ea451ae0"/>
    <xsd:import namespace="338398ed-0b1f-4d39-9b4b-d5fa1da2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fe37e-e360-4165-b70a-6144ea451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98ed-0b1f-4d39-9b4b-d5fa1da2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D3C69-8538-4888-AE0A-B39ACD3E832F}">
  <ds:schemaRefs>
    <ds:schemaRef ds:uri="http://www.w3.org/XML/1998/namespace"/>
    <ds:schemaRef ds:uri="http://purl.org/dc/elements/1.1/"/>
    <ds:schemaRef ds:uri="http://schemas.openxmlformats.org/package/2006/metadata/core-properties"/>
    <ds:schemaRef ds:uri="338398ed-0b1f-4d39-9b4b-d5fa1da24a97"/>
    <ds:schemaRef ds:uri="http://purl.org/dc/dcmitype/"/>
    <ds:schemaRef ds:uri="http://schemas.microsoft.com/office/2006/documentManagement/types"/>
    <ds:schemaRef ds:uri="http://schemas.microsoft.com/office/infopath/2007/PartnerControls"/>
    <ds:schemaRef ds:uri="7e2fe37e-e360-4165-b70a-6144ea451ae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15BEDF-FF37-4D62-8F45-A1EA5D89E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fe37e-e360-4165-b70a-6144ea451ae0"/>
    <ds:schemaRef ds:uri="338398ed-0b1f-4d39-9b4b-d5fa1da2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8FB38-3281-4070-80D5-CD5FA8ECB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Barnett - OXON</dc:creator>
  <cp:keywords/>
  <dc:description/>
  <cp:lastModifiedBy>Rosie Barnett - OXON</cp:lastModifiedBy>
  <cp:revision>7</cp:revision>
  <dcterms:created xsi:type="dcterms:W3CDTF">2022-06-02T05:34:00Z</dcterms:created>
  <dcterms:modified xsi:type="dcterms:W3CDTF">2022-06-02T15:35:00Z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0x010100D2A40C9840BE1948AF765D82A5B2FAD2</vt:lpwstr>
  </property>
</Properties>
</file>