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1E32D" w14:textId="77777777" w:rsidR="00123325" w:rsidRPr="00A953F8" w:rsidRDefault="00123325" w:rsidP="00123325">
      <w:pPr>
        <w:rPr>
          <w:rFonts w:ascii="Times New Roman" w:hAnsi="Times New Roman" w:cs="Times New Roman"/>
          <w:b/>
          <w:i/>
          <w:color w:val="000000" w:themeColor="text1"/>
          <w:sz w:val="24"/>
          <w:szCs w:val="24"/>
        </w:rPr>
      </w:pPr>
      <w:r w:rsidRPr="00A953F8">
        <w:rPr>
          <w:rFonts w:ascii="Times New Roman" w:hAnsi="Times New Roman" w:cs="Times New Roman"/>
          <w:b/>
          <w:i/>
          <w:color w:val="000000" w:themeColor="text1"/>
          <w:sz w:val="24"/>
          <w:szCs w:val="24"/>
        </w:rPr>
        <w:t>Epidemiology and Infection</w:t>
      </w:r>
    </w:p>
    <w:p w14:paraId="3331E32E" w14:textId="77777777" w:rsidR="00123325" w:rsidRPr="00A953F8" w:rsidRDefault="00123325" w:rsidP="00123325">
      <w:pPr>
        <w:rPr>
          <w:rFonts w:ascii="Times New Roman" w:hAnsi="Times New Roman" w:cs="Times New Roman"/>
          <w:color w:val="000000" w:themeColor="text1"/>
          <w:sz w:val="24"/>
          <w:szCs w:val="24"/>
        </w:rPr>
      </w:pPr>
    </w:p>
    <w:p w14:paraId="3331E32F" w14:textId="496A753A" w:rsidR="00123325" w:rsidRPr="00A953F8" w:rsidRDefault="00123325" w:rsidP="00123325">
      <w:pPr>
        <w:rPr>
          <w:rFonts w:ascii="Times New Roman" w:hAnsi="Times New Roman" w:cs="Times New Roman"/>
          <w:b/>
          <w:color w:val="000000" w:themeColor="text1"/>
          <w:sz w:val="24"/>
          <w:szCs w:val="24"/>
        </w:rPr>
      </w:pPr>
      <w:r w:rsidRPr="00A953F8">
        <w:rPr>
          <w:rFonts w:ascii="Times New Roman" w:hAnsi="Times New Roman" w:cs="Times New Roman"/>
          <w:b/>
          <w:color w:val="000000" w:themeColor="text1"/>
          <w:sz w:val="24"/>
          <w:szCs w:val="24"/>
        </w:rPr>
        <w:t>Supplementary material for: “</w:t>
      </w:r>
      <w:r w:rsidR="00DB3A7F" w:rsidRPr="00A953F8">
        <w:rPr>
          <w:rFonts w:ascii="Times New Roman" w:hAnsi="Times New Roman" w:cs="Times New Roman"/>
          <w:b/>
          <w:color w:val="000000" w:themeColor="text1"/>
          <w:sz w:val="24"/>
          <w:szCs w:val="24"/>
        </w:rPr>
        <w:t>Decrease in overdispersed secondary transmission of COVID-19 over time in Japan</w:t>
      </w:r>
      <w:r w:rsidRPr="00A953F8">
        <w:rPr>
          <w:rFonts w:ascii="Times New Roman" w:hAnsi="Times New Roman" w:cs="Times New Roman"/>
          <w:b/>
          <w:color w:val="000000" w:themeColor="text1"/>
          <w:sz w:val="24"/>
          <w:szCs w:val="24"/>
        </w:rPr>
        <w:t>”</w:t>
      </w:r>
    </w:p>
    <w:p w14:paraId="3331E330" w14:textId="77777777" w:rsidR="00850DCF" w:rsidRPr="00A953F8" w:rsidRDefault="00850DCF">
      <w:pPr>
        <w:rPr>
          <w:rFonts w:ascii="Times New Roman" w:hAnsi="Times New Roman" w:cs="Times New Roman"/>
          <w:color w:val="000000" w:themeColor="text1"/>
          <w:sz w:val="24"/>
          <w:szCs w:val="24"/>
        </w:rPr>
      </w:pPr>
    </w:p>
    <w:p w14:paraId="3331E331" w14:textId="77777777" w:rsidR="00123325" w:rsidRPr="00A953F8" w:rsidRDefault="00123325">
      <w:pPr>
        <w:rPr>
          <w:rFonts w:ascii="Times New Roman" w:hAnsi="Times New Roman" w:cs="Times New Roman"/>
          <w:color w:val="000000" w:themeColor="text1"/>
          <w:sz w:val="24"/>
          <w:szCs w:val="24"/>
        </w:rPr>
      </w:pPr>
      <w:r w:rsidRPr="00A953F8">
        <w:rPr>
          <w:rFonts w:ascii="Times New Roman" w:hAnsi="Times New Roman" w:cs="Times New Roman"/>
          <w:color w:val="000000" w:themeColor="text1"/>
          <w:sz w:val="24"/>
          <w:szCs w:val="24"/>
        </w:rPr>
        <w:t>Takeshi Miyama, Sung-</w:t>
      </w:r>
      <w:proofErr w:type="spellStart"/>
      <w:r w:rsidRPr="00A953F8">
        <w:rPr>
          <w:rFonts w:ascii="Times New Roman" w:hAnsi="Times New Roman" w:cs="Times New Roman"/>
          <w:color w:val="000000" w:themeColor="text1"/>
          <w:sz w:val="24"/>
          <w:szCs w:val="24"/>
        </w:rPr>
        <w:t>mok</w:t>
      </w:r>
      <w:proofErr w:type="spellEnd"/>
      <w:r w:rsidRPr="00A953F8">
        <w:rPr>
          <w:rFonts w:ascii="Times New Roman" w:hAnsi="Times New Roman" w:cs="Times New Roman"/>
          <w:color w:val="000000" w:themeColor="text1"/>
          <w:sz w:val="24"/>
          <w:szCs w:val="24"/>
        </w:rPr>
        <w:t xml:space="preserve"> Jung, Hiroshi Nishiura</w:t>
      </w:r>
    </w:p>
    <w:p w14:paraId="3331E332" w14:textId="77777777" w:rsidR="00123325" w:rsidRPr="00A953F8" w:rsidRDefault="00123325">
      <w:pPr>
        <w:rPr>
          <w:rFonts w:ascii="Times New Roman" w:hAnsi="Times New Roman" w:cs="Times New Roman"/>
          <w:color w:val="000000" w:themeColor="text1"/>
          <w:sz w:val="24"/>
          <w:szCs w:val="24"/>
        </w:rPr>
      </w:pPr>
    </w:p>
    <w:p w14:paraId="3331E333" w14:textId="77777777" w:rsidR="00F87DA5" w:rsidRPr="00A953F8" w:rsidRDefault="00F87DA5">
      <w:pPr>
        <w:rPr>
          <w:rFonts w:ascii="Times New Roman" w:hAnsi="Times New Roman" w:cs="Times New Roman"/>
          <w:color w:val="000000" w:themeColor="text1"/>
          <w:sz w:val="24"/>
          <w:szCs w:val="24"/>
        </w:rPr>
      </w:pPr>
    </w:p>
    <w:p w14:paraId="3331E334" w14:textId="77777777" w:rsidR="00F87DA5" w:rsidRPr="00A953F8" w:rsidRDefault="00F87DA5">
      <w:pPr>
        <w:rPr>
          <w:rFonts w:ascii="Times New Roman" w:hAnsi="Times New Roman" w:cs="Times New Roman"/>
          <w:color w:val="000000" w:themeColor="text1"/>
          <w:sz w:val="24"/>
          <w:szCs w:val="24"/>
        </w:rPr>
      </w:pPr>
    </w:p>
    <w:p w14:paraId="3331E335" w14:textId="77777777" w:rsidR="00F87DA5" w:rsidRPr="00A953F8" w:rsidRDefault="00F87DA5">
      <w:pPr>
        <w:rPr>
          <w:rFonts w:ascii="Times New Roman" w:hAnsi="Times New Roman" w:cs="Times New Roman"/>
          <w:color w:val="000000" w:themeColor="text1"/>
          <w:sz w:val="24"/>
          <w:szCs w:val="24"/>
        </w:rPr>
      </w:pPr>
    </w:p>
    <w:p w14:paraId="06436A1B" w14:textId="4354DEAC" w:rsidR="007E0273" w:rsidRPr="00A953F8" w:rsidRDefault="007E0273" w:rsidP="000047C5">
      <w:pPr>
        <w:pStyle w:val="1"/>
        <w:rPr>
          <w:color w:val="000000" w:themeColor="text1"/>
        </w:rPr>
      </w:pPr>
      <w:r w:rsidRPr="00A953F8">
        <w:rPr>
          <w:color w:val="000000" w:themeColor="text1"/>
        </w:rPr>
        <w:t xml:space="preserve">Sensitivity analysis using the ascending epidemic phase data of wave 2 </w:t>
      </w:r>
    </w:p>
    <w:p w14:paraId="0CCAAF6E" w14:textId="77777777" w:rsidR="000047C5" w:rsidRPr="00A953F8" w:rsidRDefault="000047C5" w:rsidP="007E0273">
      <w:pPr>
        <w:rPr>
          <w:rFonts w:ascii="Times New Roman" w:hAnsi="Times New Roman" w:cs="Times New Roman"/>
          <w:b/>
          <w:color w:val="000000" w:themeColor="text1"/>
          <w:sz w:val="24"/>
        </w:rPr>
      </w:pPr>
    </w:p>
    <w:p w14:paraId="634A4567" w14:textId="20714039" w:rsidR="007E0273" w:rsidRPr="00A953F8" w:rsidRDefault="007D6BD8" w:rsidP="009B48A8">
      <w:pPr>
        <w:ind w:firstLine="720"/>
        <w:jc w:val="left"/>
        <w:rPr>
          <w:rFonts w:ascii="Times New Roman" w:hAnsi="Times New Roman" w:cs="Times New Roman"/>
          <w:color w:val="000000" w:themeColor="text1"/>
          <w:sz w:val="24"/>
        </w:rPr>
      </w:pPr>
      <w:r w:rsidRPr="00A953F8">
        <w:rPr>
          <w:rFonts w:ascii="Times New Roman" w:hAnsi="Times New Roman" w:cs="Times New Roman"/>
          <w:color w:val="000000" w:themeColor="text1"/>
          <w:sz w:val="24"/>
        </w:rPr>
        <w:t xml:space="preserve">The epidemic phases of waves 2 and 4 were different, i.e. wave 2 included the data from the entire wave (both </w:t>
      </w:r>
      <w:r w:rsidR="00337C6D" w:rsidRPr="00A953F8">
        <w:rPr>
          <w:rFonts w:ascii="Times New Roman" w:hAnsi="Times New Roman" w:cs="Times New Roman"/>
          <w:color w:val="000000" w:themeColor="text1"/>
          <w:sz w:val="24"/>
        </w:rPr>
        <w:t xml:space="preserve">the </w:t>
      </w:r>
      <w:r w:rsidRPr="00A953F8">
        <w:rPr>
          <w:rFonts w:ascii="Times New Roman" w:hAnsi="Times New Roman" w:cs="Times New Roman"/>
          <w:color w:val="000000" w:themeColor="text1"/>
          <w:sz w:val="24"/>
        </w:rPr>
        <w:t>ascending and declining phases), whereas wave 4 only include</w:t>
      </w:r>
      <w:r w:rsidR="00337C6D" w:rsidRPr="00A953F8">
        <w:rPr>
          <w:rFonts w:ascii="Times New Roman" w:hAnsi="Times New Roman" w:cs="Times New Roman"/>
          <w:color w:val="000000" w:themeColor="text1"/>
          <w:sz w:val="24"/>
        </w:rPr>
        <w:t>d</w:t>
      </w:r>
      <w:r w:rsidRPr="00A953F8">
        <w:rPr>
          <w:rFonts w:ascii="Times New Roman" w:hAnsi="Times New Roman" w:cs="Times New Roman"/>
          <w:color w:val="000000" w:themeColor="text1"/>
          <w:sz w:val="24"/>
        </w:rPr>
        <w:t xml:space="preserve"> data </w:t>
      </w:r>
      <w:r w:rsidR="00337C6D" w:rsidRPr="00A953F8">
        <w:rPr>
          <w:rFonts w:ascii="Times New Roman" w:hAnsi="Times New Roman" w:cs="Times New Roman"/>
          <w:color w:val="000000" w:themeColor="text1"/>
          <w:sz w:val="24"/>
        </w:rPr>
        <w:t>from the</w:t>
      </w:r>
      <w:r w:rsidRPr="00A953F8">
        <w:rPr>
          <w:rFonts w:ascii="Times New Roman" w:hAnsi="Times New Roman" w:cs="Times New Roman"/>
          <w:color w:val="000000" w:themeColor="text1"/>
          <w:sz w:val="24"/>
        </w:rPr>
        <w:t xml:space="preserve"> ascending phase, </w:t>
      </w:r>
      <w:r w:rsidR="00337C6D" w:rsidRPr="00A953F8">
        <w:rPr>
          <w:rFonts w:ascii="Times New Roman" w:hAnsi="Times New Roman" w:cs="Times New Roman"/>
          <w:color w:val="000000" w:themeColor="text1"/>
          <w:sz w:val="24"/>
        </w:rPr>
        <w:t xml:space="preserve">to exclude </w:t>
      </w:r>
      <w:r w:rsidRPr="00A953F8">
        <w:rPr>
          <w:rFonts w:ascii="Times New Roman" w:hAnsi="Times New Roman" w:cs="Times New Roman"/>
          <w:color w:val="000000" w:themeColor="text1"/>
          <w:sz w:val="24"/>
        </w:rPr>
        <w:t>the effect of stringent interventions</w:t>
      </w:r>
      <w:r w:rsidR="00337C6D" w:rsidRPr="00A953F8">
        <w:rPr>
          <w:rFonts w:ascii="Times New Roman" w:hAnsi="Times New Roman" w:cs="Times New Roman"/>
          <w:color w:val="000000" w:themeColor="text1"/>
          <w:sz w:val="24"/>
        </w:rPr>
        <w:t xml:space="preserve"> that were taken in the declining phase of wave 4</w:t>
      </w:r>
      <w:r w:rsidRPr="00A953F8">
        <w:rPr>
          <w:rFonts w:ascii="Times New Roman" w:hAnsi="Times New Roman" w:cs="Times New Roman"/>
          <w:color w:val="000000" w:themeColor="text1"/>
          <w:sz w:val="24"/>
        </w:rPr>
        <w:t xml:space="preserve">. Thus, to check a potential bias caused by utilizing different epidemic phases, we conducted a sensitivity analysis to estimate the </w:t>
      </w:r>
      <w:r w:rsidRPr="00A953F8">
        <w:rPr>
          <w:rFonts w:ascii="Times New Roman" w:hAnsi="Times New Roman" w:cs="Times New Roman"/>
          <w:i/>
          <w:color w:val="000000" w:themeColor="text1"/>
          <w:sz w:val="24"/>
        </w:rPr>
        <w:t>R</w:t>
      </w:r>
      <w:r w:rsidRPr="00A953F8">
        <w:rPr>
          <w:rFonts w:ascii="Times New Roman" w:hAnsi="Times New Roman" w:cs="Times New Roman"/>
          <w:color w:val="000000" w:themeColor="text1"/>
          <w:sz w:val="24"/>
        </w:rPr>
        <w:t xml:space="preserve"> and </w:t>
      </w:r>
      <w:r w:rsidRPr="00A953F8">
        <w:rPr>
          <w:rFonts w:ascii="Times New Roman" w:hAnsi="Times New Roman" w:cs="Times New Roman"/>
          <w:i/>
          <w:color w:val="000000" w:themeColor="text1"/>
          <w:sz w:val="24"/>
        </w:rPr>
        <w:t>k</w:t>
      </w:r>
      <w:r w:rsidRPr="00A953F8">
        <w:rPr>
          <w:rFonts w:ascii="Times New Roman" w:hAnsi="Times New Roman" w:cs="Times New Roman"/>
          <w:color w:val="000000" w:themeColor="text1"/>
          <w:sz w:val="24"/>
        </w:rPr>
        <w:t xml:space="preserve"> of wave 2 using the only ascending epidemic phase data of wave 2 (from 12 July–29 August). </w:t>
      </w:r>
      <w:r w:rsidR="00337C6D" w:rsidRPr="00A953F8">
        <w:rPr>
          <w:rFonts w:ascii="Times New Roman" w:hAnsi="Times New Roman" w:cs="Times New Roman"/>
          <w:color w:val="000000" w:themeColor="text1"/>
          <w:sz w:val="24"/>
        </w:rPr>
        <w:t xml:space="preserve">In consideration of the </w:t>
      </w:r>
      <w:r w:rsidRPr="00A953F8">
        <w:rPr>
          <w:rFonts w:ascii="Times New Roman" w:hAnsi="Times New Roman" w:cs="Times New Roman"/>
          <w:color w:val="000000" w:themeColor="text1"/>
          <w:sz w:val="24"/>
        </w:rPr>
        <w:t xml:space="preserve">small sample size </w:t>
      </w:r>
      <w:r w:rsidR="00337C6D" w:rsidRPr="00A953F8">
        <w:rPr>
          <w:rFonts w:ascii="Times New Roman" w:hAnsi="Times New Roman" w:cs="Times New Roman"/>
          <w:color w:val="000000" w:themeColor="text1"/>
          <w:sz w:val="24"/>
        </w:rPr>
        <w:t xml:space="preserve">produced </w:t>
      </w:r>
      <w:r w:rsidRPr="00A953F8">
        <w:rPr>
          <w:rFonts w:ascii="Times New Roman" w:hAnsi="Times New Roman" w:cs="Times New Roman"/>
          <w:color w:val="000000" w:themeColor="text1"/>
          <w:sz w:val="24"/>
        </w:rPr>
        <w:t>when analysing only the ascending phase</w:t>
      </w:r>
      <w:r w:rsidR="00337C6D" w:rsidRPr="00A953F8">
        <w:rPr>
          <w:rFonts w:ascii="Times New Roman" w:hAnsi="Times New Roman" w:cs="Times New Roman"/>
          <w:color w:val="000000" w:themeColor="text1"/>
          <w:sz w:val="24"/>
        </w:rPr>
        <w:t xml:space="preserve"> data</w:t>
      </w:r>
      <w:r w:rsidRPr="00A953F8">
        <w:rPr>
          <w:rFonts w:ascii="Times New Roman" w:hAnsi="Times New Roman" w:cs="Times New Roman"/>
          <w:color w:val="000000" w:themeColor="text1"/>
          <w:sz w:val="24"/>
        </w:rPr>
        <w:t xml:space="preserve">, we </w:t>
      </w:r>
      <w:r w:rsidR="00337C6D" w:rsidRPr="00A953F8">
        <w:rPr>
          <w:rFonts w:ascii="Times New Roman" w:hAnsi="Times New Roman" w:cs="Times New Roman"/>
          <w:color w:val="000000" w:themeColor="text1"/>
          <w:sz w:val="24"/>
        </w:rPr>
        <w:t xml:space="preserve">conducted </w:t>
      </w:r>
      <w:r w:rsidRPr="00A953F8">
        <w:rPr>
          <w:rFonts w:ascii="Times New Roman" w:hAnsi="Times New Roman" w:cs="Times New Roman"/>
          <w:color w:val="000000" w:themeColor="text1"/>
          <w:sz w:val="24"/>
        </w:rPr>
        <w:t xml:space="preserve">only </w:t>
      </w:r>
      <w:r w:rsidR="00337C6D" w:rsidRPr="00A953F8">
        <w:rPr>
          <w:rFonts w:ascii="Times New Roman" w:hAnsi="Times New Roman" w:cs="Times New Roman"/>
          <w:color w:val="000000" w:themeColor="text1"/>
          <w:sz w:val="24"/>
        </w:rPr>
        <w:t xml:space="preserve">a </w:t>
      </w:r>
      <w:r w:rsidRPr="00A953F8">
        <w:rPr>
          <w:rFonts w:ascii="Times New Roman" w:hAnsi="Times New Roman" w:cs="Times New Roman"/>
          <w:color w:val="000000" w:themeColor="text1"/>
          <w:sz w:val="24"/>
        </w:rPr>
        <w:t xml:space="preserve">zero-included data analysis (see </w:t>
      </w:r>
      <w:bookmarkStart w:id="0" w:name="_Hlk119580024"/>
      <w:r w:rsidR="008A1EBF" w:rsidRPr="008A1EBF">
        <w:rPr>
          <w:rFonts w:ascii="Times New Roman" w:hAnsi="Times New Roman" w:cs="Times New Roman"/>
          <w:color w:val="000000" w:themeColor="text1"/>
          <w:sz w:val="24"/>
        </w:rPr>
        <w:t>Estimation of the reproduction number (R) and overdispersion parameter (k)</w:t>
      </w:r>
      <w:bookmarkStart w:id="1" w:name="_GoBack"/>
      <w:bookmarkEnd w:id="1"/>
      <w:r w:rsidR="009B48A8" w:rsidRPr="009B48A8">
        <w:rPr>
          <w:rFonts w:ascii="Times New Roman" w:hAnsi="Times New Roman" w:cs="Times New Roman"/>
          <w:color w:val="000000" w:themeColor="text1"/>
          <w:sz w:val="24"/>
        </w:rPr>
        <w:t xml:space="preserve"> in Methods</w:t>
      </w:r>
      <w:bookmarkEnd w:id="0"/>
      <w:r w:rsidRPr="00A953F8">
        <w:rPr>
          <w:rFonts w:ascii="Times New Roman" w:hAnsi="Times New Roman" w:cs="Times New Roman"/>
          <w:color w:val="000000" w:themeColor="text1"/>
          <w:sz w:val="24"/>
        </w:rPr>
        <w:t xml:space="preserve"> in the main text) for this sensitivity analysis.</w:t>
      </w:r>
    </w:p>
    <w:p w14:paraId="33557814" w14:textId="1C8F8AF6" w:rsidR="007E0273" w:rsidRPr="00A953F8" w:rsidRDefault="007E0273" w:rsidP="005F4A14">
      <w:pPr>
        <w:ind w:firstLine="720"/>
        <w:jc w:val="left"/>
        <w:rPr>
          <w:rFonts w:ascii="Times New Roman" w:hAnsi="Times New Roman" w:cs="Times New Roman"/>
          <w:color w:val="000000" w:themeColor="text1"/>
          <w:sz w:val="24"/>
        </w:rPr>
      </w:pPr>
      <w:r w:rsidRPr="00A953F8">
        <w:rPr>
          <w:rFonts w:ascii="Times New Roman" w:hAnsi="Times New Roman" w:cs="Times New Roman"/>
          <w:color w:val="000000" w:themeColor="text1"/>
          <w:sz w:val="24"/>
        </w:rPr>
        <w:t xml:space="preserve">The estimated </w:t>
      </w:r>
      <w:r w:rsidRPr="00A953F8">
        <w:rPr>
          <w:rFonts w:ascii="Times New Roman" w:hAnsi="Times New Roman" w:cs="Times New Roman"/>
          <w:i/>
          <w:color w:val="000000" w:themeColor="text1"/>
          <w:sz w:val="24"/>
        </w:rPr>
        <w:t>R</w:t>
      </w:r>
      <w:r w:rsidRPr="00A953F8">
        <w:rPr>
          <w:rFonts w:ascii="Times New Roman" w:hAnsi="Times New Roman" w:cs="Times New Roman"/>
          <w:color w:val="000000" w:themeColor="text1"/>
          <w:sz w:val="24"/>
        </w:rPr>
        <w:t xml:space="preserve"> and </w:t>
      </w:r>
      <w:r w:rsidRPr="00A953F8">
        <w:rPr>
          <w:rFonts w:ascii="Times New Roman" w:hAnsi="Times New Roman" w:cs="Times New Roman"/>
          <w:i/>
          <w:color w:val="000000" w:themeColor="text1"/>
          <w:sz w:val="24"/>
        </w:rPr>
        <w:t>k</w:t>
      </w:r>
      <w:r w:rsidRPr="00A953F8">
        <w:rPr>
          <w:rFonts w:ascii="Times New Roman" w:hAnsi="Times New Roman" w:cs="Times New Roman"/>
          <w:color w:val="000000" w:themeColor="text1"/>
          <w:sz w:val="24"/>
        </w:rPr>
        <w:t xml:space="preserve"> for wave 2 </w:t>
      </w:r>
      <w:r w:rsidR="00337C6D" w:rsidRPr="00A953F8">
        <w:rPr>
          <w:rFonts w:ascii="Times New Roman" w:hAnsi="Times New Roman" w:cs="Times New Roman"/>
          <w:color w:val="000000" w:themeColor="text1"/>
          <w:sz w:val="24"/>
        </w:rPr>
        <w:t xml:space="preserve">produced </w:t>
      </w:r>
      <w:r w:rsidRPr="00A953F8">
        <w:rPr>
          <w:rFonts w:ascii="Times New Roman" w:hAnsi="Times New Roman" w:cs="Times New Roman"/>
          <w:color w:val="000000" w:themeColor="text1"/>
          <w:sz w:val="24"/>
        </w:rPr>
        <w:t xml:space="preserve">using </w:t>
      </w:r>
      <w:r w:rsidR="00337C6D" w:rsidRPr="00A953F8">
        <w:rPr>
          <w:rFonts w:ascii="Times New Roman" w:hAnsi="Times New Roman" w:cs="Times New Roman"/>
          <w:color w:val="000000" w:themeColor="text1"/>
          <w:sz w:val="24"/>
        </w:rPr>
        <w:t xml:space="preserve">only </w:t>
      </w:r>
      <w:r w:rsidRPr="00A953F8">
        <w:rPr>
          <w:rFonts w:ascii="Times New Roman" w:hAnsi="Times New Roman" w:cs="Times New Roman"/>
          <w:color w:val="000000" w:themeColor="text1"/>
          <w:sz w:val="24"/>
        </w:rPr>
        <w:t xml:space="preserve">the ascending epidemic phase data were: </w:t>
      </w:r>
      <w:r w:rsidRPr="00A953F8">
        <w:rPr>
          <w:rFonts w:ascii="Times New Roman" w:hAnsi="Times New Roman" w:cs="Times New Roman"/>
          <w:i/>
          <w:color w:val="000000" w:themeColor="text1"/>
          <w:sz w:val="24"/>
        </w:rPr>
        <w:t>R</w:t>
      </w:r>
      <w:r w:rsidRPr="00A953F8">
        <w:rPr>
          <w:rFonts w:ascii="Times New Roman" w:hAnsi="Times New Roman" w:cs="Times New Roman"/>
          <w:color w:val="000000" w:themeColor="text1"/>
          <w:sz w:val="24"/>
        </w:rPr>
        <w:t xml:space="preserve"> = 0.33 (95% confidence interval, 0.13</w:t>
      </w:r>
      <w:r w:rsidR="00686F65" w:rsidRPr="00A953F8">
        <w:rPr>
          <w:rFonts w:ascii="Times New Roman" w:hAnsi="Times New Roman" w:cs="Times New Roman"/>
          <w:color w:val="000000" w:themeColor="text1"/>
          <w:sz w:val="24"/>
        </w:rPr>
        <w:t>–</w:t>
      </w:r>
      <w:r w:rsidRPr="00A953F8">
        <w:rPr>
          <w:rFonts w:ascii="Times New Roman" w:hAnsi="Times New Roman" w:cs="Times New Roman"/>
          <w:color w:val="000000" w:themeColor="text1"/>
          <w:sz w:val="24"/>
        </w:rPr>
        <w:t xml:space="preserve">0.60), </w:t>
      </w:r>
      <w:r w:rsidRPr="00A953F8">
        <w:rPr>
          <w:rFonts w:ascii="Times New Roman" w:hAnsi="Times New Roman" w:cs="Times New Roman"/>
          <w:i/>
          <w:color w:val="000000" w:themeColor="text1"/>
          <w:sz w:val="24"/>
        </w:rPr>
        <w:t>k</w:t>
      </w:r>
      <w:r w:rsidRPr="00A953F8">
        <w:rPr>
          <w:rFonts w:ascii="Times New Roman" w:hAnsi="Times New Roman" w:cs="Times New Roman"/>
          <w:color w:val="000000" w:themeColor="text1"/>
          <w:sz w:val="24"/>
        </w:rPr>
        <w:t xml:space="preserve"> = 0.15 (0.06</w:t>
      </w:r>
      <w:r w:rsidR="00686F65" w:rsidRPr="00A953F8">
        <w:rPr>
          <w:rFonts w:ascii="Times New Roman" w:hAnsi="Times New Roman" w:cs="Times New Roman"/>
          <w:color w:val="000000" w:themeColor="text1"/>
          <w:sz w:val="24"/>
        </w:rPr>
        <w:t>–</w:t>
      </w:r>
      <w:r w:rsidRPr="00A953F8">
        <w:rPr>
          <w:rFonts w:ascii="Times New Roman" w:hAnsi="Times New Roman" w:cs="Times New Roman"/>
          <w:color w:val="000000" w:themeColor="text1"/>
          <w:sz w:val="24"/>
        </w:rPr>
        <w:t xml:space="preserve">0.62), which </w:t>
      </w:r>
      <w:r w:rsidR="00337C6D" w:rsidRPr="00A953F8">
        <w:rPr>
          <w:rFonts w:ascii="Times New Roman" w:hAnsi="Times New Roman" w:cs="Times New Roman"/>
          <w:color w:val="000000" w:themeColor="text1"/>
          <w:sz w:val="24"/>
        </w:rPr>
        <w:t>are</w:t>
      </w:r>
      <w:r w:rsidRPr="00A953F8">
        <w:rPr>
          <w:rFonts w:ascii="Times New Roman" w:hAnsi="Times New Roman" w:cs="Times New Roman"/>
          <w:color w:val="000000" w:themeColor="text1"/>
          <w:sz w:val="24"/>
        </w:rPr>
        <w:t xml:space="preserve"> comparable to the main result (i.e. </w:t>
      </w:r>
      <w:r w:rsidR="00337C6D" w:rsidRPr="00A953F8">
        <w:rPr>
          <w:rFonts w:ascii="Times New Roman" w:hAnsi="Times New Roman" w:cs="Times New Roman"/>
          <w:color w:val="000000" w:themeColor="text1"/>
          <w:sz w:val="24"/>
        </w:rPr>
        <w:t xml:space="preserve">the result from our analysis </w:t>
      </w:r>
      <w:r w:rsidRPr="00A953F8">
        <w:rPr>
          <w:rFonts w:ascii="Times New Roman" w:hAnsi="Times New Roman" w:cs="Times New Roman"/>
          <w:color w:val="000000" w:themeColor="text1"/>
          <w:sz w:val="24"/>
        </w:rPr>
        <w:t xml:space="preserve">using the </w:t>
      </w:r>
      <w:r w:rsidR="00337C6D" w:rsidRPr="00A953F8">
        <w:rPr>
          <w:rFonts w:ascii="Times New Roman" w:hAnsi="Times New Roman" w:cs="Times New Roman"/>
          <w:color w:val="000000" w:themeColor="text1"/>
          <w:sz w:val="24"/>
        </w:rPr>
        <w:t xml:space="preserve">full set of </w:t>
      </w:r>
      <w:r w:rsidRPr="00A953F8">
        <w:rPr>
          <w:rFonts w:ascii="Times New Roman" w:hAnsi="Times New Roman" w:cs="Times New Roman"/>
          <w:color w:val="000000" w:themeColor="text1"/>
          <w:sz w:val="24"/>
        </w:rPr>
        <w:t xml:space="preserve">data of wave 2, </w:t>
      </w:r>
      <w:r w:rsidRPr="00A953F8">
        <w:rPr>
          <w:rFonts w:ascii="Times New Roman" w:hAnsi="Times New Roman" w:cs="Times New Roman"/>
          <w:i/>
          <w:color w:val="000000" w:themeColor="text1"/>
          <w:sz w:val="24"/>
        </w:rPr>
        <w:t>R</w:t>
      </w:r>
      <w:r w:rsidRPr="00A953F8">
        <w:rPr>
          <w:rFonts w:ascii="Times New Roman" w:hAnsi="Times New Roman" w:cs="Times New Roman"/>
          <w:color w:val="000000" w:themeColor="text1"/>
          <w:sz w:val="24"/>
        </w:rPr>
        <w:t xml:space="preserve"> = 0.47 (0.32</w:t>
      </w:r>
      <w:r w:rsidR="00686F65" w:rsidRPr="00A953F8">
        <w:rPr>
          <w:rFonts w:ascii="Times New Roman" w:hAnsi="Times New Roman" w:cs="Times New Roman"/>
          <w:color w:val="000000" w:themeColor="text1"/>
          <w:sz w:val="24"/>
        </w:rPr>
        <w:t>–</w:t>
      </w:r>
      <w:r w:rsidRPr="00A953F8">
        <w:rPr>
          <w:rFonts w:ascii="Times New Roman" w:hAnsi="Times New Roman" w:cs="Times New Roman"/>
          <w:color w:val="000000" w:themeColor="text1"/>
          <w:sz w:val="24"/>
        </w:rPr>
        <w:t xml:space="preserve">0.66), </w:t>
      </w:r>
      <w:r w:rsidRPr="00A953F8">
        <w:rPr>
          <w:rFonts w:ascii="Times New Roman" w:hAnsi="Times New Roman" w:cs="Times New Roman"/>
          <w:i/>
          <w:color w:val="000000" w:themeColor="text1"/>
          <w:sz w:val="24"/>
        </w:rPr>
        <w:t>k</w:t>
      </w:r>
      <w:r w:rsidRPr="00A953F8">
        <w:rPr>
          <w:rFonts w:ascii="Times New Roman" w:hAnsi="Times New Roman" w:cs="Times New Roman"/>
          <w:color w:val="000000" w:themeColor="text1"/>
          <w:sz w:val="24"/>
        </w:rPr>
        <w:t xml:space="preserve"> = 0.21 (0.13</w:t>
      </w:r>
      <w:r w:rsidR="00686F65" w:rsidRPr="00A953F8">
        <w:rPr>
          <w:rFonts w:ascii="Times New Roman" w:hAnsi="Times New Roman" w:cs="Times New Roman"/>
          <w:color w:val="000000" w:themeColor="text1"/>
          <w:sz w:val="24"/>
        </w:rPr>
        <w:t>–</w:t>
      </w:r>
      <w:r w:rsidRPr="00A953F8">
        <w:rPr>
          <w:rFonts w:ascii="Times New Roman" w:hAnsi="Times New Roman" w:cs="Times New Roman"/>
          <w:color w:val="000000" w:themeColor="text1"/>
          <w:sz w:val="24"/>
        </w:rPr>
        <w:t>0.36)) and smaller than those of wave 4 (</w:t>
      </w:r>
      <w:r w:rsidR="00337C6D" w:rsidRPr="00A953F8">
        <w:rPr>
          <w:rFonts w:ascii="Times New Roman" w:hAnsi="Times New Roman" w:cs="Times New Roman"/>
          <w:color w:val="000000" w:themeColor="text1"/>
          <w:sz w:val="24"/>
        </w:rPr>
        <w:t xml:space="preserve">produced </w:t>
      </w:r>
      <w:r w:rsidRPr="00A953F8">
        <w:rPr>
          <w:rFonts w:ascii="Times New Roman" w:hAnsi="Times New Roman" w:cs="Times New Roman"/>
          <w:color w:val="000000" w:themeColor="text1"/>
          <w:sz w:val="24"/>
        </w:rPr>
        <w:t>using the ascending epidemic phase data,</w:t>
      </w:r>
      <w:r w:rsidRPr="00A953F8">
        <w:rPr>
          <w:rFonts w:ascii="Times New Roman" w:hAnsi="Times New Roman" w:cs="Times New Roman"/>
          <w:i/>
          <w:color w:val="000000" w:themeColor="text1"/>
          <w:sz w:val="24"/>
        </w:rPr>
        <w:t xml:space="preserve"> R</w:t>
      </w:r>
      <w:r w:rsidRPr="00A953F8">
        <w:rPr>
          <w:rFonts w:ascii="Times New Roman" w:hAnsi="Times New Roman" w:cs="Times New Roman"/>
          <w:color w:val="000000" w:themeColor="text1"/>
          <w:sz w:val="24"/>
        </w:rPr>
        <w:t xml:space="preserve"> = 0.64 (0.52</w:t>
      </w:r>
      <w:r w:rsidR="00686F65" w:rsidRPr="00A953F8">
        <w:rPr>
          <w:rFonts w:ascii="Times New Roman" w:hAnsi="Times New Roman" w:cs="Times New Roman"/>
          <w:color w:val="000000" w:themeColor="text1"/>
          <w:sz w:val="24"/>
        </w:rPr>
        <w:t>–</w:t>
      </w:r>
      <w:r w:rsidRPr="00A953F8">
        <w:rPr>
          <w:rFonts w:ascii="Times New Roman" w:hAnsi="Times New Roman" w:cs="Times New Roman"/>
          <w:color w:val="000000" w:themeColor="text1"/>
          <w:sz w:val="24"/>
        </w:rPr>
        <w:t xml:space="preserve">0.76), </w:t>
      </w:r>
      <w:r w:rsidRPr="00A953F8">
        <w:rPr>
          <w:rFonts w:ascii="Times New Roman" w:hAnsi="Times New Roman" w:cs="Times New Roman"/>
          <w:i/>
          <w:color w:val="000000" w:themeColor="text1"/>
          <w:sz w:val="24"/>
        </w:rPr>
        <w:t>k</w:t>
      </w:r>
      <w:r w:rsidRPr="00A953F8">
        <w:rPr>
          <w:rFonts w:ascii="Times New Roman" w:hAnsi="Times New Roman" w:cs="Times New Roman"/>
          <w:color w:val="000000" w:themeColor="text1"/>
          <w:sz w:val="24"/>
        </w:rPr>
        <w:t xml:space="preserve"> = 0.32 (0.24</w:t>
      </w:r>
      <w:r w:rsidR="00686F65" w:rsidRPr="00A953F8">
        <w:rPr>
          <w:rFonts w:ascii="Times New Roman" w:hAnsi="Times New Roman" w:cs="Times New Roman"/>
          <w:color w:val="000000" w:themeColor="text1"/>
          <w:sz w:val="24"/>
        </w:rPr>
        <w:t>–</w:t>
      </w:r>
      <w:r w:rsidRPr="00A953F8">
        <w:rPr>
          <w:rFonts w:ascii="Times New Roman" w:hAnsi="Times New Roman" w:cs="Times New Roman"/>
          <w:color w:val="000000" w:themeColor="text1"/>
          <w:sz w:val="24"/>
        </w:rPr>
        <w:t>0.54)</w:t>
      </w:r>
      <w:r w:rsidR="00337C6D" w:rsidRPr="00A953F8">
        <w:rPr>
          <w:rFonts w:ascii="Times New Roman" w:hAnsi="Times New Roman" w:cs="Times New Roman"/>
          <w:color w:val="000000" w:themeColor="text1"/>
          <w:sz w:val="24"/>
        </w:rPr>
        <w:t>;</w:t>
      </w:r>
      <w:r w:rsidRPr="00A953F8">
        <w:rPr>
          <w:rFonts w:ascii="Times New Roman" w:hAnsi="Times New Roman" w:cs="Times New Roman"/>
          <w:color w:val="000000" w:themeColor="text1"/>
          <w:sz w:val="24"/>
        </w:rPr>
        <w:t xml:space="preserve"> Supplementary </w:t>
      </w:r>
      <w:r w:rsidR="00686F65" w:rsidRPr="00A953F8">
        <w:rPr>
          <w:rFonts w:ascii="Times New Roman" w:hAnsi="Times New Roman" w:cs="Times New Roman"/>
          <w:color w:val="000000" w:themeColor="text1"/>
          <w:sz w:val="24"/>
        </w:rPr>
        <w:t>T</w:t>
      </w:r>
      <w:r w:rsidRPr="00A953F8">
        <w:rPr>
          <w:rFonts w:ascii="Times New Roman" w:hAnsi="Times New Roman" w:cs="Times New Roman"/>
          <w:color w:val="000000" w:themeColor="text1"/>
          <w:sz w:val="24"/>
        </w:rPr>
        <w:t>able 1).</w:t>
      </w:r>
    </w:p>
    <w:p w14:paraId="70EC742D" w14:textId="77777777" w:rsidR="007E0273" w:rsidRPr="00A953F8" w:rsidRDefault="007E0273" w:rsidP="007E0273">
      <w:pPr>
        <w:rPr>
          <w:rFonts w:ascii="Times New Roman" w:hAnsi="Times New Roman" w:cs="Times New Roman"/>
          <w:color w:val="000000" w:themeColor="text1"/>
          <w:sz w:val="24"/>
        </w:rPr>
      </w:pPr>
    </w:p>
    <w:p w14:paraId="3A31C52E" w14:textId="543C3991" w:rsidR="007E0273" w:rsidRPr="00A953F8" w:rsidRDefault="007E0273" w:rsidP="007E0273">
      <w:pPr>
        <w:rPr>
          <w:rFonts w:ascii="Times New Roman" w:hAnsi="Times New Roman" w:cs="Times New Roman"/>
          <w:color w:val="000000" w:themeColor="text1"/>
          <w:sz w:val="24"/>
        </w:rPr>
      </w:pPr>
    </w:p>
    <w:tbl>
      <w:tblPr>
        <w:tblW w:w="5000" w:type="pct"/>
        <w:tblCellMar>
          <w:left w:w="0" w:type="dxa"/>
          <w:right w:w="0" w:type="dxa"/>
        </w:tblCellMar>
        <w:tblLook w:val="0420" w:firstRow="1" w:lastRow="0" w:firstColumn="0" w:lastColumn="0" w:noHBand="0" w:noVBand="1"/>
      </w:tblPr>
      <w:tblGrid>
        <w:gridCol w:w="2824"/>
        <w:gridCol w:w="2840"/>
        <w:gridCol w:w="2840"/>
      </w:tblGrid>
      <w:tr w:rsidR="00A953F8" w:rsidRPr="00A953F8" w14:paraId="2A3DCD67" w14:textId="77777777" w:rsidTr="007E0273">
        <w:trPr>
          <w:trHeight w:val="508"/>
        </w:trPr>
        <w:tc>
          <w:tcPr>
            <w:tcW w:w="5000" w:type="pct"/>
            <w:gridSpan w:val="3"/>
            <w:tcBorders>
              <w:left w:val="nil"/>
              <w:bottom w:val="single" w:sz="4" w:space="0" w:color="auto"/>
              <w:right w:val="nil"/>
            </w:tcBorders>
            <w:shd w:val="clear" w:color="auto" w:fill="auto"/>
            <w:tcMar>
              <w:top w:w="12" w:type="dxa"/>
              <w:left w:w="12" w:type="dxa"/>
              <w:bottom w:w="0" w:type="dxa"/>
              <w:right w:w="12" w:type="dxa"/>
            </w:tcMar>
            <w:vAlign w:val="center"/>
          </w:tcPr>
          <w:p w14:paraId="435EE32B" w14:textId="49D2B9BC" w:rsidR="007E0273" w:rsidRPr="00A953F8" w:rsidRDefault="007E0273">
            <w:pPr>
              <w:jc w:val="left"/>
              <w:rPr>
                <w:rFonts w:ascii="Times New Roman" w:hAnsi="Times New Roman" w:cs="Times New Roman"/>
                <w:b/>
                <w:i/>
                <w:color w:val="000000" w:themeColor="text1"/>
                <w:sz w:val="24"/>
              </w:rPr>
            </w:pPr>
            <w:r w:rsidRPr="00A953F8">
              <w:rPr>
                <w:rFonts w:ascii="Times New Roman" w:hAnsi="Times New Roman" w:cs="Times New Roman"/>
                <w:b/>
                <w:color w:val="000000" w:themeColor="text1"/>
                <w:sz w:val="24"/>
              </w:rPr>
              <w:t xml:space="preserve">Supplementary </w:t>
            </w:r>
            <w:r w:rsidR="007E7DFA" w:rsidRPr="00A953F8">
              <w:rPr>
                <w:rFonts w:ascii="Times New Roman" w:hAnsi="Times New Roman" w:cs="Times New Roman"/>
                <w:b/>
                <w:color w:val="000000" w:themeColor="text1"/>
                <w:sz w:val="24"/>
              </w:rPr>
              <w:t>T</w:t>
            </w:r>
            <w:r w:rsidRPr="00A953F8">
              <w:rPr>
                <w:rFonts w:ascii="Times New Roman" w:hAnsi="Times New Roman" w:cs="Times New Roman"/>
                <w:b/>
                <w:color w:val="000000" w:themeColor="text1"/>
                <w:sz w:val="24"/>
              </w:rPr>
              <w:t xml:space="preserve">able </w:t>
            </w:r>
            <w:r w:rsidR="007E7DFA" w:rsidRPr="00A953F8">
              <w:rPr>
                <w:rFonts w:ascii="Times New Roman" w:hAnsi="Times New Roman" w:cs="Times New Roman"/>
                <w:b/>
                <w:color w:val="000000" w:themeColor="text1"/>
                <w:sz w:val="24"/>
              </w:rPr>
              <w:t>S</w:t>
            </w:r>
            <w:r w:rsidRPr="00A953F8">
              <w:rPr>
                <w:rFonts w:ascii="Times New Roman" w:hAnsi="Times New Roman" w:cs="Times New Roman"/>
                <w:b/>
                <w:color w:val="000000" w:themeColor="text1"/>
                <w:sz w:val="24"/>
              </w:rPr>
              <w:t>1</w:t>
            </w:r>
            <w:r w:rsidR="00686F65" w:rsidRPr="00A953F8">
              <w:rPr>
                <w:rFonts w:ascii="Times New Roman" w:hAnsi="Times New Roman" w:cs="Times New Roman"/>
                <w:b/>
                <w:color w:val="000000" w:themeColor="text1"/>
                <w:sz w:val="24"/>
              </w:rPr>
              <w:t>.</w:t>
            </w:r>
            <w:r w:rsidRPr="00A953F8">
              <w:rPr>
                <w:rFonts w:ascii="Times New Roman" w:hAnsi="Times New Roman" w:cs="Times New Roman"/>
                <w:b/>
                <w:color w:val="000000" w:themeColor="text1"/>
                <w:sz w:val="24"/>
              </w:rPr>
              <w:t xml:space="preserve"> Sensitivity analysis for dispersion parameter, </w:t>
            </w:r>
            <w:r w:rsidRPr="00A953F8">
              <w:rPr>
                <w:rFonts w:ascii="Times New Roman" w:hAnsi="Times New Roman" w:cs="Times New Roman"/>
                <w:b/>
                <w:i/>
                <w:color w:val="000000" w:themeColor="text1"/>
                <w:sz w:val="24"/>
              </w:rPr>
              <w:t>k</w:t>
            </w:r>
            <w:r w:rsidR="00337C6D" w:rsidRPr="00A953F8">
              <w:rPr>
                <w:rFonts w:ascii="Times New Roman" w:hAnsi="Times New Roman" w:cs="Times New Roman"/>
                <w:b/>
                <w:color w:val="000000" w:themeColor="text1"/>
                <w:sz w:val="24"/>
              </w:rPr>
              <w:t>,</w:t>
            </w:r>
            <w:r w:rsidRPr="00A953F8">
              <w:rPr>
                <w:rFonts w:ascii="Times New Roman" w:hAnsi="Times New Roman" w:cs="Times New Roman"/>
                <w:b/>
                <w:color w:val="000000" w:themeColor="text1"/>
                <w:sz w:val="24"/>
              </w:rPr>
              <w:t xml:space="preserve"> and reproduction number, </w:t>
            </w:r>
            <w:r w:rsidRPr="00A953F8">
              <w:rPr>
                <w:rFonts w:ascii="Times New Roman" w:hAnsi="Times New Roman" w:cs="Times New Roman"/>
                <w:b/>
                <w:i/>
                <w:color w:val="000000" w:themeColor="text1"/>
                <w:sz w:val="24"/>
              </w:rPr>
              <w:t>R</w:t>
            </w:r>
            <w:r w:rsidR="00337C6D" w:rsidRPr="00A953F8">
              <w:rPr>
                <w:rFonts w:ascii="Times New Roman" w:hAnsi="Times New Roman" w:cs="Times New Roman"/>
                <w:b/>
                <w:color w:val="000000" w:themeColor="text1"/>
                <w:sz w:val="24"/>
              </w:rPr>
              <w:t>,</w:t>
            </w:r>
            <w:r w:rsidRPr="00A953F8">
              <w:rPr>
                <w:rFonts w:ascii="Times New Roman" w:hAnsi="Times New Roman" w:cs="Times New Roman"/>
                <w:b/>
                <w:color w:val="000000" w:themeColor="text1"/>
                <w:sz w:val="24"/>
              </w:rPr>
              <w:t xml:space="preserve"> estimat</w:t>
            </w:r>
            <w:r w:rsidR="00337C6D" w:rsidRPr="00A953F8">
              <w:rPr>
                <w:rFonts w:ascii="Times New Roman" w:hAnsi="Times New Roman" w:cs="Times New Roman"/>
                <w:b/>
                <w:color w:val="000000" w:themeColor="text1"/>
                <w:sz w:val="24"/>
              </w:rPr>
              <w:t>ed</w:t>
            </w:r>
            <w:r w:rsidRPr="00A953F8">
              <w:rPr>
                <w:rFonts w:ascii="Times New Roman" w:hAnsi="Times New Roman" w:cs="Times New Roman"/>
                <w:b/>
                <w:color w:val="000000" w:themeColor="text1"/>
                <w:sz w:val="24"/>
              </w:rPr>
              <w:t xml:space="preserve"> using different epidemic phase</w:t>
            </w:r>
            <w:r w:rsidR="000671CC" w:rsidRPr="00A953F8">
              <w:rPr>
                <w:rFonts w:ascii="Times New Roman" w:hAnsi="Times New Roman" w:cs="Times New Roman"/>
                <w:b/>
                <w:color w:val="000000" w:themeColor="text1"/>
                <w:sz w:val="24"/>
              </w:rPr>
              <w:t xml:space="preserve"> data</w:t>
            </w:r>
          </w:p>
        </w:tc>
      </w:tr>
      <w:tr w:rsidR="00A953F8" w:rsidRPr="00A953F8" w14:paraId="6257865E" w14:textId="77777777" w:rsidTr="007E0273">
        <w:trPr>
          <w:trHeight w:val="508"/>
        </w:trPr>
        <w:tc>
          <w:tcPr>
            <w:tcW w:w="1660" w:type="pct"/>
            <w:tcBorders>
              <w:top w:val="single" w:sz="4" w:space="0" w:color="auto"/>
              <w:left w:val="nil"/>
              <w:bottom w:val="single" w:sz="8" w:space="0" w:color="000000"/>
              <w:right w:val="nil"/>
            </w:tcBorders>
            <w:shd w:val="clear" w:color="auto" w:fill="auto"/>
            <w:tcMar>
              <w:top w:w="12" w:type="dxa"/>
              <w:left w:w="12" w:type="dxa"/>
              <w:bottom w:w="0" w:type="dxa"/>
              <w:right w:w="12" w:type="dxa"/>
            </w:tcMar>
            <w:vAlign w:val="center"/>
            <w:hideMark/>
          </w:tcPr>
          <w:p w14:paraId="22663FAB" w14:textId="77777777" w:rsidR="007E0273" w:rsidRPr="00A953F8" w:rsidRDefault="007E0273" w:rsidP="00433AC0">
            <w:pPr>
              <w:rPr>
                <w:rFonts w:ascii="Times New Roman" w:hAnsi="Times New Roman" w:cs="Times New Roman"/>
                <w:color w:val="000000" w:themeColor="text1"/>
                <w:sz w:val="24"/>
              </w:rPr>
            </w:pPr>
            <w:r w:rsidRPr="00A953F8">
              <w:rPr>
                <w:rFonts w:ascii="Times New Roman" w:hAnsi="Times New Roman" w:cs="Times New Roman"/>
                <w:color w:val="000000" w:themeColor="text1"/>
                <w:sz w:val="24"/>
              </w:rPr>
              <w:t>Epidemic phase</w:t>
            </w:r>
          </w:p>
        </w:tc>
        <w:tc>
          <w:tcPr>
            <w:tcW w:w="1670" w:type="pct"/>
            <w:tcBorders>
              <w:top w:val="single" w:sz="4" w:space="0" w:color="auto"/>
              <w:left w:val="nil"/>
              <w:bottom w:val="single" w:sz="8" w:space="0" w:color="000000"/>
              <w:right w:val="nil"/>
            </w:tcBorders>
            <w:vAlign w:val="center"/>
          </w:tcPr>
          <w:p w14:paraId="47A54150" w14:textId="77777777" w:rsidR="007E0273" w:rsidRPr="00A953F8" w:rsidRDefault="007E0273" w:rsidP="00433AC0">
            <w:pPr>
              <w:jc w:val="center"/>
              <w:rPr>
                <w:rFonts w:ascii="Times New Roman" w:hAnsi="Times New Roman" w:cs="Times New Roman"/>
                <w:i/>
                <w:color w:val="000000" w:themeColor="text1"/>
                <w:sz w:val="24"/>
              </w:rPr>
            </w:pPr>
            <w:r w:rsidRPr="00A953F8">
              <w:rPr>
                <w:rFonts w:ascii="Times New Roman" w:hAnsi="Times New Roman" w:cs="Times New Roman"/>
                <w:i/>
                <w:color w:val="000000" w:themeColor="text1"/>
                <w:sz w:val="24"/>
              </w:rPr>
              <w:t>R</w:t>
            </w:r>
          </w:p>
        </w:tc>
        <w:tc>
          <w:tcPr>
            <w:tcW w:w="1670" w:type="pct"/>
            <w:tcBorders>
              <w:top w:val="single" w:sz="4" w:space="0" w:color="auto"/>
              <w:left w:val="nil"/>
              <w:bottom w:val="single" w:sz="8" w:space="0" w:color="000000"/>
              <w:right w:val="nil"/>
            </w:tcBorders>
            <w:vAlign w:val="center"/>
          </w:tcPr>
          <w:p w14:paraId="29C76AC3" w14:textId="77777777" w:rsidR="007E0273" w:rsidRPr="00A953F8" w:rsidRDefault="007E0273" w:rsidP="00433AC0">
            <w:pPr>
              <w:jc w:val="center"/>
              <w:rPr>
                <w:rFonts w:ascii="Times New Roman" w:hAnsi="Times New Roman" w:cs="Times New Roman"/>
                <w:i/>
                <w:color w:val="000000" w:themeColor="text1"/>
                <w:sz w:val="24"/>
              </w:rPr>
            </w:pPr>
            <w:r w:rsidRPr="00A953F8">
              <w:rPr>
                <w:rFonts w:ascii="Times New Roman" w:hAnsi="Times New Roman" w:cs="Times New Roman"/>
                <w:i/>
                <w:color w:val="000000" w:themeColor="text1"/>
                <w:sz w:val="24"/>
              </w:rPr>
              <w:t>k</w:t>
            </w:r>
          </w:p>
        </w:tc>
      </w:tr>
      <w:tr w:rsidR="00A953F8" w:rsidRPr="00A953F8" w14:paraId="71660346" w14:textId="77777777" w:rsidTr="007E0273">
        <w:trPr>
          <w:trHeight w:val="508"/>
        </w:trPr>
        <w:tc>
          <w:tcPr>
            <w:tcW w:w="1660" w:type="pct"/>
            <w:tcBorders>
              <w:top w:val="nil"/>
              <w:left w:val="nil"/>
              <w:right w:val="nil"/>
            </w:tcBorders>
            <w:shd w:val="clear" w:color="auto" w:fill="auto"/>
            <w:tcMar>
              <w:top w:w="12" w:type="dxa"/>
              <w:left w:w="12" w:type="dxa"/>
              <w:bottom w:w="0" w:type="dxa"/>
              <w:right w:w="12" w:type="dxa"/>
            </w:tcMar>
            <w:vAlign w:val="center"/>
          </w:tcPr>
          <w:p w14:paraId="52CAA195" w14:textId="77777777" w:rsidR="007E0273" w:rsidRPr="00A953F8" w:rsidRDefault="007E0273" w:rsidP="00433AC0">
            <w:pPr>
              <w:rPr>
                <w:rFonts w:ascii="Times New Roman" w:hAnsi="Times New Roman" w:cs="Times New Roman"/>
                <w:i/>
                <w:color w:val="000000" w:themeColor="text1"/>
                <w:sz w:val="24"/>
              </w:rPr>
            </w:pPr>
            <w:r w:rsidRPr="00A953F8">
              <w:rPr>
                <w:rFonts w:ascii="Times New Roman" w:hAnsi="Times New Roman" w:cs="Times New Roman"/>
                <w:i/>
                <w:color w:val="000000" w:themeColor="text1"/>
                <w:sz w:val="24"/>
              </w:rPr>
              <w:t>Wave 2</w:t>
            </w:r>
          </w:p>
        </w:tc>
        <w:tc>
          <w:tcPr>
            <w:tcW w:w="1670" w:type="pct"/>
            <w:tcBorders>
              <w:top w:val="nil"/>
              <w:left w:val="nil"/>
              <w:right w:val="nil"/>
            </w:tcBorders>
            <w:vAlign w:val="center"/>
          </w:tcPr>
          <w:p w14:paraId="42A5BE60" w14:textId="77777777" w:rsidR="007E0273" w:rsidRPr="00A953F8" w:rsidRDefault="007E0273" w:rsidP="00433AC0">
            <w:pPr>
              <w:jc w:val="center"/>
              <w:rPr>
                <w:rFonts w:ascii="Times New Roman" w:hAnsi="Times New Roman" w:cs="Times New Roman"/>
                <w:color w:val="000000" w:themeColor="text1"/>
                <w:sz w:val="24"/>
              </w:rPr>
            </w:pPr>
          </w:p>
        </w:tc>
        <w:tc>
          <w:tcPr>
            <w:tcW w:w="1670" w:type="pct"/>
            <w:tcBorders>
              <w:top w:val="nil"/>
              <w:left w:val="nil"/>
              <w:right w:val="nil"/>
            </w:tcBorders>
            <w:vAlign w:val="center"/>
          </w:tcPr>
          <w:p w14:paraId="6B853C45" w14:textId="77777777" w:rsidR="007E0273" w:rsidRPr="00A953F8" w:rsidRDefault="007E0273" w:rsidP="00433AC0">
            <w:pPr>
              <w:jc w:val="center"/>
              <w:rPr>
                <w:rFonts w:ascii="Times New Roman" w:hAnsi="Times New Roman" w:cs="Times New Roman"/>
                <w:bCs/>
                <w:color w:val="000000" w:themeColor="text1"/>
                <w:sz w:val="24"/>
              </w:rPr>
            </w:pPr>
          </w:p>
        </w:tc>
      </w:tr>
      <w:tr w:rsidR="00A953F8" w:rsidRPr="00A953F8" w14:paraId="3009EC3C" w14:textId="77777777" w:rsidTr="007E0273">
        <w:trPr>
          <w:trHeight w:val="508"/>
        </w:trPr>
        <w:tc>
          <w:tcPr>
            <w:tcW w:w="1660" w:type="pct"/>
            <w:tcBorders>
              <w:top w:val="nil"/>
              <w:left w:val="nil"/>
              <w:right w:val="nil"/>
            </w:tcBorders>
            <w:shd w:val="clear" w:color="auto" w:fill="auto"/>
            <w:tcMar>
              <w:top w:w="12" w:type="dxa"/>
              <w:left w:w="12" w:type="dxa"/>
              <w:bottom w:w="0" w:type="dxa"/>
              <w:right w:w="12" w:type="dxa"/>
            </w:tcMar>
            <w:vAlign w:val="center"/>
            <w:hideMark/>
          </w:tcPr>
          <w:p w14:paraId="719876F5" w14:textId="77E57797" w:rsidR="007E0273" w:rsidRPr="00A953F8" w:rsidRDefault="007E0273" w:rsidP="00433AC0">
            <w:pPr>
              <w:rPr>
                <w:rFonts w:ascii="Times New Roman" w:hAnsi="Times New Roman" w:cs="Times New Roman"/>
                <w:color w:val="000000" w:themeColor="text1"/>
                <w:sz w:val="24"/>
              </w:rPr>
            </w:pPr>
            <w:r w:rsidRPr="00A953F8">
              <w:rPr>
                <w:rFonts w:ascii="Times New Roman" w:hAnsi="Times New Roman" w:cs="Times New Roman"/>
                <w:color w:val="000000" w:themeColor="text1"/>
                <w:sz w:val="24"/>
              </w:rPr>
              <w:t>Entire</w:t>
            </w:r>
            <w:r w:rsidR="000047C5" w:rsidRPr="00A953F8">
              <w:rPr>
                <w:rFonts w:ascii="Times New Roman" w:hAnsi="Times New Roman" w:cs="Times New Roman"/>
                <w:color w:val="000000" w:themeColor="text1"/>
                <w:sz w:val="24"/>
              </w:rPr>
              <w:t xml:space="preserve"> wave</w:t>
            </w:r>
            <w:r w:rsidRPr="00A953F8">
              <w:rPr>
                <w:rFonts w:ascii="Times New Roman" w:hAnsi="Times New Roman" w:cs="Times New Roman"/>
                <w:color w:val="000000" w:themeColor="text1"/>
                <w:sz w:val="24"/>
                <w:vertAlign w:val="superscript"/>
              </w:rPr>
              <w:t>*</w:t>
            </w:r>
          </w:p>
        </w:tc>
        <w:tc>
          <w:tcPr>
            <w:tcW w:w="1670" w:type="pct"/>
            <w:tcBorders>
              <w:top w:val="nil"/>
              <w:left w:val="nil"/>
              <w:right w:val="nil"/>
            </w:tcBorders>
            <w:vAlign w:val="center"/>
          </w:tcPr>
          <w:p w14:paraId="01188FD1" w14:textId="342C4E3E" w:rsidR="007E0273" w:rsidRPr="00A953F8" w:rsidRDefault="007E0273">
            <w:pPr>
              <w:jc w:val="center"/>
              <w:rPr>
                <w:rFonts w:ascii="Times New Roman" w:hAnsi="Times New Roman" w:cs="Times New Roman"/>
                <w:color w:val="000000" w:themeColor="text1"/>
                <w:sz w:val="24"/>
              </w:rPr>
            </w:pPr>
            <w:r w:rsidRPr="00A953F8">
              <w:rPr>
                <w:rFonts w:ascii="Times New Roman" w:hAnsi="Times New Roman" w:cs="Times New Roman"/>
                <w:color w:val="000000" w:themeColor="text1"/>
                <w:sz w:val="24"/>
              </w:rPr>
              <w:t>0.47 (0.32</w:t>
            </w:r>
            <w:r w:rsidR="00337C6D" w:rsidRPr="00A953F8">
              <w:rPr>
                <w:rFonts w:ascii="Times New Roman" w:hAnsi="Times New Roman" w:cs="Times New Roman"/>
                <w:color w:val="000000" w:themeColor="text1"/>
                <w:sz w:val="24"/>
              </w:rPr>
              <w:t>–</w:t>
            </w:r>
            <w:r w:rsidRPr="00A953F8">
              <w:rPr>
                <w:rFonts w:ascii="Times New Roman" w:hAnsi="Times New Roman" w:cs="Times New Roman"/>
                <w:color w:val="000000" w:themeColor="text1"/>
                <w:sz w:val="24"/>
              </w:rPr>
              <w:t>0.66)</w:t>
            </w:r>
          </w:p>
        </w:tc>
        <w:tc>
          <w:tcPr>
            <w:tcW w:w="1670" w:type="pct"/>
            <w:tcBorders>
              <w:top w:val="nil"/>
              <w:left w:val="nil"/>
              <w:right w:val="nil"/>
            </w:tcBorders>
            <w:vAlign w:val="center"/>
          </w:tcPr>
          <w:p w14:paraId="2651ED50" w14:textId="22C27E69" w:rsidR="007E0273" w:rsidRPr="00A953F8" w:rsidRDefault="007E0273" w:rsidP="00433AC0">
            <w:pPr>
              <w:jc w:val="center"/>
              <w:rPr>
                <w:rFonts w:ascii="Times New Roman" w:hAnsi="Times New Roman" w:cs="Times New Roman"/>
                <w:color w:val="000000" w:themeColor="text1"/>
                <w:sz w:val="24"/>
              </w:rPr>
            </w:pPr>
            <w:r w:rsidRPr="00A953F8">
              <w:rPr>
                <w:rFonts w:ascii="Times New Roman" w:hAnsi="Times New Roman" w:cs="Times New Roman"/>
                <w:bCs/>
                <w:color w:val="000000" w:themeColor="text1"/>
                <w:sz w:val="24"/>
              </w:rPr>
              <w:t>0.21 (0.13</w:t>
            </w:r>
            <w:r w:rsidR="00337C6D" w:rsidRPr="00A953F8">
              <w:rPr>
                <w:rFonts w:ascii="Times New Roman" w:hAnsi="Times New Roman" w:cs="Times New Roman"/>
                <w:color w:val="000000" w:themeColor="text1"/>
                <w:sz w:val="24"/>
              </w:rPr>
              <w:t>–</w:t>
            </w:r>
            <w:r w:rsidRPr="00A953F8">
              <w:rPr>
                <w:rFonts w:ascii="Times New Roman" w:hAnsi="Times New Roman" w:cs="Times New Roman"/>
                <w:bCs/>
                <w:color w:val="000000" w:themeColor="text1"/>
                <w:sz w:val="24"/>
              </w:rPr>
              <w:t>0.36)</w:t>
            </w:r>
          </w:p>
        </w:tc>
      </w:tr>
      <w:tr w:rsidR="00A953F8" w:rsidRPr="00A953F8" w14:paraId="65CFF95E" w14:textId="77777777" w:rsidTr="007E0273">
        <w:trPr>
          <w:trHeight w:val="508"/>
        </w:trPr>
        <w:tc>
          <w:tcPr>
            <w:tcW w:w="1660" w:type="pct"/>
            <w:tcBorders>
              <w:top w:val="nil"/>
              <w:left w:val="nil"/>
              <w:bottom w:val="nil"/>
              <w:right w:val="nil"/>
            </w:tcBorders>
            <w:shd w:val="clear" w:color="auto" w:fill="auto"/>
            <w:tcMar>
              <w:top w:w="12" w:type="dxa"/>
              <w:left w:w="12" w:type="dxa"/>
              <w:bottom w:w="0" w:type="dxa"/>
              <w:right w:w="12" w:type="dxa"/>
            </w:tcMar>
            <w:vAlign w:val="center"/>
            <w:hideMark/>
          </w:tcPr>
          <w:p w14:paraId="07B8746F" w14:textId="55B5B2D5" w:rsidR="007E0273" w:rsidRPr="00A953F8" w:rsidRDefault="007E0273" w:rsidP="00433AC0">
            <w:pPr>
              <w:rPr>
                <w:rFonts w:ascii="Times New Roman" w:hAnsi="Times New Roman" w:cs="Times New Roman"/>
                <w:color w:val="000000" w:themeColor="text1"/>
                <w:sz w:val="24"/>
              </w:rPr>
            </w:pPr>
            <w:r w:rsidRPr="00A953F8">
              <w:rPr>
                <w:rFonts w:ascii="Times New Roman" w:hAnsi="Times New Roman" w:cs="Times New Roman"/>
                <w:color w:val="000000" w:themeColor="text1"/>
                <w:sz w:val="24"/>
              </w:rPr>
              <w:t>Ascending</w:t>
            </w:r>
            <w:r w:rsidR="000047C5" w:rsidRPr="00A953F8">
              <w:rPr>
                <w:rFonts w:ascii="Times New Roman" w:hAnsi="Times New Roman" w:cs="Times New Roman"/>
                <w:color w:val="000000" w:themeColor="text1"/>
                <w:sz w:val="24"/>
              </w:rPr>
              <w:t xml:space="preserve"> phase</w:t>
            </w:r>
          </w:p>
        </w:tc>
        <w:tc>
          <w:tcPr>
            <w:tcW w:w="1670" w:type="pct"/>
            <w:tcBorders>
              <w:top w:val="nil"/>
              <w:left w:val="nil"/>
              <w:bottom w:val="nil"/>
              <w:right w:val="nil"/>
            </w:tcBorders>
            <w:vAlign w:val="center"/>
          </w:tcPr>
          <w:p w14:paraId="4A576BC0" w14:textId="1A784C7A" w:rsidR="007E0273" w:rsidRPr="00A953F8" w:rsidRDefault="007E0273" w:rsidP="00433AC0">
            <w:pPr>
              <w:jc w:val="center"/>
              <w:rPr>
                <w:rFonts w:ascii="Times New Roman" w:hAnsi="Times New Roman" w:cs="Times New Roman"/>
                <w:color w:val="000000" w:themeColor="text1"/>
                <w:sz w:val="24"/>
              </w:rPr>
            </w:pPr>
            <w:r w:rsidRPr="00A953F8">
              <w:rPr>
                <w:rFonts w:ascii="Times New Roman" w:hAnsi="Times New Roman" w:cs="Times New Roman"/>
                <w:color w:val="000000" w:themeColor="text1"/>
                <w:sz w:val="24"/>
              </w:rPr>
              <w:t>0.33 (0.13</w:t>
            </w:r>
            <w:r w:rsidR="00337C6D" w:rsidRPr="00A953F8">
              <w:rPr>
                <w:rFonts w:ascii="Times New Roman" w:hAnsi="Times New Roman" w:cs="Times New Roman"/>
                <w:color w:val="000000" w:themeColor="text1"/>
                <w:sz w:val="24"/>
              </w:rPr>
              <w:t>–</w:t>
            </w:r>
            <w:r w:rsidRPr="00A953F8">
              <w:rPr>
                <w:rFonts w:ascii="Times New Roman" w:hAnsi="Times New Roman" w:cs="Times New Roman"/>
                <w:color w:val="000000" w:themeColor="text1"/>
                <w:sz w:val="24"/>
              </w:rPr>
              <w:t>0.60)</w:t>
            </w:r>
          </w:p>
        </w:tc>
        <w:tc>
          <w:tcPr>
            <w:tcW w:w="1670" w:type="pct"/>
            <w:tcBorders>
              <w:top w:val="nil"/>
              <w:left w:val="nil"/>
              <w:bottom w:val="nil"/>
              <w:right w:val="nil"/>
            </w:tcBorders>
            <w:vAlign w:val="center"/>
          </w:tcPr>
          <w:p w14:paraId="16CD8765" w14:textId="141A9EFE" w:rsidR="007E0273" w:rsidRPr="00A953F8" w:rsidRDefault="007E0273" w:rsidP="00433AC0">
            <w:pPr>
              <w:jc w:val="center"/>
              <w:rPr>
                <w:rFonts w:ascii="Times New Roman" w:hAnsi="Times New Roman" w:cs="Times New Roman"/>
                <w:color w:val="000000" w:themeColor="text1"/>
                <w:sz w:val="24"/>
              </w:rPr>
            </w:pPr>
            <w:r w:rsidRPr="00A953F8">
              <w:rPr>
                <w:rFonts w:ascii="Times New Roman" w:hAnsi="Times New Roman" w:cs="Times New Roman"/>
                <w:bCs/>
                <w:color w:val="000000" w:themeColor="text1"/>
                <w:sz w:val="24"/>
              </w:rPr>
              <w:t>0.15 (0.06</w:t>
            </w:r>
            <w:r w:rsidR="00337C6D" w:rsidRPr="00A953F8">
              <w:rPr>
                <w:rFonts w:ascii="Times New Roman" w:hAnsi="Times New Roman" w:cs="Times New Roman"/>
                <w:color w:val="000000" w:themeColor="text1"/>
                <w:sz w:val="24"/>
              </w:rPr>
              <w:t>–</w:t>
            </w:r>
            <w:r w:rsidRPr="00A953F8">
              <w:rPr>
                <w:rFonts w:ascii="Times New Roman" w:hAnsi="Times New Roman" w:cs="Times New Roman"/>
                <w:bCs/>
                <w:color w:val="000000" w:themeColor="text1"/>
                <w:sz w:val="24"/>
              </w:rPr>
              <w:t>0.62)</w:t>
            </w:r>
          </w:p>
        </w:tc>
      </w:tr>
      <w:tr w:rsidR="00A953F8" w:rsidRPr="00A953F8" w14:paraId="02732BFE" w14:textId="77777777" w:rsidTr="007E0273">
        <w:trPr>
          <w:trHeight w:val="508"/>
        </w:trPr>
        <w:tc>
          <w:tcPr>
            <w:tcW w:w="1660" w:type="pct"/>
            <w:tcBorders>
              <w:top w:val="nil"/>
              <w:left w:val="nil"/>
              <w:bottom w:val="nil"/>
              <w:right w:val="nil"/>
            </w:tcBorders>
            <w:shd w:val="clear" w:color="auto" w:fill="auto"/>
            <w:tcMar>
              <w:top w:w="12" w:type="dxa"/>
              <w:left w:w="12" w:type="dxa"/>
              <w:bottom w:w="0" w:type="dxa"/>
              <w:right w:w="12" w:type="dxa"/>
            </w:tcMar>
            <w:vAlign w:val="center"/>
          </w:tcPr>
          <w:p w14:paraId="769E7685" w14:textId="77777777" w:rsidR="007E0273" w:rsidRPr="00A953F8" w:rsidRDefault="007E0273" w:rsidP="00433AC0">
            <w:pPr>
              <w:rPr>
                <w:rFonts w:ascii="Times New Roman" w:hAnsi="Times New Roman" w:cs="Times New Roman"/>
                <w:i/>
                <w:color w:val="000000" w:themeColor="text1"/>
                <w:sz w:val="24"/>
              </w:rPr>
            </w:pPr>
            <w:r w:rsidRPr="00A953F8">
              <w:rPr>
                <w:rFonts w:ascii="Times New Roman" w:hAnsi="Times New Roman" w:cs="Times New Roman"/>
                <w:i/>
                <w:color w:val="000000" w:themeColor="text1"/>
                <w:sz w:val="24"/>
              </w:rPr>
              <w:t>Wave 4</w:t>
            </w:r>
          </w:p>
        </w:tc>
        <w:tc>
          <w:tcPr>
            <w:tcW w:w="1670" w:type="pct"/>
            <w:tcBorders>
              <w:top w:val="nil"/>
              <w:left w:val="nil"/>
              <w:bottom w:val="nil"/>
              <w:right w:val="nil"/>
            </w:tcBorders>
            <w:vAlign w:val="center"/>
          </w:tcPr>
          <w:p w14:paraId="3835B152" w14:textId="77777777" w:rsidR="007E0273" w:rsidRPr="00A953F8" w:rsidRDefault="007E0273" w:rsidP="00433AC0">
            <w:pPr>
              <w:jc w:val="center"/>
              <w:rPr>
                <w:rFonts w:ascii="Times New Roman" w:hAnsi="Times New Roman" w:cs="Times New Roman"/>
                <w:color w:val="000000" w:themeColor="text1"/>
                <w:sz w:val="24"/>
              </w:rPr>
            </w:pPr>
          </w:p>
        </w:tc>
        <w:tc>
          <w:tcPr>
            <w:tcW w:w="1670" w:type="pct"/>
            <w:tcBorders>
              <w:top w:val="nil"/>
              <w:left w:val="nil"/>
              <w:bottom w:val="nil"/>
              <w:right w:val="nil"/>
            </w:tcBorders>
            <w:vAlign w:val="center"/>
          </w:tcPr>
          <w:p w14:paraId="7EE06AEE" w14:textId="77777777" w:rsidR="007E0273" w:rsidRPr="00A953F8" w:rsidRDefault="007E0273" w:rsidP="00433AC0">
            <w:pPr>
              <w:jc w:val="center"/>
              <w:rPr>
                <w:rFonts w:ascii="Times New Roman" w:hAnsi="Times New Roman" w:cs="Times New Roman"/>
                <w:bCs/>
                <w:color w:val="000000" w:themeColor="text1"/>
                <w:sz w:val="24"/>
              </w:rPr>
            </w:pPr>
          </w:p>
        </w:tc>
      </w:tr>
      <w:tr w:rsidR="00A953F8" w:rsidRPr="00A953F8" w14:paraId="1FF7B1DF" w14:textId="77777777" w:rsidTr="007E0273">
        <w:trPr>
          <w:trHeight w:val="508"/>
        </w:trPr>
        <w:tc>
          <w:tcPr>
            <w:tcW w:w="1660" w:type="pct"/>
            <w:tcBorders>
              <w:top w:val="nil"/>
              <w:left w:val="nil"/>
              <w:bottom w:val="single" w:sz="4" w:space="0" w:color="auto"/>
              <w:right w:val="nil"/>
            </w:tcBorders>
            <w:shd w:val="clear" w:color="auto" w:fill="auto"/>
            <w:tcMar>
              <w:top w:w="12" w:type="dxa"/>
              <w:left w:w="12" w:type="dxa"/>
              <w:bottom w:w="0" w:type="dxa"/>
              <w:right w:w="12" w:type="dxa"/>
            </w:tcMar>
            <w:vAlign w:val="center"/>
          </w:tcPr>
          <w:p w14:paraId="176B68BF" w14:textId="6DF013ED" w:rsidR="007E0273" w:rsidRPr="00A953F8" w:rsidRDefault="007E0273" w:rsidP="00433AC0">
            <w:pPr>
              <w:rPr>
                <w:rFonts w:ascii="Times New Roman" w:hAnsi="Times New Roman" w:cs="Times New Roman"/>
                <w:color w:val="000000" w:themeColor="text1"/>
                <w:sz w:val="24"/>
              </w:rPr>
            </w:pPr>
            <w:r w:rsidRPr="00A953F8">
              <w:rPr>
                <w:rFonts w:ascii="Times New Roman" w:hAnsi="Times New Roman" w:cs="Times New Roman"/>
                <w:color w:val="000000" w:themeColor="text1"/>
                <w:sz w:val="24"/>
              </w:rPr>
              <w:t>Ascending</w:t>
            </w:r>
            <w:r w:rsidR="000047C5" w:rsidRPr="00A953F8">
              <w:rPr>
                <w:rFonts w:ascii="Times New Roman" w:hAnsi="Times New Roman" w:cs="Times New Roman"/>
                <w:color w:val="000000" w:themeColor="text1"/>
                <w:sz w:val="24"/>
              </w:rPr>
              <w:t xml:space="preserve"> phase</w:t>
            </w:r>
            <w:r w:rsidRPr="00A953F8">
              <w:rPr>
                <w:rFonts w:ascii="Times New Roman" w:hAnsi="Times New Roman" w:cs="Times New Roman"/>
                <w:color w:val="000000" w:themeColor="text1"/>
                <w:sz w:val="24"/>
                <w:vertAlign w:val="superscript"/>
              </w:rPr>
              <w:t>*</w:t>
            </w:r>
          </w:p>
        </w:tc>
        <w:tc>
          <w:tcPr>
            <w:tcW w:w="1670" w:type="pct"/>
            <w:tcBorders>
              <w:top w:val="nil"/>
              <w:left w:val="nil"/>
              <w:bottom w:val="single" w:sz="4" w:space="0" w:color="auto"/>
              <w:right w:val="nil"/>
            </w:tcBorders>
            <w:vAlign w:val="center"/>
          </w:tcPr>
          <w:p w14:paraId="0E9E2715" w14:textId="5C52325D" w:rsidR="007E0273" w:rsidRPr="00A953F8" w:rsidRDefault="007E0273" w:rsidP="00433AC0">
            <w:pPr>
              <w:jc w:val="center"/>
              <w:rPr>
                <w:rFonts w:ascii="Times New Roman" w:hAnsi="Times New Roman" w:cs="Times New Roman"/>
                <w:color w:val="000000" w:themeColor="text1"/>
                <w:sz w:val="24"/>
              </w:rPr>
            </w:pPr>
            <w:r w:rsidRPr="00A953F8">
              <w:rPr>
                <w:rFonts w:ascii="Times New Roman" w:hAnsi="Times New Roman" w:cs="Times New Roman"/>
                <w:color w:val="000000" w:themeColor="text1"/>
                <w:sz w:val="24"/>
              </w:rPr>
              <w:t>0.64 (0.52</w:t>
            </w:r>
            <w:r w:rsidR="00337C6D" w:rsidRPr="00A953F8">
              <w:rPr>
                <w:rFonts w:ascii="Times New Roman" w:hAnsi="Times New Roman" w:cs="Times New Roman"/>
                <w:color w:val="000000" w:themeColor="text1"/>
                <w:sz w:val="24"/>
              </w:rPr>
              <w:t>–</w:t>
            </w:r>
            <w:r w:rsidRPr="00A953F8">
              <w:rPr>
                <w:rFonts w:ascii="Times New Roman" w:hAnsi="Times New Roman" w:cs="Times New Roman"/>
                <w:color w:val="000000" w:themeColor="text1"/>
                <w:sz w:val="24"/>
              </w:rPr>
              <w:t>0.76)</w:t>
            </w:r>
          </w:p>
        </w:tc>
        <w:tc>
          <w:tcPr>
            <w:tcW w:w="1670" w:type="pct"/>
            <w:tcBorders>
              <w:top w:val="nil"/>
              <w:left w:val="nil"/>
              <w:bottom w:val="single" w:sz="4" w:space="0" w:color="auto"/>
              <w:right w:val="nil"/>
            </w:tcBorders>
            <w:vAlign w:val="center"/>
          </w:tcPr>
          <w:p w14:paraId="644E03E1" w14:textId="58630D8C" w:rsidR="007E0273" w:rsidRPr="00A953F8" w:rsidRDefault="007E0273" w:rsidP="00433AC0">
            <w:pPr>
              <w:jc w:val="center"/>
              <w:rPr>
                <w:rFonts w:ascii="Times New Roman" w:hAnsi="Times New Roman" w:cs="Times New Roman"/>
                <w:bCs/>
                <w:color w:val="000000" w:themeColor="text1"/>
                <w:sz w:val="24"/>
              </w:rPr>
            </w:pPr>
            <w:r w:rsidRPr="00A953F8">
              <w:rPr>
                <w:rFonts w:ascii="Times New Roman" w:hAnsi="Times New Roman" w:cs="Times New Roman"/>
                <w:bCs/>
                <w:color w:val="000000" w:themeColor="text1"/>
                <w:sz w:val="24"/>
              </w:rPr>
              <w:t>0.32 (0.24</w:t>
            </w:r>
            <w:r w:rsidR="00337C6D" w:rsidRPr="00A953F8">
              <w:rPr>
                <w:rFonts w:ascii="Times New Roman" w:hAnsi="Times New Roman" w:cs="Times New Roman"/>
                <w:color w:val="000000" w:themeColor="text1"/>
                <w:sz w:val="24"/>
              </w:rPr>
              <w:t>–</w:t>
            </w:r>
            <w:r w:rsidRPr="00A953F8">
              <w:rPr>
                <w:rFonts w:ascii="Times New Roman" w:hAnsi="Times New Roman" w:cs="Times New Roman"/>
                <w:bCs/>
                <w:color w:val="000000" w:themeColor="text1"/>
                <w:sz w:val="24"/>
              </w:rPr>
              <w:t>0.54)</w:t>
            </w:r>
          </w:p>
        </w:tc>
      </w:tr>
    </w:tbl>
    <w:p w14:paraId="40834038" w14:textId="7C6F7766" w:rsidR="007E0273" w:rsidRPr="00A953F8" w:rsidRDefault="007E0273">
      <w:pPr>
        <w:widowControl/>
        <w:spacing w:after="160" w:line="259" w:lineRule="auto"/>
        <w:jc w:val="left"/>
        <w:rPr>
          <w:rFonts w:ascii="Times New Roman" w:hAnsi="Times New Roman" w:cs="Times New Roman"/>
          <w:b/>
          <w:color w:val="000000" w:themeColor="text1"/>
          <w:sz w:val="28"/>
          <w:szCs w:val="24"/>
        </w:rPr>
      </w:pPr>
      <w:r w:rsidRPr="00A953F8">
        <w:rPr>
          <w:rFonts w:ascii="Times New Roman" w:hAnsi="Times New Roman" w:cs="Times New Roman"/>
          <w:color w:val="000000" w:themeColor="text1"/>
          <w:sz w:val="24"/>
          <w:vertAlign w:val="superscript"/>
        </w:rPr>
        <w:t>*</w:t>
      </w:r>
      <w:r w:rsidRPr="00A953F8">
        <w:rPr>
          <w:rFonts w:ascii="Times New Roman" w:hAnsi="Times New Roman" w:cs="Times New Roman"/>
          <w:color w:val="000000" w:themeColor="text1"/>
          <w:sz w:val="24"/>
        </w:rPr>
        <w:t>Reprint from the main analysis</w:t>
      </w:r>
      <w:r w:rsidRPr="00A953F8">
        <w:rPr>
          <w:rFonts w:ascii="Times New Roman" w:hAnsi="Times New Roman" w:cs="Times New Roman"/>
          <w:b/>
          <w:color w:val="000000" w:themeColor="text1"/>
          <w:sz w:val="28"/>
          <w:szCs w:val="24"/>
        </w:rPr>
        <w:br w:type="page"/>
      </w:r>
    </w:p>
    <w:p w14:paraId="3331E336" w14:textId="27E61368" w:rsidR="00123325" w:rsidRPr="00A953F8" w:rsidRDefault="00123325" w:rsidP="000047C5">
      <w:pPr>
        <w:pStyle w:val="1"/>
        <w:rPr>
          <w:color w:val="000000" w:themeColor="text1"/>
        </w:rPr>
      </w:pPr>
      <w:r w:rsidRPr="00A953F8">
        <w:rPr>
          <w:color w:val="000000" w:themeColor="text1"/>
        </w:rPr>
        <w:lastRenderedPageBreak/>
        <w:t>Supplementary figures</w:t>
      </w:r>
    </w:p>
    <w:p w14:paraId="3331E337" w14:textId="77777777" w:rsidR="00813359" w:rsidRPr="00A953F8" w:rsidRDefault="00813359">
      <w:pPr>
        <w:rPr>
          <w:rFonts w:ascii="Times New Roman" w:hAnsi="Times New Roman" w:cs="Times New Roman"/>
          <w:b/>
          <w:color w:val="000000" w:themeColor="text1"/>
          <w:sz w:val="24"/>
          <w:szCs w:val="24"/>
        </w:rPr>
      </w:pPr>
    </w:p>
    <w:p w14:paraId="3331E33E" w14:textId="77777777" w:rsidR="00123325" w:rsidRPr="00A953F8" w:rsidRDefault="00497774" w:rsidP="00123325">
      <w:pPr>
        <w:rPr>
          <w:rFonts w:ascii="Times New Roman" w:hAnsi="Times New Roman" w:cs="Times New Roman"/>
          <w:color w:val="000000" w:themeColor="text1"/>
          <w:sz w:val="24"/>
          <w:szCs w:val="24"/>
        </w:rPr>
      </w:pPr>
      <w:r w:rsidRPr="00A953F8">
        <w:rPr>
          <w:rFonts w:ascii="Times New Roman" w:hAnsi="Times New Roman" w:cs="Times New Roman"/>
          <w:noProof/>
          <w:color w:val="000000" w:themeColor="text1"/>
          <w:sz w:val="24"/>
          <w:szCs w:val="24"/>
          <w:lang w:eastAsia="en-US"/>
        </w:rPr>
        <w:drawing>
          <wp:inline distT="0" distB="0" distL="0" distR="0" wp14:anchorId="3331E349" wp14:editId="3331E34A">
            <wp:extent cx="5400000" cy="197040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0" cy="1970408"/>
                    </a:xfrm>
                    <a:prstGeom prst="rect">
                      <a:avLst/>
                    </a:prstGeom>
                    <a:noFill/>
                  </pic:spPr>
                </pic:pic>
              </a:graphicData>
            </a:graphic>
          </wp:inline>
        </w:drawing>
      </w:r>
    </w:p>
    <w:p w14:paraId="3331E33F" w14:textId="77152413" w:rsidR="00C75E32" w:rsidRPr="00A953F8" w:rsidRDefault="00C75E32" w:rsidP="00C75E32">
      <w:pPr>
        <w:rPr>
          <w:rFonts w:ascii="Times New Roman" w:hAnsi="Times New Roman" w:cs="Times New Roman"/>
          <w:color w:val="000000" w:themeColor="text1"/>
          <w:sz w:val="24"/>
        </w:rPr>
      </w:pPr>
      <w:r w:rsidRPr="00A953F8">
        <w:rPr>
          <w:rFonts w:ascii="Times New Roman" w:hAnsi="Times New Roman" w:cs="Times New Roman"/>
          <w:b/>
          <w:color w:val="000000" w:themeColor="text1"/>
          <w:sz w:val="24"/>
        </w:rPr>
        <w:t>Supplementary Figure S</w:t>
      </w:r>
      <w:r w:rsidR="00DB3A7F" w:rsidRPr="00A953F8">
        <w:rPr>
          <w:rFonts w:ascii="Times New Roman" w:hAnsi="Times New Roman" w:cs="Times New Roman"/>
          <w:b/>
          <w:color w:val="000000" w:themeColor="text1"/>
          <w:sz w:val="24"/>
        </w:rPr>
        <w:t>1</w:t>
      </w:r>
      <w:r w:rsidRPr="00A953F8">
        <w:rPr>
          <w:rFonts w:ascii="Times New Roman" w:hAnsi="Times New Roman" w:cs="Times New Roman"/>
          <w:b/>
          <w:color w:val="000000" w:themeColor="text1"/>
          <w:sz w:val="24"/>
        </w:rPr>
        <w:t xml:space="preserve">. Epidemic period-dependent offspring distributions for the zero-included data, conducted using the censoring data exclusion method (method 1 in </w:t>
      </w:r>
      <w:bookmarkStart w:id="2" w:name="_Hlk119580084"/>
      <w:r w:rsidR="009B48A8" w:rsidRPr="009B48A8">
        <w:rPr>
          <w:rFonts w:ascii="Times New Roman" w:hAnsi="Times New Roman" w:cs="Times New Roman"/>
          <w:b/>
          <w:color w:val="000000" w:themeColor="text1"/>
          <w:sz w:val="24"/>
        </w:rPr>
        <w:t>Right censoring adjustment for infection trajectory chain</w:t>
      </w:r>
      <w:r w:rsidR="009B48A8">
        <w:rPr>
          <w:rFonts w:ascii="Times New Roman" w:hAnsi="Times New Roman" w:cs="Times New Roman"/>
          <w:b/>
          <w:color w:val="000000" w:themeColor="text1"/>
          <w:sz w:val="24"/>
        </w:rPr>
        <w:t>,</w:t>
      </w:r>
      <w:r w:rsidR="009B48A8" w:rsidRPr="009B48A8">
        <w:rPr>
          <w:rFonts w:ascii="Times New Roman" w:hAnsi="Times New Roman" w:cs="Times New Roman"/>
          <w:b/>
          <w:color w:val="000000" w:themeColor="text1"/>
          <w:sz w:val="24"/>
        </w:rPr>
        <w:t xml:space="preserve"> Methods</w:t>
      </w:r>
      <w:bookmarkEnd w:id="2"/>
      <w:r w:rsidRPr="00A953F8">
        <w:rPr>
          <w:rFonts w:ascii="Times New Roman" w:hAnsi="Times New Roman" w:cs="Times New Roman"/>
          <w:b/>
          <w:color w:val="000000" w:themeColor="text1"/>
          <w:sz w:val="24"/>
        </w:rPr>
        <w:t xml:space="preserve"> in the main text).</w:t>
      </w:r>
      <w:r w:rsidRPr="00A953F8">
        <w:rPr>
          <w:rFonts w:ascii="Times New Roman" w:hAnsi="Times New Roman" w:cs="Times New Roman"/>
          <w:color w:val="000000" w:themeColor="text1"/>
          <w:sz w:val="24"/>
        </w:rPr>
        <w:t xml:space="preserve"> Estimations are displayed as the solid</w:t>
      </w:r>
      <w:r w:rsidR="00337C6D" w:rsidRPr="00A953F8">
        <w:rPr>
          <w:rFonts w:ascii="Times New Roman" w:hAnsi="Times New Roman" w:cs="Times New Roman"/>
          <w:color w:val="000000" w:themeColor="text1"/>
          <w:sz w:val="24"/>
        </w:rPr>
        <w:t xml:space="preserve"> </w:t>
      </w:r>
      <w:r w:rsidRPr="00A953F8">
        <w:rPr>
          <w:rFonts w:ascii="Times New Roman" w:hAnsi="Times New Roman" w:cs="Times New Roman"/>
          <w:color w:val="000000" w:themeColor="text1"/>
          <w:sz w:val="24"/>
        </w:rPr>
        <w:t xml:space="preserve">line (median) and grey shading (95% confidence interval). The light blue bars show the observations used for making the estimations. (A–B) Analyses for wave 2 (A) and </w:t>
      </w:r>
      <w:r w:rsidR="00337C6D" w:rsidRPr="00A953F8">
        <w:rPr>
          <w:rFonts w:ascii="Times New Roman" w:hAnsi="Times New Roman" w:cs="Times New Roman"/>
          <w:color w:val="000000" w:themeColor="text1"/>
          <w:sz w:val="24"/>
        </w:rPr>
        <w:t xml:space="preserve">wave </w:t>
      </w:r>
      <w:r w:rsidRPr="00A953F8">
        <w:rPr>
          <w:rFonts w:ascii="Times New Roman" w:hAnsi="Times New Roman" w:cs="Times New Roman"/>
          <w:color w:val="000000" w:themeColor="text1"/>
          <w:sz w:val="24"/>
        </w:rPr>
        <w:t>4 (B).</w:t>
      </w:r>
    </w:p>
    <w:p w14:paraId="3331E340" w14:textId="77777777" w:rsidR="00123325" w:rsidRPr="00A953F8" w:rsidRDefault="00123325" w:rsidP="00123325">
      <w:pPr>
        <w:rPr>
          <w:rFonts w:ascii="Times New Roman" w:hAnsi="Times New Roman" w:cs="Times New Roman"/>
          <w:color w:val="000000" w:themeColor="text1"/>
          <w:sz w:val="24"/>
          <w:szCs w:val="24"/>
        </w:rPr>
      </w:pPr>
    </w:p>
    <w:p w14:paraId="3331E341" w14:textId="77777777" w:rsidR="00123325" w:rsidRPr="00A953F8" w:rsidRDefault="005404E3" w:rsidP="00123325">
      <w:pPr>
        <w:rPr>
          <w:rFonts w:ascii="Times New Roman" w:hAnsi="Times New Roman" w:cs="Times New Roman"/>
          <w:color w:val="000000" w:themeColor="text1"/>
          <w:sz w:val="24"/>
          <w:szCs w:val="24"/>
        </w:rPr>
      </w:pPr>
      <w:r w:rsidRPr="00A953F8">
        <w:rPr>
          <w:rFonts w:ascii="Times New Roman" w:hAnsi="Times New Roman" w:cs="Times New Roman"/>
          <w:noProof/>
          <w:color w:val="000000" w:themeColor="text1"/>
          <w:sz w:val="24"/>
          <w:szCs w:val="24"/>
          <w:lang w:eastAsia="en-US"/>
        </w:rPr>
        <w:drawing>
          <wp:inline distT="0" distB="0" distL="0" distR="0" wp14:anchorId="3331E34B" wp14:editId="3331E34C">
            <wp:extent cx="5400000" cy="4023463"/>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0" cy="4023463"/>
                    </a:xfrm>
                    <a:prstGeom prst="rect">
                      <a:avLst/>
                    </a:prstGeom>
                    <a:noFill/>
                  </pic:spPr>
                </pic:pic>
              </a:graphicData>
            </a:graphic>
          </wp:inline>
        </w:drawing>
      </w:r>
    </w:p>
    <w:p w14:paraId="3331E342" w14:textId="29CB33BA" w:rsidR="00123325" w:rsidRPr="00A953F8" w:rsidRDefault="00C75E32" w:rsidP="00F87DA5">
      <w:pPr>
        <w:rPr>
          <w:rFonts w:ascii="Times New Roman" w:hAnsi="Times New Roman" w:cs="Times New Roman"/>
          <w:color w:val="000000" w:themeColor="text1"/>
          <w:sz w:val="24"/>
          <w:szCs w:val="24"/>
        </w:rPr>
      </w:pPr>
      <w:r w:rsidRPr="00A953F8">
        <w:rPr>
          <w:rFonts w:ascii="Times New Roman" w:hAnsi="Times New Roman" w:cs="Times New Roman"/>
          <w:b/>
          <w:color w:val="000000" w:themeColor="text1"/>
          <w:sz w:val="24"/>
        </w:rPr>
        <w:t>Supplementary Figure S</w:t>
      </w:r>
      <w:r w:rsidR="00DB3A7F" w:rsidRPr="00A953F8">
        <w:rPr>
          <w:rFonts w:ascii="Times New Roman" w:hAnsi="Times New Roman" w:cs="Times New Roman"/>
          <w:b/>
          <w:color w:val="000000" w:themeColor="text1"/>
          <w:sz w:val="24"/>
        </w:rPr>
        <w:t>2</w:t>
      </w:r>
      <w:r w:rsidRPr="00A953F8">
        <w:rPr>
          <w:rFonts w:ascii="Times New Roman" w:hAnsi="Times New Roman" w:cs="Times New Roman"/>
          <w:b/>
          <w:color w:val="000000" w:themeColor="text1"/>
          <w:sz w:val="24"/>
        </w:rPr>
        <w:t>. Age-</w:t>
      </w:r>
      <w:r w:rsidR="00D20C9C" w:rsidRPr="00A953F8">
        <w:rPr>
          <w:rFonts w:ascii="Times New Roman" w:hAnsi="Times New Roman" w:cs="Times New Roman"/>
          <w:b/>
          <w:color w:val="000000" w:themeColor="text1"/>
          <w:sz w:val="24"/>
        </w:rPr>
        <w:t xml:space="preserve"> and epidemic period-</w:t>
      </w:r>
      <w:r w:rsidRPr="00A953F8">
        <w:rPr>
          <w:rFonts w:ascii="Times New Roman" w:hAnsi="Times New Roman" w:cs="Times New Roman"/>
          <w:b/>
          <w:color w:val="000000" w:themeColor="text1"/>
          <w:sz w:val="24"/>
        </w:rPr>
        <w:t xml:space="preserve">dependent offspring distributions for the zero-included data, conducted using the censoring data exclusion method (method 1 in </w:t>
      </w:r>
      <w:bookmarkStart w:id="3" w:name="_Hlk119580156"/>
      <w:r w:rsidR="009B48A8" w:rsidRPr="009B48A8">
        <w:rPr>
          <w:rFonts w:ascii="Times New Roman" w:hAnsi="Times New Roman" w:cs="Times New Roman"/>
          <w:b/>
          <w:color w:val="000000" w:themeColor="text1"/>
          <w:sz w:val="24"/>
        </w:rPr>
        <w:t>Right censoring adjustment for infection trajectory chain</w:t>
      </w:r>
      <w:r w:rsidR="009B48A8">
        <w:rPr>
          <w:rFonts w:ascii="Times New Roman" w:hAnsi="Times New Roman" w:cs="Times New Roman"/>
          <w:b/>
          <w:color w:val="000000" w:themeColor="text1"/>
          <w:sz w:val="24"/>
        </w:rPr>
        <w:t>,</w:t>
      </w:r>
      <w:r w:rsidR="009B48A8" w:rsidRPr="009B48A8">
        <w:rPr>
          <w:rFonts w:ascii="Times New Roman" w:hAnsi="Times New Roman" w:cs="Times New Roman"/>
          <w:b/>
          <w:color w:val="000000" w:themeColor="text1"/>
          <w:sz w:val="24"/>
        </w:rPr>
        <w:t xml:space="preserve"> Methods</w:t>
      </w:r>
      <w:bookmarkEnd w:id="3"/>
      <w:r w:rsidRPr="00A953F8">
        <w:rPr>
          <w:rFonts w:ascii="Times New Roman" w:hAnsi="Times New Roman" w:cs="Times New Roman"/>
          <w:b/>
          <w:color w:val="000000" w:themeColor="text1"/>
          <w:sz w:val="24"/>
        </w:rPr>
        <w:t xml:space="preserve"> in the main text).</w:t>
      </w:r>
      <w:r w:rsidRPr="00A953F8">
        <w:rPr>
          <w:rFonts w:ascii="Times New Roman" w:hAnsi="Times New Roman" w:cs="Times New Roman"/>
          <w:color w:val="000000" w:themeColor="text1"/>
          <w:sz w:val="24"/>
        </w:rPr>
        <w:t xml:space="preserve"> Estimations are displayed as the solid</w:t>
      </w:r>
      <w:r w:rsidR="00337C6D" w:rsidRPr="00A953F8">
        <w:rPr>
          <w:rFonts w:ascii="Times New Roman" w:hAnsi="Times New Roman" w:cs="Times New Roman"/>
          <w:color w:val="000000" w:themeColor="text1"/>
          <w:sz w:val="24"/>
        </w:rPr>
        <w:t xml:space="preserve"> </w:t>
      </w:r>
      <w:r w:rsidRPr="00A953F8">
        <w:rPr>
          <w:rFonts w:ascii="Times New Roman" w:hAnsi="Times New Roman" w:cs="Times New Roman"/>
          <w:color w:val="000000" w:themeColor="text1"/>
          <w:sz w:val="24"/>
        </w:rPr>
        <w:t xml:space="preserve">line (median) </w:t>
      </w:r>
      <w:r w:rsidRPr="00A953F8">
        <w:rPr>
          <w:rFonts w:ascii="Times New Roman" w:hAnsi="Times New Roman" w:cs="Times New Roman"/>
          <w:color w:val="000000" w:themeColor="text1"/>
          <w:sz w:val="24"/>
        </w:rPr>
        <w:lastRenderedPageBreak/>
        <w:t xml:space="preserve">and grey shading (95% confidence interval). The light blue bars show the observations used for making the estimations (A–C) Analyses for those aged 20–39 (A), 40–59 (B), and over 60 (C) years in wave 2. (D–F) Analyses for those aged 20–39 (D), 40–59 (E), and over 60 (F) years in wave 4. </w:t>
      </w:r>
      <w:r w:rsidR="00F87DA5" w:rsidRPr="00A953F8">
        <w:rPr>
          <w:rFonts w:ascii="Times New Roman" w:hAnsi="Times New Roman" w:cs="Times New Roman"/>
          <w:color w:val="000000" w:themeColor="text1"/>
          <w:sz w:val="24"/>
          <w:szCs w:val="24"/>
        </w:rPr>
        <w:br w:type="page"/>
      </w:r>
    </w:p>
    <w:p w14:paraId="4A57DD44" w14:textId="77777777" w:rsidR="00DB3A7F" w:rsidRPr="00A953F8" w:rsidRDefault="00DB3A7F" w:rsidP="00DB3A7F">
      <w:pPr>
        <w:rPr>
          <w:rFonts w:ascii="Times New Roman" w:hAnsi="Times New Roman" w:cs="Times New Roman"/>
          <w:color w:val="000000" w:themeColor="text1"/>
          <w:sz w:val="24"/>
          <w:szCs w:val="24"/>
        </w:rPr>
      </w:pPr>
      <w:r w:rsidRPr="00A953F8">
        <w:rPr>
          <w:noProof/>
          <w:color w:val="000000" w:themeColor="text1"/>
          <w:lang w:eastAsia="en-US"/>
        </w:rPr>
        <w:lastRenderedPageBreak/>
        <w:drawing>
          <wp:inline distT="0" distB="0" distL="0" distR="0" wp14:anchorId="477C2D48" wp14:editId="01E1FD13">
            <wp:extent cx="5381625" cy="402781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7421" cy="4039634"/>
                    </a:xfrm>
                    <a:prstGeom prst="rect">
                      <a:avLst/>
                    </a:prstGeom>
                    <a:noFill/>
                    <a:ln>
                      <a:noFill/>
                    </a:ln>
                  </pic:spPr>
                </pic:pic>
              </a:graphicData>
            </a:graphic>
          </wp:inline>
        </w:drawing>
      </w:r>
      <w:r w:rsidRPr="00A953F8">
        <w:rPr>
          <w:rFonts w:ascii="Times New Roman" w:hAnsi="Times New Roman" w:cs="Times New Roman"/>
          <w:color w:val="000000" w:themeColor="text1"/>
          <w:sz w:val="24"/>
          <w:szCs w:val="24"/>
        </w:rPr>
        <w:t xml:space="preserve"> </w:t>
      </w:r>
    </w:p>
    <w:p w14:paraId="27D05963" w14:textId="14505A5F" w:rsidR="00DB3A7F" w:rsidRPr="00A953F8" w:rsidRDefault="00DB3A7F" w:rsidP="00DB3A7F">
      <w:pPr>
        <w:rPr>
          <w:rFonts w:ascii="Times New Roman" w:hAnsi="Times New Roman" w:cs="Times New Roman"/>
          <w:color w:val="000000" w:themeColor="text1"/>
          <w:sz w:val="24"/>
        </w:rPr>
      </w:pPr>
      <w:r w:rsidRPr="00A953F8">
        <w:rPr>
          <w:rFonts w:ascii="Times New Roman" w:hAnsi="Times New Roman" w:cs="Times New Roman"/>
          <w:b/>
          <w:color w:val="000000" w:themeColor="text1"/>
          <w:sz w:val="24"/>
        </w:rPr>
        <w:t>Supplementary Figure S3. Epidemic period-dependent offspring distributions for the zero-truncated data.</w:t>
      </w:r>
      <w:r w:rsidRPr="00A953F8">
        <w:rPr>
          <w:rFonts w:ascii="Times New Roman" w:hAnsi="Times New Roman" w:cs="Times New Roman"/>
          <w:color w:val="000000" w:themeColor="text1"/>
          <w:sz w:val="24"/>
        </w:rPr>
        <w:t xml:space="preserve"> Estimations are displayed as the solid</w:t>
      </w:r>
      <w:r w:rsidR="00337C6D" w:rsidRPr="00A953F8">
        <w:rPr>
          <w:rFonts w:ascii="Times New Roman" w:hAnsi="Times New Roman" w:cs="Times New Roman"/>
          <w:color w:val="000000" w:themeColor="text1"/>
          <w:sz w:val="24"/>
        </w:rPr>
        <w:t xml:space="preserve"> </w:t>
      </w:r>
      <w:r w:rsidRPr="00A953F8">
        <w:rPr>
          <w:rFonts w:ascii="Times New Roman" w:hAnsi="Times New Roman" w:cs="Times New Roman"/>
          <w:color w:val="000000" w:themeColor="text1"/>
          <w:sz w:val="24"/>
        </w:rPr>
        <w:t xml:space="preserve">line (median) and grey shading (95% confidence interval). The light blue bars show the observations used for making the estimations, and the blank bars are truncated and were not used for making the estimations. (A–B) Analyses for waves 2 (A) and 4 (B), conducted using the censoring data exclusion method (method 1 in </w:t>
      </w:r>
      <w:r w:rsidR="009B48A8" w:rsidRPr="009B48A8">
        <w:rPr>
          <w:rFonts w:ascii="Times New Roman" w:hAnsi="Times New Roman" w:cs="Times New Roman"/>
          <w:color w:val="000000" w:themeColor="text1"/>
          <w:sz w:val="24"/>
        </w:rPr>
        <w:t>Right censoring adjustment for infection trajectory chain, Methods</w:t>
      </w:r>
      <w:r w:rsidRPr="00A953F8">
        <w:rPr>
          <w:rFonts w:ascii="Times New Roman" w:hAnsi="Times New Roman" w:cs="Times New Roman"/>
          <w:color w:val="000000" w:themeColor="text1"/>
          <w:sz w:val="24"/>
        </w:rPr>
        <w:t xml:space="preserve"> in the main text). (C–D) Analyses for waves 2 (C) and 4 (D), conducted using the censoring data adjustment method (method 2 in </w:t>
      </w:r>
      <w:r w:rsidR="009B48A8" w:rsidRPr="009B48A8">
        <w:rPr>
          <w:rFonts w:ascii="Times New Roman" w:hAnsi="Times New Roman" w:cs="Times New Roman"/>
          <w:color w:val="000000" w:themeColor="text1"/>
          <w:sz w:val="24"/>
        </w:rPr>
        <w:t>Right censoring adjustment for infection trajectory chain, Methods</w:t>
      </w:r>
      <w:r w:rsidRPr="00A953F8">
        <w:rPr>
          <w:rFonts w:ascii="Times New Roman" w:hAnsi="Times New Roman" w:cs="Times New Roman"/>
          <w:color w:val="000000" w:themeColor="text1"/>
          <w:sz w:val="24"/>
        </w:rPr>
        <w:t xml:space="preserve"> in the main text). </w:t>
      </w:r>
    </w:p>
    <w:p w14:paraId="7F020314" w14:textId="77777777" w:rsidR="00DB3A7F" w:rsidRPr="00A953F8" w:rsidRDefault="00DB3A7F" w:rsidP="00DB3A7F">
      <w:pPr>
        <w:widowControl/>
        <w:spacing w:after="160" w:line="259" w:lineRule="auto"/>
        <w:jc w:val="left"/>
        <w:rPr>
          <w:rFonts w:ascii="Times New Roman" w:hAnsi="Times New Roman" w:cs="Times New Roman"/>
          <w:color w:val="000000" w:themeColor="text1"/>
          <w:sz w:val="24"/>
          <w:szCs w:val="24"/>
        </w:rPr>
      </w:pPr>
      <w:r w:rsidRPr="00A953F8">
        <w:rPr>
          <w:rFonts w:ascii="Times New Roman" w:hAnsi="Times New Roman" w:cs="Times New Roman"/>
          <w:color w:val="000000" w:themeColor="text1"/>
          <w:sz w:val="24"/>
          <w:szCs w:val="24"/>
        </w:rPr>
        <w:br w:type="page"/>
      </w:r>
    </w:p>
    <w:p w14:paraId="0B3D077C" w14:textId="77777777" w:rsidR="00DB3A7F" w:rsidRPr="00A953F8" w:rsidRDefault="00DB3A7F" w:rsidP="00DB3A7F">
      <w:pPr>
        <w:rPr>
          <w:rFonts w:ascii="Times New Roman" w:hAnsi="Times New Roman" w:cs="Times New Roman"/>
          <w:color w:val="000000" w:themeColor="text1"/>
          <w:sz w:val="24"/>
          <w:szCs w:val="24"/>
        </w:rPr>
      </w:pPr>
      <w:r w:rsidRPr="00A953F8">
        <w:rPr>
          <w:noProof/>
          <w:color w:val="000000" w:themeColor="text1"/>
          <w:lang w:eastAsia="en-US"/>
        </w:rPr>
        <w:lastRenderedPageBreak/>
        <w:drawing>
          <wp:inline distT="0" distB="0" distL="0" distR="0" wp14:anchorId="55B6742E" wp14:editId="5393DDFB">
            <wp:extent cx="5405375" cy="4045585"/>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3817" cy="4051904"/>
                    </a:xfrm>
                    <a:prstGeom prst="rect">
                      <a:avLst/>
                    </a:prstGeom>
                    <a:noFill/>
                    <a:ln>
                      <a:noFill/>
                    </a:ln>
                  </pic:spPr>
                </pic:pic>
              </a:graphicData>
            </a:graphic>
          </wp:inline>
        </w:drawing>
      </w:r>
      <w:r w:rsidRPr="00A953F8">
        <w:rPr>
          <w:rFonts w:ascii="Times New Roman" w:hAnsi="Times New Roman" w:cs="Times New Roman"/>
          <w:color w:val="000000" w:themeColor="text1"/>
          <w:sz w:val="24"/>
          <w:szCs w:val="24"/>
        </w:rPr>
        <w:t xml:space="preserve"> </w:t>
      </w:r>
    </w:p>
    <w:p w14:paraId="3F54E535" w14:textId="265BBB30" w:rsidR="00DB3A7F" w:rsidRPr="00A953F8" w:rsidRDefault="00DB3A7F" w:rsidP="00DB3A7F">
      <w:pPr>
        <w:rPr>
          <w:rFonts w:ascii="Times New Roman" w:hAnsi="Times New Roman" w:cs="Times New Roman"/>
          <w:color w:val="000000" w:themeColor="text1"/>
          <w:sz w:val="24"/>
        </w:rPr>
      </w:pPr>
      <w:r w:rsidRPr="00A953F8">
        <w:rPr>
          <w:rFonts w:ascii="Times New Roman" w:hAnsi="Times New Roman" w:cs="Times New Roman"/>
          <w:b/>
          <w:color w:val="000000" w:themeColor="text1"/>
          <w:sz w:val="24"/>
        </w:rPr>
        <w:t xml:space="preserve">Supplementary Figure S4. Age-dependent offspring distributions for the zero-truncated data. </w:t>
      </w:r>
      <w:r w:rsidRPr="00A953F8">
        <w:rPr>
          <w:rFonts w:ascii="Times New Roman" w:hAnsi="Times New Roman" w:cs="Times New Roman"/>
          <w:color w:val="000000" w:themeColor="text1"/>
          <w:sz w:val="24"/>
        </w:rPr>
        <w:t>Estimations are displayed as the solid</w:t>
      </w:r>
      <w:r w:rsidR="00337C6D" w:rsidRPr="00A953F8">
        <w:rPr>
          <w:rFonts w:ascii="Times New Roman" w:hAnsi="Times New Roman" w:cs="Times New Roman"/>
          <w:color w:val="000000" w:themeColor="text1"/>
          <w:sz w:val="24"/>
        </w:rPr>
        <w:t xml:space="preserve"> </w:t>
      </w:r>
      <w:r w:rsidRPr="00A953F8">
        <w:rPr>
          <w:rFonts w:ascii="Times New Roman" w:hAnsi="Times New Roman" w:cs="Times New Roman"/>
          <w:color w:val="000000" w:themeColor="text1"/>
          <w:sz w:val="24"/>
        </w:rPr>
        <w:t xml:space="preserve">line (median) and grey shading (95% confidence interval). The light blue bars show the observations used for making the estimations, and the blank bars are truncated and were not used making for the estimations. (A–C) Analyses for those aged 20–39 (A), 40–59 (B), and over 60 (C) years, conducted using the censoring data exclusion method (method 1 in </w:t>
      </w:r>
      <w:r w:rsidR="009B48A8" w:rsidRPr="009B48A8">
        <w:rPr>
          <w:rFonts w:ascii="Times New Roman" w:hAnsi="Times New Roman" w:cs="Times New Roman"/>
          <w:color w:val="000000" w:themeColor="text1"/>
          <w:sz w:val="24"/>
        </w:rPr>
        <w:t>Right censoring adjustment for infection trajectory chain, Methods</w:t>
      </w:r>
      <w:r w:rsidRPr="00A953F8">
        <w:rPr>
          <w:rFonts w:ascii="Times New Roman" w:hAnsi="Times New Roman" w:cs="Times New Roman"/>
          <w:color w:val="000000" w:themeColor="text1"/>
          <w:sz w:val="24"/>
        </w:rPr>
        <w:t xml:space="preserve"> in the main text). (D–F) Analyses for those aged 20–39 (D), 40–59 (E), and over 60 (F) years, conducted using the censoring data adjustment method (method 2 in </w:t>
      </w:r>
      <w:r w:rsidR="009B48A8" w:rsidRPr="009B48A8">
        <w:rPr>
          <w:rFonts w:ascii="Times New Roman" w:hAnsi="Times New Roman" w:cs="Times New Roman"/>
          <w:color w:val="000000" w:themeColor="text1"/>
          <w:sz w:val="24"/>
        </w:rPr>
        <w:t>Right censoring adjustment for infection trajectory chain, Methods</w:t>
      </w:r>
      <w:r w:rsidRPr="00A953F8">
        <w:rPr>
          <w:rFonts w:ascii="Times New Roman" w:hAnsi="Times New Roman" w:cs="Times New Roman"/>
          <w:color w:val="000000" w:themeColor="text1"/>
          <w:sz w:val="24"/>
        </w:rPr>
        <w:t xml:space="preserve"> in the main text). </w:t>
      </w:r>
    </w:p>
    <w:p w14:paraId="36E9EED5" w14:textId="77777777" w:rsidR="00DB3A7F" w:rsidRPr="00A953F8" w:rsidRDefault="00DB3A7F" w:rsidP="00DB3A7F">
      <w:pPr>
        <w:widowControl/>
        <w:spacing w:after="160" w:line="259" w:lineRule="auto"/>
        <w:jc w:val="left"/>
        <w:rPr>
          <w:rFonts w:ascii="Times New Roman" w:hAnsi="Times New Roman" w:cs="Times New Roman"/>
          <w:color w:val="000000" w:themeColor="text1"/>
          <w:sz w:val="24"/>
          <w:szCs w:val="24"/>
        </w:rPr>
      </w:pPr>
      <w:r w:rsidRPr="00A953F8">
        <w:rPr>
          <w:rFonts w:ascii="Times New Roman" w:hAnsi="Times New Roman" w:cs="Times New Roman"/>
          <w:color w:val="000000" w:themeColor="text1"/>
          <w:sz w:val="24"/>
          <w:szCs w:val="24"/>
        </w:rPr>
        <w:br w:type="page"/>
      </w:r>
    </w:p>
    <w:p w14:paraId="3331E343" w14:textId="77777777" w:rsidR="00123325" w:rsidRPr="00A953F8" w:rsidRDefault="00497774" w:rsidP="00123325">
      <w:pPr>
        <w:rPr>
          <w:rFonts w:ascii="Times New Roman" w:hAnsi="Times New Roman" w:cs="Times New Roman"/>
          <w:color w:val="000000" w:themeColor="text1"/>
          <w:sz w:val="24"/>
          <w:szCs w:val="24"/>
        </w:rPr>
      </w:pPr>
      <w:r w:rsidRPr="00A953F8">
        <w:rPr>
          <w:rFonts w:ascii="Times New Roman" w:hAnsi="Times New Roman" w:cs="Times New Roman"/>
          <w:noProof/>
          <w:color w:val="000000" w:themeColor="text1"/>
          <w:sz w:val="24"/>
          <w:szCs w:val="24"/>
          <w:lang w:eastAsia="en-US"/>
        </w:rPr>
        <w:lastRenderedPageBreak/>
        <w:drawing>
          <wp:inline distT="0" distB="0" distL="0" distR="0" wp14:anchorId="3331E34D" wp14:editId="3331E34E">
            <wp:extent cx="5400000" cy="389244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0" cy="3892446"/>
                    </a:xfrm>
                    <a:prstGeom prst="rect">
                      <a:avLst/>
                    </a:prstGeom>
                    <a:noFill/>
                  </pic:spPr>
                </pic:pic>
              </a:graphicData>
            </a:graphic>
          </wp:inline>
        </w:drawing>
      </w:r>
    </w:p>
    <w:p w14:paraId="3331E344" w14:textId="7C6AAFCE" w:rsidR="00123325" w:rsidRPr="00A953F8" w:rsidRDefault="00C75E32" w:rsidP="00C75E32">
      <w:pPr>
        <w:rPr>
          <w:rFonts w:ascii="Times New Roman" w:hAnsi="Times New Roman" w:cs="Times New Roman"/>
          <w:color w:val="000000" w:themeColor="text1"/>
          <w:sz w:val="32"/>
          <w:szCs w:val="24"/>
        </w:rPr>
      </w:pPr>
      <w:r w:rsidRPr="00A953F8">
        <w:rPr>
          <w:rFonts w:ascii="Times New Roman" w:hAnsi="Times New Roman" w:cs="Times New Roman"/>
          <w:b/>
          <w:color w:val="000000" w:themeColor="text1"/>
          <w:sz w:val="24"/>
        </w:rPr>
        <w:t xml:space="preserve">Supplementary Figure S5. Observed epidemic period- and transmission setting- (household/non-household) dependent offspring distributions for the zero-truncated data. </w:t>
      </w:r>
      <w:r w:rsidRPr="00A953F8">
        <w:rPr>
          <w:rFonts w:ascii="Times New Roman" w:hAnsi="Times New Roman" w:cs="Times New Roman"/>
          <w:color w:val="000000" w:themeColor="text1"/>
          <w:sz w:val="24"/>
        </w:rPr>
        <w:t>(A</w:t>
      </w:r>
      <w:r w:rsidR="00337C6D" w:rsidRPr="00A953F8">
        <w:rPr>
          <w:rFonts w:ascii="Times New Roman" w:hAnsi="Times New Roman" w:cs="Times New Roman"/>
          <w:color w:val="000000" w:themeColor="text1"/>
          <w:sz w:val="24"/>
        </w:rPr>
        <w:t>–D</w:t>
      </w:r>
      <w:r w:rsidRPr="00A953F8">
        <w:rPr>
          <w:rFonts w:ascii="Times New Roman" w:hAnsi="Times New Roman" w:cs="Times New Roman"/>
          <w:color w:val="000000" w:themeColor="text1"/>
          <w:sz w:val="24"/>
        </w:rPr>
        <w:t xml:space="preserve">) </w:t>
      </w:r>
      <w:r w:rsidR="00337C6D" w:rsidRPr="00A953F8">
        <w:rPr>
          <w:rFonts w:ascii="Times New Roman" w:hAnsi="Times New Roman" w:cs="Times New Roman"/>
          <w:color w:val="000000" w:themeColor="text1"/>
          <w:sz w:val="24"/>
        </w:rPr>
        <w:t>H</w:t>
      </w:r>
      <w:r w:rsidRPr="00A953F8">
        <w:rPr>
          <w:rFonts w:ascii="Times New Roman" w:hAnsi="Times New Roman" w:cs="Times New Roman"/>
          <w:color w:val="000000" w:themeColor="text1"/>
          <w:sz w:val="24"/>
        </w:rPr>
        <w:t xml:space="preserve">ousehold </w:t>
      </w:r>
      <w:r w:rsidR="00337C6D" w:rsidRPr="00A953F8">
        <w:rPr>
          <w:rFonts w:ascii="Times New Roman" w:hAnsi="Times New Roman" w:cs="Times New Roman"/>
          <w:color w:val="000000" w:themeColor="text1"/>
          <w:sz w:val="24"/>
        </w:rPr>
        <w:t xml:space="preserve">(A–B) and non-household (C–D) </w:t>
      </w:r>
      <w:r w:rsidRPr="00A953F8">
        <w:rPr>
          <w:rFonts w:ascii="Times New Roman" w:hAnsi="Times New Roman" w:cs="Times New Roman"/>
          <w:color w:val="000000" w:themeColor="text1"/>
          <w:sz w:val="24"/>
        </w:rPr>
        <w:t>transmission</w:t>
      </w:r>
      <w:r w:rsidR="00337C6D" w:rsidRPr="00A953F8">
        <w:rPr>
          <w:rFonts w:ascii="Times New Roman" w:hAnsi="Times New Roman" w:cs="Times New Roman"/>
          <w:color w:val="000000" w:themeColor="text1"/>
          <w:sz w:val="24"/>
        </w:rPr>
        <w:t xml:space="preserve"> for wave 2 (A, C) and wave 4 (B, D)</w:t>
      </w:r>
      <w:r w:rsidRPr="00A953F8">
        <w:rPr>
          <w:rFonts w:ascii="Times New Roman" w:hAnsi="Times New Roman" w:cs="Times New Roman"/>
          <w:color w:val="000000" w:themeColor="text1"/>
          <w:sz w:val="24"/>
        </w:rPr>
        <w:t>.</w:t>
      </w:r>
    </w:p>
    <w:sectPr w:rsidR="00123325" w:rsidRPr="00A953F8">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7F813" w14:textId="77777777" w:rsidR="00F3089D" w:rsidRDefault="00F3089D" w:rsidP="00E01DF3">
      <w:r>
        <w:separator/>
      </w:r>
    </w:p>
  </w:endnote>
  <w:endnote w:type="continuationSeparator" w:id="0">
    <w:p w14:paraId="2E16D1F1" w14:textId="77777777" w:rsidR="00F3089D" w:rsidRDefault="00F3089D" w:rsidP="00E0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6A08B" w14:textId="77777777" w:rsidR="00F3089D" w:rsidRDefault="00F3089D" w:rsidP="00E01DF3">
      <w:r>
        <w:separator/>
      </w:r>
    </w:p>
  </w:footnote>
  <w:footnote w:type="continuationSeparator" w:id="0">
    <w:p w14:paraId="434630AD" w14:textId="77777777" w:rsidR="00F3089D" w:rsidRDefault="00F3089D" w:rsidP="00E01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WwMDK3sLQ0MzE0NjdX0lEKTi0uzszPAykwqwUAoz0huywAAAA="/>
  </w:docVars>
  <w:rsids>
    <w:rsidRoot w:val="00123325"/>
    <w:rsid w:val="00000C7F"/>
    <w:rsid w:val="000047C5"/>
    <w:rsid w:val="000671CC"/>
    <w:rsid w:val="0009570E"/>
    <w:rsid w:val="00117722"/>
    <w:rsid w:val="00123325"/>
    <w:rsid w:val="00144F86"/>
    <w:rsid w:val="00261743"/>
    <w:rsid w:val="00337C6D"/>
    <w:rsid w:val="003930EA"/>
    <w:rsid w:val="00426C55"/>
    <w:rsid w:val="00497774"/>
    <w:rsid w:val="005404E3"/>
    <w:rsid w:val="005F4A14"/>
    <w:rsid w:val="00686F65"/>
    <w:rsid w:val="00742E75"/>
    <w:rsid w:val="007971D4"/>
    <w:rsid w:val="007D6BD8"/>
    <w:rsid w:val="007E0273"/>
    <w:rsid w:val="007E7DFA"/>
    <w:rsid w:val="00813359"/>
    <w:rsid w:val="00850DCF"/>
    <w:rsid w:val="008A1EBF"/>
    <w:rsid w:val="008B45C5"/>
    <w:rsid w:val="008C4051"/>
    <w:rsid w:val="00966EB5"/>
    <w:rsid w:val="009B48A8"/>
    <w:rsid w:val="00A953F8"/>
    <w:rsid w:val="00B06610"/>
    <w:rsid w:val="00B91DD5"/>
    <w:rsid w:val="00B9677D"/>
    <w:rsid w:val="00BA146B"/>
    <w:rsid w:val="00C75E32"/>
    <w:rsid w:val="00D20C9C"/>
    <w:rsid w:val="00DB3A7F"/>
    <w:rsid w:val="00E01DF3"/>
    <w:rsid w:val="00E46C02"/>
    <w:rsid w:val="00F27059"/>
    <w:rsid w:val="00F3089D"/>
    <w:rsid w:val="00F83624"/>
    <w:rsid w:val="00F87DA5"/>
    <w:rsid w:val="00FA06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31E32D"/>
  <w15:docId w15:val="{33487109-4864-4D7C-B873-EAAA475D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3325"/>
    <w:pPr>
      <w:widowControl w:val="0"/>
      <w:spacing w:after="0" w:line="240" w:lineRule="auto"/>
      <w:jc w:val="both"/>
    </w:pPr>
    <w:rPr>
      <w:kern w:val="2"/>
      <w:sz w:val="21"/>
    </w:rPr>
  </w:style>
  <w:style w:type="paragraph" w:styleId="1">
    <w:name w:val="heading 1"/>
    <w:basedOn w:val="a"/>
    <w:next w:val="a"/>
    <w:link w:val="10"/>
    <w:uiPriority w:val="9"/>
    <w:qFormat/>
    <w:rsid w:val="000047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DF3"/>
    <w:pPr>
      <w:tabs>
        <w:tab w:val="center" w:pos="4252"/>
        <w:tab w:val="right" w:pos="8504"/>
      </w:tabs>
    </w:pPr>
  </w:style>
  <w:style w:type="character" w:customStyle="1" w:styleId="a4">
    <w:name w:val="ヘッダー (文字)"/>
    <w:basedOn w:val="a0"/>
    <w:link w:val="a3"/>
    <w:uiPriority w:val="99"/>
    <w:rsid w:val="00E01DF3"/>
    <w:rPr>
      <w:kern w:val="2"/>
      <w:sz w:val="21"/>
    </w:rPr>
  </w:style>
  <w:style w:type="paragraph" w:styleId="a5">
    <w:name w:val="footer"/>
    <w:basedOn w:val="a"/>
    <w:link w:val="a6"/>
    <w:uiPriority w:val="99"/>
    <w:unhideWhenUsed/>
    <w:rsid w:val="00E01DF3"/>
    <w:pPr>
      <w:tabs>
        <w:tab w:val="center" w:pos="4252"/>
        <w:tab w:val="right" w:pos="8504"/>
      </w:tabs>
    </w:pPr>
  </w:style>
  <w:style w:type="character" w:customStyle="1" w:styleId="a6">
    <w:name w:val="フッター (文字)"/>
    <w:basedOn w:val="a0"/>
    <w:link w:val="a5"/>
    <w:uiPriority w:val="99"/>
    <w:rsid w:val="00E01DF3"/>
    <w:rPr>
      <w:kern w:val="2"/>
      <w:sz w:val="21"/>
    </w:rPr>
  </w:style>
  <w:style w:type="character" w:customStyle="1" w:styleId="10">
    <w:name w:val="見出し 1 (文字)"/>
    <w:basedOn w:val="a0"/>
    <w:link w:val="1"/>
    <w:uiPriority w:val="9"/>
    <w:rsid w:val="000047C5"/>
    <w:rPr>
      <w:rFonts w:asciiTheme="majorHAnsi" w:eastAsiaTheme="majorEastAsia" w:hAnsiTheme="majorHAnsi" w:cstheme="majorBidi"/>
      <w:kern w:val="2"/>
      <w:sz w:val="24"/>
      <w:szCs w:val="24"/>
    </w:rPr>
  </w:style>
  <w:style w:type="paragraph" w:styleId="a7">
    <w:name w:val="Balloon Text"/>
    <w:basedOn w:val="a"/>
    <w:link w:val="a8"/>
    <w:uiPriority w:val="99"/>
    <w:semiHidden/>
    <w:unhideWhenUsed/>
    <w:rsid w:val="0039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30EA"/>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337C6D"/>
    <w:rPr>
      <w:sz w:val="16"/>
      <w:szCs w:val="16"/>
    </w:rPr>
  </w:style>
  <w:style w:type="paragraph" w:styleId="aa">
    <w:name w:val="annotation text"/>
    <w:basedOn w:val="a"/>
    <w:link w:val="ab"/>
    <w:uiPriority w:val="99"/>
    <w:semiHidden/>
    <w:unhideWhenUsed/>
    <w:rsid w:val="00337C6D"/>
    <w:rPr>
      <w:sz w:val="20"/>
      <w:szCs w:val="20"/>
    </w:rPr>
  </w:style>
  <w:style w:type="character" w:customStyle="1" w:styleId="ab">
    <w:name w:val="コメント文字列 (文字)"/>
    <w:basedOn w:val="a0"/>
    <w:link w:val="aa"/>
    <w:uiPriority w:val="99"/>
    <w:semiHidden/>
    <w:rsid w:val="00337C6D"/>
    <w:rPr>
      <w:kern w:val="2"/>
      <w:sz w:val="20"/>
      <w:szCs w:val="20"/>
    </w:rPr>
  </w:style>
  <w:style w:type="paragraph" w:styleId="ac">
    <w:name w:val="annotation subject"/>
    <w:basedOn w:val="aa"/>
    <w:next w:val="aa"/>
    <w:link w:val="ad"/>
    <w:uiPriority w:val="99"/>
    <w:semiHidden/>
    <w:unhideWhenUsed/>
    <w:rsid w:val="00337C6D"/>
    <w:rPr>
      <w:b/>
      <w:bCs/>
    </w:rPr>
  </w:style>
  <w:style w:type="character" w:customStyle="1" w:styleId="ad">
    <w:name w:val="コメント内容 (文字)"/>
    <w:basedOn w:val="ab"/>
    <w:link w:val="ac"/>
    <w:uiPriority w:val="99"/>
    <w:semiHidden/>
    <w:rsid w:val="00337C6D"/>
    <w:rPr>
      <w:b/>
      <w:bCs/>
      <w:kern w:val="2"/>
      <w:sz w:val="20"/>
      <w:szCs w:val="20"/>
    </w:rPr>
  </w:style>
  <w:style w:type="paragraph" w:styleId="ae">
    <w:name w:val="Revision"/>
    <w:hidden/>
    <w:uiPriority w:val="99"/>
    <w:semiHidden/>
    <w:rsid w:val="0009570E"/>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d571ce-5d5e-4577-851b-36fe2b87e29c" xsi:nil="true"/>
    <lcf76f155ced4ddcb4097134ff3c332f xmlns="7805362c-7fb7-47ff-9049-83b2c46e64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935350FB4524AA9B0551AC744F54C" ma:contentTypeVersion="15" ma:contentTypeDescription="Create a new document." ma:contentTypeScope="" ma:versionID="27b70b7d379b7d2bf5181e6ec30efaae">
  <xsd:schema xmlns:xsd="http://www.w3.org/2001/XMLSchema" xmlns:xs="http://www.w3.org/2001/XMLSchema" xmlns:p="http://schemas.microsoft.com/office/2006/metadata/properties" xmlns:ns2="7805362c-7fb7-47ff-9049-83b2c46e6485" xmlns:ns3="22d571ce-5d5e-4577-851b-36fe2b87e29c" targetNamespace="http://schemas.microsoft.com/office/2006/metadata/properties" ma:root="true" ma:fieldsID="81e77bac0c22e49f90422e75eabcf476" ns2:_="" ns3:_="">
    <xsd:import namespace="7805362c-7fb7-47ff-9049-83b2c46e6485"/>
    <xsd:import namespace="22d571ce-5d5e-4577-851b-36fe2b87e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5362c-7fb7-47ff-9049-83b2c46e6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f95cfc-685b-4d9e-acc9-81b202a9d8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571ce-5d5e-4577-851b-36fe2b87e2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7e4307-db98-45a2-a7ea-4b20717fe51c}" ma:internalName="TaxCatchAll" ma:showField="CatchAllData" ma:web="22d571ce-5d5e-4577-851b-36fe2b87e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220CC-8F9A-497E-A492-A0E744EF56AF}">
  <ds:schemaRefs>
    <ds:schemaRef ds:uri="http://schemas.microsoft.com/office/2006/metadata/properties"/>
    <ds:schemaRef ds:uri="http://schemas.microsoft.com/office/infopath/2007/PartnerControls"/>
    <ds:schemaRef ds:uri="22d571ce-5d5e-4577-851b-36fe2b87e29c"/>
    <ds:schemaRef ds:uri="7805362c-7fb7-47ff-9049-83b2c46e6485"/>
  </ds:schemaRefs>
</ds:datastoreItem>
</file>

<file path=customXml/itemProps2.xml><?xml version="1.0" encoding="utf-8"?>
<ds:datastoreItem xmlns:ds="http://schemas.openxmlformats.org/officeDocument/2006/customXml" ds:itemID="{80ECE164-00B8-4483-A454-3713FC499BC5}">
  <ds:schemaRefs>
    <ds:schemaRef ds:uri="http://schemas.microsoft.com/sharepoint/v3/contenttype/forms"/>
  </ds:schemaRefs>
</ds:datastoreItem>
</file>

<file path=customXml/itemProps3.xml><?xml version="1.0" encoding="utf-8"?>
<ds:datastoreItem xmlns:ds="http://schemas.openxmlformats.org/officeDocument/2006/customXml" ds:itemID="{F27020A9-3A2E-4483-AC6D-78EAD892D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5362c-7fb7-47ff-9049-83b2c46e6485"/>
    <ds:schemaRef ds:uri="22d571ce-5d5e-4577-851b-36fe2b87e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724</Words>
  <Characters>4127</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Miyama Takeshi</dc:creator>
  <cp:lastModifiedBy>Miyama Takeshi</cp:lastModifiedBy>
  <cp:revision>3</cp:revision>
  <dcterms:created xsi:type="dcterms:W3CDTF">2022-11-17T03:26:00Z</dcterms:created>
  <dcterms:modified xsi:type="dcterms:W3CDTF">2022-11-17T05:43:00Z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0x010100A2D935350FB4524AA9B0551AC744F54C</vt:lpwstr>
  </property>
</Properties>
</file>