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07" w:rsidRDefault="007B3F07" w:rsidP="007B3F07">
      <w:pPr>
        <w:pStyle w:val="Title"/>
        <w:spacing w:line="480" w:lineRule="auto"/>
        <w:rPr>
          <w:lang w:val="en-US"/>
        </w:rPr>
      </w:pPr>
      <w:r>
        <w:rPr>
          <w:lang w:val="en-US"/>
        </w:rPr>
        <w:t>Supplementary material for</w:t>
      </w:r>
    </w:p>
    <w:p w:rsidR="007B3F07" w:rsidRPr="00135FE3" w:rsidRDefault="007B3F07" w:rsidP="007B3F07">
      <w:pPr>
        <w:pStyle w:val="Title"/>
        <w:spacing w:line="480" w:lineRule="auto"/>
        <w:rPr>
          <w:lang w:val="en-US"/>
        </w:rPr>
      </w:pPr>
      <w:r>
        <w:rPr>
          <w:lang w:val="en-US"/>
        </w:rPr>
        <w:t>“</w:t>
      </w:r>
      <w:r w:rsidRPr="00135FE3">
        <w:rPr>
          <w:lang w:val="en-US"/>
        </w:rPr>
        <w:t xml:space="preserve">Estimates of </w:t>
      </w:r>
      <w:r>
        <w:rPr>
          <w:lang w:val="en-US"/>
        </w:rPr>
        <w:t>mpox</w:t>
      </w:r>
      <w:r w:rsidRPr="00135FE3">
        <w:rPr>
          <w:lang w:val="en-US"/>
        </w:rPr>
        <w:t xml:space="preserve"> effective reproduction number in Spain, April-August 2022</w:t>
      </w:r>
      <w:r>
        <w:rPr>
          <w:lang w:val="en-US"/>
        </w:rPr>
        <w:t>”</w:t>
      </w:r>
    </w:p>
    <w:p w:rsidR="007B3F07" w:rsidRPr="004F1671" w:rsidRDefault="007B3F07" w:rsidP="007B3F07">
      <w:pPr>
        <w:spacing w:line="480" w:lineRule="auto"/>
        <w:rPr>
          <w:lang w:val="en-US"/>
        </w:rPr>
      </w:pPr>
    </w:p>
    <w:p w:rsidR="007B3F07" w:rsidRPr="004F1671" w:rsidRDefault="007B3F07" w:rsidP="007B3F07">
      <w:pPr>
        <w:spacing w:line="480" w:lineRule="auto"/>
        <w:rPr>
          <w:sz w:val="20"/>
          <w:lang w:val="es-ES"/>
        </w:rPr>
      </w:pPr>
      <w:r w:rsidRPr="004F1671">
        <w:rPr>
          <w:sz w:val="20"/>
          <w:lang w:val="es-ES"/>
        </w:rPr>
        <w:t>David Garc</w:t>
      </w:r>
      <w:r>
        <w:rPr>
          <w:sz w:val="20"/>
          <w:lang w:val="es-ES"/>
        </w:rPr>
        <w:t>í</w:t>
      </w:r>
      <w:r w:rsidRPr="004F1671">
        <w:rPr>
          <w:sz w:val="20"/>
          <w:lang w:val="es-ES"/>
        </w:rPr>
        <w:t>a</w:t>
      </w:r>
      <w:r>
        <w:rPr>
          <w:sz w:val="20"/>
          <w:lang w:val="es-ES"/>
        </w:rPr>
        <w:t>-García</w:t>
      </w:r>
      <w:r w:rsidRPr="004F1671">
        <w:rPr>
          <w:sz w:val="20"/>
          <w:vertAlign w:val="superscript"/>
          <w:lang w:val="es-ES"/>
        </w:rPr>
        <w:t>1,2</w:t>
      </w:r>
      <w:r>
        <w:rPr>
          <w:sz w:val="20"/>
          <w:vertAlign w:val="superscript"/>
          <w:lang w:val="es-ES"/>
        </w:rPr>
        <w:t>,†</w:t>
      </w:r>
      <w:r w:rsidRPr="004F1671">
        <w:rPr>
          <w:sz w:val="20"/>
          <w:lang w:val="es-ES"/>
        </w:rPr>
        <w:t>, Diana G</w:t>
      </w:r>
      <w:r>
        <w:rPr>
          <w:sz w:val="20"/>
          <w:lang w:val="es-ES"/>
        </w:rPr>
        <w:t>ó</w:t>
      </w:r>
      <w:r w:rsidRPr="004F1671">
        <w:rPr>
          <w:sz w:val="20"/>
          <w:lang w:val="es-ES"/>
        </w:rPr>
        <w:t>mez-Barroso</w:t>
      </w:r>
      <w:r w:rsidRPr="004F1671">
        <w:rPr>
          <w:sz w:val="20"/>
          <w:vertAlign w:val="superscript"/>
          <w:lang w:val="es-ES"/>
        </w:rPr>
        <w:t>1,2</w:t>
      </w:r>
      <w:r>
        <w:rPr>
          <w:sz w:val="20"/>
          <w:vertAlign w:val="superscript"/>
          <w:lang w:val="es-ES"/>
        </w:rPr>
        <w:t>,</w:t>
      </w:r>
      <w:r w:rsidRPr="004B7FAB">
        <w:rPr>
          <w:sz w:val="20"/>
          <w:vertAlign w:val="superscript"/>
          <w:lang w:val="es-ES"/>
        </w:rPr>
        <w:t xml:space="preserve"> </w:t>
      </w:r>
      <w:r>
        <w:rPr>
          <w:sz w:val="20"/>
          <w:vertAlign w:val="superscript"/>
          <w:lang w:val="es-ES"/>
        </w:rPr>
        <w:t>†,</w:t>
      </w:r>
      <w:r w:rsidRPr="004F1671">
        <w:rPr>
          <w:sz w:val="20"/>
          <w:vertAlign w:val="superscript"/>
          <w:lang w:val="es-ES"/>
        </w:rPr>
        <w:t>*</w:t>
      </w:r>
      <w:r w:rsidRPr="004F1671">
        <w:rPr>
          <w:sz w:val="20"/>
          <w:lang w:val="es-ES"/>
        </w:rPr>
        <w:t>, Victoria Hernando</w:t>
      </w:r>
      <w:r w:rsidRPr="004F1671">
        <w:rPr>
          <w:sz w:val="20"/>
          <w:vertAlign w:val="superscript"/>
          <w:lang w:val="es-ES"/>
        </w:rPr>
        <w:t>1,3</w:t>
      </w:r>
      <w:r w:rsidRPr="004F1671">
        <w:rPr>
          <w:sz w:val="20"/>
          <w:lang w:val="es-ES"/>
        </w:rPr>
        <w:t>, Marta Ruiz-Algueró</w:t>
      </w:r>
      <w:r w:rsidRPr="004F1671">
        <w:rPr>
          <w:sz w:val="20"/>
          <w:vertAlign w:val="superscript"/>
          <w:lang w:val="es-ES"/>
        </w:rPr>
        <w:t>1,3</w:t>
      </w:r>
      <w:r w:rsidRPr="004F1671">
        <w:rPr>
          <w:sz w:val="20"/>
          <w:lang w:val="es-ES"/>
        </w:rPr>
        <w:t>, Lorena Simón</w:t>
      </w:r>
      <w:r w:rsidRPr="004F1671">
        <w:rPr>
          <w:sz w:val="20"/>
          <w:vertAlign w:val="superscript"/>
          <w:lang w:val="es-ES"/>
        </w:rPr>
        <w:t>1</w:t>
      </w:r>
      <w:r w:rsidRPr="004F1671">
        <w:rPr>
          <w:sz w:val="20"/>
          <w:lang w:val="es-ES"/>
        </w:rPr>
        <w:t>, Mar</w:t>
      </w:r>
      <w:r>
        <w:rPr>
          <w:sz w:val="20"/>
          <w:lang w:val="es-ES"/>
        </w:rPr>
        <w:t>í</w:t>
      </w:r>
      <w:r w:rsidRPr="004F1671">
        <w:rPr>
          <w:sz w:val="20"/>
          <w:lang w:val="es-ES"/>
        </w:rPr>
        <w:t>a Sastre</w:t>
      </w:r>
      <w:r w:rsidRPr="004F1671">
        <w:rPr>
          <w:sz w:val="20"/>
          <w:vertAlign w:val="superscript"/>
          <w:lang w:val="es-ES"/>
        </w:rPr>
        <w:t>1,2</w:t>
      </w:r>
      <w:r w:rsidRPr="004F1671">
        <w:rPr>
          <w:sz w:val="20"/>
          <w:lang w:val="es-ES"/>
        </w:rPr>
        <w:t>, Mar</w:t>
      </w:r>
      <w:r>
        <w:rPr>
          <w:sz w:val="20"/>
          <w:lang w:val="es-ES"/>
        </w:rPr>
        <w:t>í</w:t>
      </w:r>
      <w:r w:rsidRPr="004F1671">
        <w:rPr>
          <w:sz w:val="20"/>
          <w:lang w:val="es-ES"/>
        </w:rPr>
        <w:t>a José Sierra</w:t>
      </w:r>
      <w:r w:rsidRPr="004F1671">
        <w:rPr>
          <w:sz w:val="20"/>
          <w:vertAlign w:val="superscript"/>
          <w:lang w:val="es-ES"/>
        </w:rPr>
        <w:t>3,4</w:t>
      </w:r>
      <w:r w:rsidRPr="004F1671">
        <w:rPr>
          <w:sz w:val="20"/>
          <w:lang w:val="es-ES"/>
        </w:rPr>
        <w:t>, Pere Godoy</w:t>
      </w:r>
      <w:r w:rsidRPr="004F1671">
        <w:rPr>
          <w:sz w:val="20"/>
          <w:vertAlign w:val="superscript"/>
          <w:lang w:val="es-ES"/>
        </w:rPr>
        <w:t>2,5</w:t>
      </w:r>
      <w:r w:rsidRPr="004F1671">
        <w:rPr>
          <w:sz w:val="20"/>
          <w:lang w:val="es-ES"/>
        </w:rPr>
        <w:t>, Asunción Diaz</w:t>
      </w:r>
      <w:r w:rsidRPr="004F1671">
        <w:rPr>
          <w:sz w:val="20"/>
          <w:vertAlign w:val="superscript"/>
          <w:lang w:val="es-ES"/>
        </w:rPr>
        <w:t>1,</w:t>
      </w:r>
      <w:r>
        <w:rPr>
          <w:sz w:val="20"/>
          <w:vertAlign w:val="superscript"/>
          <w:lang w:val="es-ES"/>
        </w:rPr>
        <w:t>3</w:t>
      </w:r>
    </w:p>
    <w:p w:rsidR="007B3F07" w:rsidRPr="004F1671" w:rsidRDefault="007B3F07" w:rsidP="007B3F07">
      <w:pPr>
        <w:spacing w:line="480" w:lineRule="auto"/>
        <w:rPr>
          <w:sz w:val="20"/>
          <w:lang w:val="es-ES"/>
        </w:rPr>
      </w:pPr>
    </w:p>
    <w:p w:rsidR="007B3F07" w:rsidRPr="00AE1A2C" w:rsidRDefault="007B3F07" w:rsidP="007B3F07">
      <w:pPr>
        <w:pStyle w:val="ListParagraph"/>
        <w:numPr>
          <w:ilvl w:val="0"/>
          <w:numId w:val="1"/>
        </w:numPr>
        <w:spacing w:line="480" w:lineRule="auto"/>
        <w:rPr>
          <w:sz w:val="18"/>
          <w:lang w:val="en-US"/>
        </w:rPr>
      </w:pPr>
      <w:r w:rsidRPr="00AE1A2C">
        <w:rPr>
          <w:sz w:val="18"/>
          <w:lang w:val="en-US"/>
        </w:rPr>
        <w:t xml:space="preserve">National Centre of Epidemiology, Carlos III Health Institute, Madrid, Spain </w:t>
      </w:r>
    </w:p>
    <w:p w:rsidR="007B3F07" w:rsidRPr="00EF156C" w:rsidRDefault="007B3F07" w:rsidP="007B3F07">
      <w:pPr>
        <w:pStyle w:val="ListParagraph"/>
        <w:numPr>
          <w:ilvl w:val="0"/>
          <w:numId w:val="1"/>
        </w:numPr>
        <w:spacing w:line="480" w:lineRule="auto"/>
        <w:rPr>
          <w:rFonts w:ascii="Arial" w:eastAsia="Arial" w:hAnsi="Arial" w:cs="Arial"/>
          <w:sz w:val="18"/>
          <w:lang w:val="en-US" w:eastAsia="es-ES"/>
        </w:rPr>
      </w:pPr>
      <w:r w:rsidRPr="00EF156C">
        <w:rPr>
          <w:rFonts w:ascii="Arial" w:eastAsia="Arial" w:hAnsi="Arial" w:cs="Arial"/>
          <w:sz w:val="18"/>
          <w:lang w:val="en-US" w:eastAsia="es-ES"/>
        </w:rPr>
        <w:t>CIBER in Epidemiology and Public Health</w:t>
      </w:r>
      <w:r>
        <w:rPr>
          <w:rFonts w:ascii="Arial" w:eastAsia="Arial" w:hAnsi="Arial" w:cs="Arial"/>
          <w:sz w:val="18"/>
          <w:lang w:val="en-US" w:eastAsia="es-ES"/>
        </w:rPr>
        <w:t xml:space="preserve"> (CIBERESP)</w:t>
      </w:r>
      <w:r w:rsidRPr="00EF156C">
        <w:rPr>
          <w:rFonts w:ascii="Arial" w:eastAsia="Arial" w:hAnsi="Arial" w:cs="Arial"/>
          <w:sz w:val="18"/>
          <w:lang w:val="en-US" w:eastAsia="es-ES"/>
        </w:rPr>
        <w:t>, Madrid</w:t>
      </w:r>
      <w:r>
        <w:rPr>
          <w:rFonts w:ascii="Arial" w:eastAsia="Arial" w:hAnsi="Arial" w:cs="Arial"/>
          <w:sz w:val="18"/>
          <w:lang w:val="en-US" w:eastAsia="es-ES"/>
        </w:rPr>
        <w:t>, Spain</w:t>
      </w:r>
    </w:p>
    <w:p w:rsidR="007B3F07" w:rsidRPr="00EF156C" w:rsidRDefault="007B3F07" w:rsidP="007B3F07">
      <w:pPr>
        <w:pStyle w:val="ListParagraph"/>
        <w:numPr>
          <w:ilvl w:val="0"/>
          <w:numId w:val="1"/>
        </w:numPr>
        <w:spacing w:line="480" w:lineRule="auto"/>
        <w:rPr>
          <w:rFonts w:ascii="Arial" w:eastAsia="Arial" w:hAnsi="Arial" w:cs="Arial"/>
          <w:sz w:val="18"/>
          <w:lang w:val="en-US" w:eastAsia="es-ES"/>
        </w:rPr>
      </w:pPr>
      <w:r w:rsidRPr="00EF156C">
        <w:rPr>
          <w:rFonts w:ascii="Arial" w:eastAsia="Arial" w:hAnsi="Arial" w:cs="Arial"/>
          <w:sz w:val="18"/>
          <w:lang w:val="en-US" w:eastAsia="es-ES"/>
        </w:rPr>
        <w:t>CIBER in Infectious Diseases</w:t>
      </w:r>
      <w:r>
        <w:rPr>
          <w:rFonts w:ascii="Arial" w:eastAsia="Arial" w:hAnsi="Arial" w:cs="Arial"/>
          <w:sz w:val="18"/>
          <w:lang w:val="en-US" w:eastAsia="es-ES"/>
        </w:rPr>
        <w:t xml:space="preserve"> (CIBERINFEC)</w:t>
      </w:r>
      <w:r w:rsidRPr="00EF156C">
        <w:rPr>
          <w:rFonts w:ascii="Arial" w:eastAsia="Arial" w:hAnsi="Arial" w:cs="Arial"/>
          <w:sz w:val="18"/>
          <w:lang w:val="en-US" w:eastAsia="es-ES"/>
        </w:rPr>
        <w:t xml:space="preserve">, Madrid, </w:t>
      </w:r>
      <w:r>
        <w:rPr>
          <w:rFonts w:ascii="Arial" w:eastAsia="Arial" w:hAnsi="Arial" w:cs="Arial"/>
          <w:sz w:val="18"/>
          <w:lang w:val="en-US" w:eastAsia="es-ES"/>
        </w:rPr>
        <w:t>Spain</w:t>
      </w:r>
    </w:p>
    <w:p w:rsidR="007B3F07" w:rsidRPr="00EF156C" w:rsidRDefault="007B3F07" w:rsidP="007B3F07">
      <w:pPr>
        <w:pStyle w:val="ListParagraph"/>
        <w:numPr>
          <w:ilvl w:val="0"/>
          <w:numId w:val="1"/>
        </w:numPr>
        <w:spacing w:line="480" w:lineRule="auto"/>
        <w:rPr>
          <w:rFonts w:ascii="Arial" w:eastAsia="Arial" w:hAnsi="Arial" w:cs="Arial"/>
          <w:sz w:val="18"/>
          <w:lang w:val="en-US" w:eastAsia="es-ES"/>
        </w:rPr>
      </w:pPr>
      <w:r w:rsidRPr="00EF156C">
        <w:rPr>
          <w:rFonts w:ascii="Arial" w:eastAsia="Arial" w:hAnsi="Arial" w:cs="Arial"/>
          <w:sz w:val="18"/>
          <w:lang w:val="en-US" w:eastAsia="es-ES"/>
        </w:rPr>
        <w:t>Coordinating Centre for Health Alerts and Emergencies, Directorate General of Public Health, Ministry of Health, Madrid, Spain</w:t>
      </w:r>
    </w:p>
    <w:p w:rsidR="007B3F07" w:rsidRPr="00E3601D" w:rsidRDefault="007B3F07" w:rsidP="007B3F07">
      <w:pPr>
        <w:pStyle w:val="ListParagraph"/>
        <w:numPr>
          <w:ilvl w:val="0"/>
          <w:numId w:val="1"/>
        </w:numPr>
        <w:spacing w:line="480" w:lineRule="auto"/>
        <w:rPr>
          <w:rFonts w:ascii="Arial" w:eastAsia="Arial" w:hAnsi="Arial" w:cs="Arial"/>
          <w:sz w:val="18"/>
          <w:lang w:val="en-US" w:eastAsia="es-ES"/>
        </w:rPr>
      </w:pPr>
      <w:r w:rsidRPr="00E3601D">
        <w:rPr>
          <w:rFonts w:ascii="Arial" w:eastAsia="Arial" w:hAnsi="Arial" w:cs="Arial"/>
          <w:sz w:val="18"/>
          <w:lang w:val="en-US" w:eastAsia="es-ES"/>
        </w:rPr>
        <w:t>Lleida Biomedical Research Institute (IRBLleida). University of Lleida</w:t>
      </w:r>
      <w:r>
        <w:rPr>
          <w:rFonts w:ascii="Arial" w:eastAsia="Arial" w:hAnsi="Arial" w:cs="Arial"/>
          <w:sz w:val="18"/>
          <w:lang w:val="en-US" w:eastAsia="es-ES"/>
        </w:rPr>
        <w:t>, Lleida, Spain</w:t>
      </w:r>
    </w:p>
    <w:p w:rsidR="007B3F07" w:rsidRPr="00EF156C" w:rsidRDefault="007B3F07" w:rsidP="007B3F07">
      <w:pPr>
        <w:pStyle w:val="ListParagraph"/>
        <w:spacing w:line="480" w:lineRule="auto"/>
        <w:ind w:left="360"/>
        <w:rPr>
          <w:rFonts w:ascii="Arial" w:eastAsia="Arial" w:hAnsi="Arial" w:cs="Arial"/>
          <w:sz w:val="18"/>
          <w:lang w:val="en-US" w:eastAsia="es-ES"/>
        </w:rPr>
      </w:pPr>
    </w:p>
    <w:p w:rsidR="007B3F07" w:rsidRDefault="007B3F07" w:rsidP="007B3F07">
      <w:pPr>
        <w:spacing w:line="480" w:lineRule="auto"/>
        <w:rPr>
          <w:sz w:val="18"/>
          <w:lang w:val="en-US"/>
        </w:rPr>
      </w:pPr>
      <w:r w:rsidRPr="00BE1CA9">
        <w:rPr>
          <w:sz w:val="20"/>
          <w:vertAlign w:val="superscript"/>
          <w:lang w:val="en-US"/>
        </w:rPr>
        <w:t>†</w:t>
      </w:r>
      <w:r w:rsidRPr="004F1671">
        <w:rPr>
          <w:lang w:val="en-US"/>
        </w:rPr>
        <w:t xml:space="preserve"> </w:t>
      </w:r>
      <w:r w:rsidRPr="004F1671">
        <w:rPr>
          <w:sz w:val="18"/>
          <w:lang w:val="en-US"/>
        </w:rPr>
        <w:t>These authors contributed equally to this work and share first authorship</w:t>
      </w:r>
    </w:p>
    <w:p w:rsidR="007B3F07" w:rsidRDefault="007B3F07" w:rsidP="007B3F07">
      <w:pPr>
        <w:spacing w:line="480" w:lineRule="auto"/>
        <w:rPr>
          <w:sz w:val="18"/>
          <w:lang w:val="en-US"/>
        </w:rPr>
      </w:pPr>
      <w:r>
        <w:rPr>
          <w:sz w:val="18"/>
          <w:lang w:val="en-US"/>
        </w:rPr>
        <w:t>* Corresponding author</w:t>
      </w:r>
    </w:p>
    <w:p w:rsidR="007B3F07" w:rsidRPr="00BE1CA9" w:rsidRDefault="007B3F07" w:rsidP="007B3F07">
      <w:pPr>
        <w:rPr>
          <w:rFonts w:ascii="Roboto" w:eastAsia="Roboto" w:hAnsi="Roboto" w:cs="Roboto"/>
          <w:color w:val="1155CC"/>
          <w:sz w:val="18"/>
          <w:szCs w:val="18"/>
          <w:highlight w:val="white"/>
          <w:u w:val="single"/>
          <w:lang w:val="en-US"/>
        </w:rPr>
      </w:pPr>
      <w:r w:rsidRPr="00BE1CA9">
        <w:rPr>
          <w:rFonts w:ascii="Roboto" w:eastAsia="Roboto" w:hAnsi="Roboto" w:cs="Roboto"/>
          <w:color w:val="1155CC"/>
          <w:sz w:val="18"/>
          <w:szCs w:val="18"/>
          <w:highlight w:val="white"/>
          <w:u w:val="single"/>
          <w:lang w:val="en-US"/>
        </w:rPr>
        <w:br w:type="page"/>
      </w:r>
    </w:p>
    <w:p w:rsidR="007B3F07" w:rsidRDefault="007B3F07" w:rsidP="007B3F07">
      <w:pPr>
        <w:widowControl w:val="0"/>
        <w:spacing w:before="240" w:line="480" w:lineRule="auto"/>
        <w:rPr>
          <w:b/>
          <w:bCs/>
          <w:lang w:val="en-US"/>
        </w:rPr>
      </w:pPr>
      <w:r w:rsidRPr="00240FE8">
        <w:rPr>
          <w:b/>
          <w:bCs/>
          <w:lang w:val="en-US"/>
        </w:rPr>
        <w:lastRenderedPageBreak/>
        <w:t>Sensitivity analysis</w:t>
      </w:r>
    </w:p>
    <w:p w:rsidR="007B3F07" w:rsidRPr="00240FE8" w:rsidRDefault="007B3F07" w:rsidP="007B3F07">
      <w:pPr>
        <w:widowControl w:val="0"/>
        <w:spacing w:before="240" w:line="480" w:lineRule="auto"/>
        <w:rPr>
          <w:lang w:val="en-US"/>
        </w:rPr>
      </w:pPr>
      <w:r>
        <w:rPr>
          <w:lang w:val="en-US"/>
        </w:rPr>
        <w:t>Figure S1 shows the variations in R</w:t>
      </w:r>
      <w:r w:rsidRPr="00240FE8">
        <w:rPr>
          <w:vertAlign w:val="subscript"/>
          <w:lang w:val="en-US"/>
        </w:rPr>
        <w:t>t</w:t>
      </w:r>
      <w:r w:rsidRPr="00240FE8">
        <w:rPr>
          <w:lang w:val="en-US"/>
        </w:rPr>
        <w:t xml:space="preserve"> </w:t>
      </w:r>
      <w:r>
        <w:rPr>
          <w:lang w:val="en-US"/>
        </w:rPr>
        <w:t>estimate for different choices of smoothing window. As expected, wider windows lead to smoother curves, while shorter curves yield noisier estimates.</w:t>
      </w:r>
    </w:p>
    <w:p w:rsidR="007B3F07" w:rsidRPr="008C357F" w:rsidRDefault="007B3F07" w:rsidP="007B3F07">
      <w:pPr>
        <w:spacing w:line="480" w:lineRule="auto"/>
        <w:rPr>
          <w:lang w:val="en-US"/>
        </w:rPr>
      </w:pPr>
      <w:r>
        <w:rPr>
          <w:noProof/>
          <w:lang w:val="en-IN" w:eastAsia="en-IN"/>
        </w:rPr>
        <w:drawing>
          <wp:inline distT="0" distB="0" distL="0" distR="0" wp14:anchorId="5A289416" wp14:editId="61C605A1">
            <wp:extent cx="5727065" cy="4773930"/>
            <wp:effectExtent l="0" t="0" r="698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07" w:rsidRDefault="007B3F07" w:rsidP="007B3F07">
      <w:pPr>
        <w:spacing w:line="480" w:lineRule="auto"/>
        <w:rPr>
          <w:lang w:val="en-US"/>
        </w:rPr>
      </w:pPr>
      <w:r w:rsidRPr="008C357F">
        <w:rPr>
          <w:lang w:val="en-US"/>
        </w:rPr>
        <w:t xml:space="preserve">Figure </w:t>
      </w:r>
      <w:r>
        <w:rPr>
          <w:lang w:val="en-US"/>
        </w:rPr>
        <w:t>S1</w:t>
      </w:r>
      <w:r w:rsidRPr="008C357F">
        <w:rPr>
          <w:lang w:val="en-US"/>
        </w:rPr>
        <w:t>. R</w:t>
      </w:r>
      <w:r w:rsidRPr="00240FE8">
        <w:rPr>
          <w:vertAlign w:val="subscript"/>
          <w:lang w:val="en-US"/>
        </w:rPr>
        <w:t>t</w:t>
      </w:r>
      <w:r w:rsidRPr="008C357F">
        <w:rPr>
          <w:lang w:val="en-US"/>
        </w:rPr>
        <w:t xml:space="preserve"> curves resulting from a sensitivity analysis on the length of the smoothing window, ranging from a 3- to a 13-day long window.</w:t>
      </w:r>
    </w:p>
    <w:p w:rsidR="007B3F07" w:rsidRPr="00BE1CA9" w:rsidRDefault="007B3F07" w:rsidP="007B3F07">
      <w:pPr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</w:pPr>
      <w:r w:rsidRPr="00BE1CA9"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  <w:br w:type="page"/>
      </w:r>
    </w:p>
    <w:p w:rsidR="007B3F07" w:rsidRPr="00BE1CA9" w:rsidRDefault="007B3F07" w:rsidP="007B3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Roboto" w:eastAsia="Roboto" w:hAnsi="Roboto" w:cs="Roboto"/>
          <w:b/>
          <w:bCs/>
          <w:color w:val="333333"/>
          <w:sz w:val="24"/>
          <w:szCs w:val="24"/>
          <w:highlight w:val="white"/>
          <w:lang w:val="en-US"/>
        </w:rPr>
      </w:pPr>
      <w:r w:rsidRPr="00BE1CA9">
        <w:rPr>
          <w:rFonts w:ascii="Roboto" w:eastAsia="Roboto" w:hAnsi="Roboto" w:cs="Roboto"/>
          <w:b/>
          <w:bCs/>
          <w:color w:val="333333"/>
          <w:sz w:val="24"/>
          <w:szCs w:val="24"/>
          <w:highlight w:val="white"/>
          <w:lang w:val="en-US"/>
        </w:rPr>
        <w:lastRenderedPageBreak/>
        <w:t>Mobility-based communities</w:t>
      </w:r>
    </w:p>
    <w:p w:rsidR="007B3F07" w:rsidRPr="00BE1CA9" w:rsidRDefault="007B3F07" w:rsidP="007B3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Roboto" w:eastAsia="Roboto" w:hAnsi="Roboto" w:cs="Roboto"/>
          <w:b/>
          <w:bCs/>
          <w:color w:val="333333"/>
          <w:sz w:val="24"/>
          <w:szCs w:val="24"/>
          <w:highlight w:val="white"/>
          <w:lang w:val="en-US"/>
        </w:rPr>
      </w:pPr>
      <w:r w:rsidRPr="00BE1CA9"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  <w:t>R</w:t>
      </w:r>
      <w:r w:rsidRPr="00BE1CA9">
        <w:rPr>
          <w:rFonts w:ascii="Roboto" w:eastAsia="Roboto" w:hAnsi="Roboto" w:cs="Roboto"/>
          <w:color w:val="333333"/>
          <w:sz w:val="24"/>
          <w:szCs w:val="24"/>
          <w:highlight w:val="white"/>
          <w:vertAlign w:val="subscript"/>
          <w:lang w:val="en-US"/>
        </w:rPr>
        <w:t>t</w:t>
      </w:r>
      <w:r w:rsidRPr="00BE1CA9"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  <w:t xml:space="preserve"> estimates were computed for “communities” in Spain, based on a mobility-based analysis [30]. Table S1 shows the cumulative number of </w:t>
      </w:r>
      <w:r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  <w:t>mpox</w:t>
      </w:r>
      <w:r w:rsidRPr="00BE1CA9"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  <w:t xml:space="preserve"> cases reported at each of these communities during the study period.  Figures S2 and S3 show the geographic disitribution of the communities and their epidemic curves, respectively. Figure 4 shows R</w:t>
      </w:r>
      <w:r w:rsidRPr="00BE1CA9">
        <w:rPr>
          <w:rFonts w:ascii="Roboto" w:eastAsia="Roboto" w:hAnsi="Roboto" w:cs="Roboto"/>
          <w:color w:val="333333"/>
          <w:sz w:val="24"/>
          <w:szCs w:val="24"/>
          <w:highlight w:val="white"/>
          <w:vertAlign w:val="subscript"/>
          <w:lang w:val="en-US"/>
        </w:rPr>
        <w:t>t</w:t>
      </w:r>
      <w:r w:rsidRPr="00BE1CA9"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  <w:t xml:space="preserve"> estimates for each of these communities, computed from the series of cases shown in Figure S3.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962"/>
        <w:gridCol w:w="4153"/>
        <w:gridCol w:w="3060"/>
      </w:tblGrid>
      <w:tr w:rsidR="007B3F07" w:rsidRPr="001C7F51" w:rsidTr="00976789">
        <w:tc>
          <w:tcPr>
            <w:tcW w:w="1962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Community</w:t>
            </w:r>
          </w:p>
        </w:tc>
        <w:tc>
          <w:tcPr>
            <w:tcW w:w="4153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Provinces</w:t>
            </w:r>
          </w:p>
        </w:tc>
        <w:tc>
          <w:tcPr>
            <w:tcW w:w="3060" w:type="dxa"/>
          </w:tcPr>
          <w:p w:rsidR="007B3F07" w:rsidRPr="00BE1CA9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  <w:lang w:val="en-US"/>
              </w:rPr>
            </w:pPr>
            <w:r w:rsidRPr="00BE1CA9">
              <w:rPr>
                <w:rFonts w:ascii="Roboto" w:eastAsia="Roboto" w:hAnsi="Roboto" w:cs="Roboto"/>
                <w:color w:val="333333"/>
                <w:highlight w:val="white"/>
                <w:lang w:val="en-US"/>
              </w:rPr>
              <w:t>Number of MPX cases, April 25 – August 19, 2022</w:t>
            </w:r>
          </w:p>
        </w:tc>
      </w:tr>
      <w:tr w:rsidR="007B3F07" w:rsidRPr="00B977D1" w:rsidTr="00976789">
        <w:tc>
          <w:tcPr>
            <w:tcW w:w="1962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Canary Islands</w:t>
            </w:r>
          </w:p>
        </w:tc>
        <w:tc>
          <w:tcPr>
            <w:tcW w:w="4153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Las Palmas, Santa Cruz de Tenerife</w:t>
            </w:r>
          </w:p>
        </w:tc>
        <w:tc>
          <w:tcPr>
            <w:tcW w:w="3060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143</w:t>
            </w:r>
          </w:p>
        </w:tc>
      </w:tr>
      <w:tr w:rsidR="007B3F07" w:rsidRPr="00B977D1" w:rsidTr="00976789">
        <w:tc>
          <w:tcPr>
            <w:tcW w:w="1962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Central East</w:t>
            </w:r>
          </w:p>
        </w:tc>
        <w:tc>
          <w:tcPr>
            <w:tcW w:w="4153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Albacete, Alicante, Ciudad Real, Cuenca, Guadalajara, Illes Balears, Madrid, Soria, Toledo, Valencia</w:t>
            </w:r>
          </w:p>
        </w:tc>
        <w:tc>
          <w:tcPr>
            <w:tcW w:w="3060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2796</w:t>
            </w:r>
          </w:p>
        </w:tc>
      </w:tr>
      <w:tr w:rsidR="007B3F07" w:rsidRPr="00B977D1" w:rsidTr="00976789">
        <w:tc>
          <w:tcPr>
            <w:tcW w:w="1962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Central West</w:t>
            </w:r>
          </w:p>
        </w:tc>
        <w:tc>
          <w:tcPr>
            <w:tcW w:w="4153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Asturias, Ávila, Cáceres, León, Palencia, Salamanca, Segovia, Valladolid, Zamora</w:t>
            </w:r>
          </w:p>
        </w:tc>
        <w:tc>
          <w:tcPr>
            <w:tcW w:w="3060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113</w:t>
            </w:r>
          </w:p>
        </w:tc>
      </w:tr>
      <w:tr w:rsidR="007B3F07" w:rsidRPr="00B977D1" w:rsidTr="00976789">
        <w:tc>
          <w:tcPr>
            <w:tcW w:w="1962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North</w:t>
            </w:r>
          </w:p>
        </w:tc>
        <w:tc>
          <w:tcPr>
            <w:tcW w:w="4153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 xml:space="preserve">Araba, Bizkaia, Burgos, Cantabria, Guipuzkoa, Navarra, La Rioja </w:t>
            </w:r>
          </w:p>
        </w:tc>
        <w:tc>
          <w:tcPr>
            <w:tcW w:w="3060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264</w:t>
            </w:r>
          </w:p>
        </w:tc>
      </w:tr>
      <w:tr w:rsidR="007B3F07" w:rsidRPr="00B977D1" w:rsidTr="00976789">
        <w:tc>
          <w:tcPr>
            <w:tcW w:w="1962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Northeast</w:t>
            </w:r>
          </w:p>
        </w:tc>
        <w:tc>
          <w:tcPr>
            <w:tcW w:w="4153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Barcelona, Castellón, Girona, Huesca, Lleida, Tarragona, Teruel, Zaragoza</w:t>
            </w:r>
          </w:p>
        </w:tc>
        <w:tc>
          <w:tcPr>
            <w:tcW w:w="3060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1925</w:t>
            </w:r>
          </w:p>
        </w:tc>
      </w:tr>
      <w:tr w:rsidR="007B3F07" w:rsidRPr="00B977D1" w:rsidTr="00976789">
        <w:tc>
          <w:tcPr>
            <w:tcW w:w="1962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Northwest</w:t>
            </w:r>
          </w:p>
        </w:tc>
        <w:tc>
          <w:tcPr>
            <w:tcW w:w="4153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A Coruña, Lugo, Orense, Pontevedra</w:t>
            </w:r>
          </w:p>
        </w:tc>
        <w:tc>
          <w:tcPr>
            <w:tcW w:w="3060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98</w:t>
            </w:r>
          </w:p>
        </w:tc>
      </w:tr>
      <w:tr w:rsidR="007B3F07" w:rsidRPr="00B977D1" w:rsidTr="00976789">
        <w:tc>
          <w:tcPr>
            <w:tcW w:w="1962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South</w:t>
            </w:r>
          </w:p>
        </w:tc>
        <w:tc>
          <w:tcPr>
            <w:tcW w:w="4153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Almería, Badajoz, Cádiz, Córdoba, Granada, Huelva, Jaén, Málaga, Murcia, Sevilla</w:t>
            </w:r>
          </w:p>
        </w:tc>
        <w:tc>
          <w:tcPr>
            <w:tcW w:w="3060" w:type="dxa"/>
          </w:tcPr>
          <w:p w:rsidR="007B3F07" w:rsidRPr="00B977D1" w:rsidRDefault="007B3F07" w:rsidP="00976789">
            <w:pPr>
              <w:widowControl w:val="0"/>
              <w:spacing w:line="36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 w:rsidRPr="00B977D1">
              <w:rPr>
                <w:rFonts w:ascii="Roboto" w:eastAsia="Roboto" w:hAnsi="Roboto" w:cs="Roboto"/>
                <w:color w:val="333333"/>
                <w:highlight w:val="white"/>
              </w:rPr>
              <w:t>824</w:t>
            </w:r>
          </w:p>
        </w:tc>
      </w:tr>
    </w:tbl>
    <w:p w:rsidR="007B3F07" w:rsidRDefault="007B3F07" w:rsidP="007B3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Roboto" w:eastAsia="Roboto" w:hAnsi="Roboto" w:cs="Roboto"/>
          <w:color w:val="333333"/>
          <w:sz w:val="24"/>
          <w:szCs w:val="24"/>
          <w:highlight w:val="white"/>
        </w:rPr>
      </w:pPr>
    </w:p>
    <w:p w:rsidR="007B3F07" w:rsidRPr="00BE1CA9" w:rsidRDefault="007B3F07" w:rsidP="007B3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</w:pPr>
      <w:r w:rsidRPr="00BE1CA9"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  <w:t>Table S1. Mobility-based communities in Spain, provinces in each of these communities, and cumulative number of MPX cases during April 25 – August 19, 2022.</w:t>
      </w:r>
    </w:p>
    <w:p w:rsidR="007B3F07" w:rsidRPr="00BE1CA9" w:rsidRDefault="007B3F07" w:rsidP="007B3F07">
      <w:pPr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</w:pPr>
      <w:r w:rsidRPr="00BE1CA9"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  <w:br w:type="page"/>
      </w:r>
    </w:p>
    <w:p w:rsidR="007B3F07" w:rsidRDefault="007B3F07" w:rsidP="007B3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Roboto" w:eastAsia="Roboto" w:hAnsi="Roboto" w:cs="Roboto"/>
          <w:color w:val="333333"/>
          <w:sz w:val="24"/>
          <w:szCs w:val="24"/>
          <w:highlight w:val="white"/>
        </w:rPr>
      </w:pPr>
      <w:r>
        <w:rPr>
          <w:rFonts w:ascii="Roboto" w:eastAsia="Roboto" w:hAnsi="Roboto" w:cs="Roboto"/>
          <w:noProof/>
          <w:color w:val="333333"/>
          <w:sz w:val="24"/>
          <w:szCs w:val="24"/>
          <w:highlight w:val="white"/>
          <w:lang w:val="en-IN" w:eastAsia="en-IN"/>
        </w:rPr>
        <w:lastRenderedPageBreak/>
        <w:drawing>
          <wp:inline distT="0" distB="0" distL="0" distR="0" wp14:anchorId="04D2D213" wp14:editId="26D1DB8D">
            <wp:extent cx="4417996" cy="2697718"/>
            <wp:effectExtent l="0" t="0" r="190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" t="11091" b="17133"/>
                    <a:stretch/>
                  </pic:blipFill>
                  <pic:spPr bwMode="auto">
                    <a:xfrm>
                      <a:off x="0" y="0"/>
                      <a:ext cx="4449685" cy="271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F07" w:rsidRPr="00BE1CA9" w:rsidRDefault="007B3F07" w:rsidP="007B3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</w:pPr>
      <w:r w:rsidRPr="00BE1CA9"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  <w:t>Figure S2. Mobility-based “communities” in Spain, based in the results in [30].</w:t>
      </w:r>
    </w:p>
    <w:p w:rsidR="007B3F07" w:rsidRPr="00BE1CA9" w:rsidRDefault="007B3F07" w:rsidP="007B3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</w:pPr>
    </w:p>
    <w:p w:rsidR="007B3F07" w:rsidRPr="00240FE8" w:rsidRDefault="007B3F07" w:rsidP="007B3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Roboto" w:eastAsia="Roboto" w:hAnsi="Roboto" w:cs="Roboto"/>
          <w:color w:val="333333"/>
          <w:sz w:val="24"/>
          <w:szCs w:val="24"/>
          <w:highlight w:val="white"/>
        </w:rPr>
      </w:pPr>
      <w:r>
        <w:rPr>
          <w:rFonts w:ascii="Roboto" w:eastAsia="Roboto" w:hAnsi="Roboto" w:cs="Roboto"/>
          <w:noProof/>
          <w:color w:val="333333"/>
          <w:sz w:val="24"/>
          <w:szCs w:val="24"/>
          <w:highlight w:val="white"/>
          <w:lang w:val="en-IN" w:eastAsia="en-IN"/>
        </w:rPr>
        <w:drawing>
          <wp:inline distT="0" distB="0" distL="0" distR="0" wp14:anchorId="5BE06FFC" wp14:editId="4C35067D">
            <wp:extent cx="4734025" cy="394615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016" cy="395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07" w:rsidRDefault="007B3F07" w:rsidP="007B3F07">
      <w:pPr>
        <w:rPr>
          <w:rFonts w:ascii="Roboto" w:eastAsia="Roboto" w:hAnsi="Roboto" w:cs="Roboto"/>
          <w:color w:val="333333"/>
          <w:sz w:val="24"/>
          <w:szCs w:val="24"/>
          <w:highlight w:val="white"/>
        </w:rPr>
      </w:pPr>
      <w:r w:rsidRPr="00BE1CA9">
        <w:rPr>
          <w:rFonts w:ascii="Roboto" w:eastAsia="Roboto" w:hAnsi="Roboto" w:cs="Roboto"/>
          <w:color w:val="333333"/>
          <w:sz w:val="24"/>
          <w:szCs w:val="24"/>
          <w:highlight w:val="white"/>
          <w:lang w:val="en-US"/>
        </w:rPr>
        <w:t>Figure S3. MPX cases by mobility-based community in Spain, April 25 - August 19, 2022.</w:t>
      </w:r>
    </w:p>
    <w:p w:rsidR="00AD2FA1" w:rsidRDefault="00AD2FA1">
      <w:bookmarkStart w:id="0" w:name="_GoBack"/>
      <w:bookmarkEnd w:id="0"/>
    </w:p>
    <w:sectPr w:rsidR="00AD2FA1" w:rsidSect="004B7FAB">
      <w:footerReference w:type="default" r:id="rId8"/>
      <w:pgSz w:w="11909" w:h="16834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042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56F2" w:rsidRDefault="007B3F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56F2" w:rsidRDefault="007B3F0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43AA"/>
    <w:multiLevelType w:val="hybridMultilevel"/>
    <w:tmpl w:val="8B1AD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07"/>
    <w:rsid w:val="007B3F07"/>
    <w:rsid w:val="00A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80500-7833-4829-BA6E-6EA9B5A6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3F07"/>
    <w:pPr>
      <w:spacing w:after="0" w:line="276" w:lineRule="auto"/>
    </w:pPr>
    <w:rPr>
      <w:rFonts w:ascii="Arial" w:eastAsia="Arial" w:hAnsi="Arial" w:cs="Arial"/>
      <w:lang w:val="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7B3F07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B3F07"/>
    <w:rPr>
      <w:rFonts w:ascii="Arial" w:eastAsia="Arial" w:hAnsi="Arial" w:cs="Arial"/>
      <w:sz w:val="52"/>
      <w:szCs w:val="52"/>
      <w:lang w:val="es" w:eastAsia="es-ES"/>
    </w:rPr>
  </w:style>
  <w:style w:type="paragraph" w:styleId="ListParagraph">
    <w:name w:val="List Paragraph"/>
    <w:basedOn w:val="Normal"/>
    <w:uiPriority w:val="34"/>
    <w:qFormat/>
    <w:rsid w:val="007B3F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B3F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07"/>
    <w:rPr>
      <w:rFonts w:ascii="Arial" w:eastAsia="Arial" w:hAnsi="Arial" w:cs="Arial"/>
      <w:lang w:val="es" w:eastAsia="es-ES"/>
    </w:rPr>
  </w:style>
  <w:style w:type="table" w:styleId="TableGrid">
    <w:name w:val="Table Grid"/>
    <w:basedOn w:val="TableNormal"/>
    <w:uiPriority w:val="39"/>
    <w:rsid w:val="007B3F07"/>
    <w:pPr>
      <w:spacing w:after="0" w:line="240" w:lineRule="auto"/>
    </w:pPr>
    <w:rPr>
      <w:rFonts w:ascii="Arial" w:eastAsia="Arial" w:hAnsi="Arial" w:cs="Arial"/>
      <w:lang w:val="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B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389</Words>
  <Characters>2218</Characters>
  <Application>Microsoft Office Word</Application>
  <DocSecurity>0</DocSecurity>
  <Lines>18</Lines>
  <Paragraphs>5</Paragraphs>
  <ScaleCrop>false</ScaleCrop>
  <Company>HP Inc.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Vengadesan</dc:creator>
  <cp:keywords/>
  <dc:description/>
  <cp:lastModifiedBy>Ram Vengadesan</cp:lastModifiedBy>
  <cp:revision>1</cp:revision>
  <dcterms:created xsi:type="dcterms:W3CDTF">2023-06-18T11:27:00Z</dcterms:created>
  <dcterms:modified xsi:type="dcterms:W3CDTF">2023-06-18T11:28:00Z</dcterms:modified>
</cp:coreProperties>
</file>