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4C0C6" w14:textId="77777777" w:rsidR="001A5E11" w:rsidRDefault="001A5E11" w:rsidP="004C2688">
      <w:pPr>
        <w:spacing w:line="360" w:lineRule="auto"/>
        <w:jc w:val="center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Supplementary II</w:t>
      </w:r>
    </w:p>
    <w:p w14:paraId="631456C7" w14:textId="77777777" w:rsidR="0010519E" w:rsidRPr="004C2688" w:rsidRDefault="0010519E" w:rsidP="004C2688">
      <w:pPr>
        <w:spacing w:line="360" w:lineRule="auto"/>
        <w:jc w:val="center"/>
        <w:rPr>
          <w:rFonts w:ascii="Arial" w:hAnsi="Arial" w:cs="Arial"/>
          <w:b/>
          <w:sz w:val="24"/>
          <w:lang w:val="en-GB"/>
        </w:rPr>
      </w:pPr>
      <w:bookmarkStart w:id="0" w:name="_GoBack"/>
      <w:bookmarkEnd w:id="0"/>
      <w:r w:rsidRPr="004C2688">
        <w:rPr>
          <w:rFonts w:ascii="Arial" w:hAnsi="Arial" w:cs="Arial"/>
          <w:i/>
          <w:sz w:val="24"/>
          <w:lang w:val="en-GB"/>
        </w:rPr>
        <w:t>Anchor points for rating severity of adol</w:t>
      </w:r>
      <w:r>
        <w:rPr>
          <w:rFonts w:ascii="Arial" w:hAnsi="Arial" w:cs="Arial"/>
          <w:i/>
          <w:sz w:val="24"/>
          <w:lang w:val="en-GB"/>
        </w:rPr>
        <w:t>escent victimization</w:t>
      </w:r>
    </w:p>
    <w:p w14:paraId="1E51EAE2" w14:textId="77777777" w:rsidR="0010519E" w:rsidRPr="004C2688" w:rsidRDefault="0010519E" w:rsidP="004C2688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 w:rsidRPr="004C2688">
        <w:rPr>
          <w:rFonts w:ascii="Arial" w:hAnsi="Arial" w:cs="Arial"/>
          <w:sz w:val="24"/>
          <w:lang w:val="en-GB"/>
        </w:rPr>
        <w:t xml:space="preserve">Below are guidelines for rating the severity of </w:t>
      </w:r>
      <w:r>
        <w:rPr>
          <w:rFonts w:ascii="Arial" w:hAnsi="Arial" w:cs="Arial"/>
          <w:sz w:val="24"/>
          <w:lang w:val="en-GB"/>
        </w:rPr>
        <w:t xml:space="preserve">each type of adolescent victimization </w:t>
      </w:r>
      <w:r w:rsidRPr="004C2688">
        <w:rPr>
          <w:rFonts w:ascii="Arial" w:hAnsi="Arial" w:cs="Arial"/>
          <w:sz w:val="24"/>
          <w:lang w:val="en-GB"/>
        </w:rPr>
        <w:t>adapted from the manual for the Childhood Experience of Care and Abuse (CECA) interview schedule (</w:t>
      </w:r>
      <w:proofErr w:type="spellStart"/>
      <w:r w:rsidRPr="004C2688">
        <w:rPr>
          <w:rFonts w:ascii="Arial" w:hAnsi="Arial" w:cs="Arial"/>
          <w:sz w:val="24"/>
          <w:lang w:val="en-GB"/>
        </w:rPr>
        <w:t>Bifulco</w:t>
      </w:r>
      <w:proofErr w:type="spellEnd"/>
      <w:r w:rsidRPr="004C2688">
        <w:rPr>
          <w:rFonts w:ascii="Arial" w:hAnsi="Arial" w:cs="Arial"/>
          <w:sz w:val="24"/>
          <w:lang w:val="en-GB"/>
        </w:rPr>
        <w:t xml:space="preserve"> et al., 1994)</w:t>
      </w:r>
      <w:proofErr w:type="gramStart"/>
      <w:r w:rsidRPr="004C2688">
        <w:rPr>
          <w:rFonts w:ascii="Arial" w:hAnsi="Arial" w:cs="Arial"/>
          <w:sz w:val="24"/>
          <w:lang w:val="en-GB"/>
        </w:rPr>
        <w:t>.</w:t>
      </w:r>
      <w:r w:rsidRPr="002D4CBF">
        <w:rPr>
          <w:rFonts w:ascii="Arial" w:hAnsi="Arial" w:cs="Arial"/>
          <w:i/>
          <w:sz w:val="24"/>
          <w:vertAlign w:val="superscript"/>
          <w:lang w:val="en-GB"/>
        </w:rPr>
        <w:t>a</w:t>
      </w:r>
      <w:proofErr w:type="gramEnd"/>
      <w:r w:rsidRPr="004C2688">
        <w:rPr>
          <w:rFonts w:ascii="Arial" w:hAnsi="Arial" w:cs="Arial"/>
          <w:sz w:val="24"/>
          <w:lang w:val="en-GB"/>
        </w:rPr>
        <w:t xml:space="preserve"> The aim of these guidelines is to provide a more objective basis for rating severity and to improve inter-</w:t>
      </w:r>
      <w:proofErr w:type="spellStart"/>
      <w:r w:rsidRPr="004C2688">
        <w:rPr>
          <w:rFonts w:ascii="Arial" w:hAnsi="Arial" w:cs="Arial"/>
          <w:sz w:val="24"/>
          <w:lang w:val="en-GB"/>
        </w:rPr>
        <w:t>rater</w:t>
      </w:r>
      <w:proofErr w:type="spellEnd"/>
      <w:r w:rsidRPr="004C2688">
        <w:rPr>
          <w:rFonts w:ascii="Arial" w:hAnsi="Arial" w:cs="Arial"/>
          <w:sz w:val="24"/>
          <w:lang w:val="en-GB"/>
        </w:rPr>
        <w:t xml:space="preserve"> reliability. However, the anchor points should not be applied rigidly - all ratings should be made taking into account the context within which violence exposure occurred on a case-by-case basis.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48"/>
        <w:gridCol w:w="8028"/>
      </w:tblGrid>
      <w:tr w:rsidR="0010519E" w:rsidRPr="00612715" w14:paraId="461E9E7A" w14:textId="77777777">
        <w:tc>
          <w:tcPr>
            <w:tcW w:w="9576" w:type="dxa"/>
            <w:gridSpan w:val="2"/>
          </w:tcPr>
          <w:p w14:paraId="47ACAABB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Crime Victimization</w:t>
            </w:r>
          </w:p>
        </w:tc>
      </w:tr>
      <w:tr w:rsidR="0010519E" w:rsidRPr="00612715" w14:paraId="303D4B8C" w14:textId="77777777">
        <w:tc>
          <w:tcPr>
            <w:tcW w:w="1548" w:type="dxa"/>
          </w:tcPr>
          <w:p w14:paraId="1FB2804B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5</w:t>
            </w:r>
          </w:p>
        </w:tc>
        <w:tc>
          <w:tcPr>
            <w:tcW w:w="8028" w:type="dxa"/>
          </w:tcPr>
          <w:p w14:paraId="1DF08C26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</w:rPr>
              <w:t>(Life threats/severe injury likely) Threatened with or used a gun or knife or broken bottle, any attempt on life, beaten up - potential for multiple injuries.</w:t>
            </w:r>
          </w:p>
        </w:tc>
      </w:tr>
      <w:tr w:rsidR="0010519E" w:rsidRPr="00612715" w14:paraId="148EADCA" w14:textId="77777777">
        <w:tc>
          <w:tcPr>
            <w:tcW w:w="1548" w:type="dxa"/>
          </w:tcPr>
          <w:p w14:paraId="3A88071C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4</w:t>
            </w:r>
          </w:p>
        </w:tc>
        <w:tc>
          <w:tcPr>
            <w:tcW w:w="8028" w:type="dxa"/>
          </w:tcPr>
          <w:p w14:paraId="0F85A16E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</w:rPr>
              <w:t>(Implement used, or injury likely) Kicked, bitten, burned or scalded punched, hit with fist, hit with item/implement e.g. belt, stick. Hit repeatedly and hard around body sufficient to cause injuries. Include knocked unconscious (where no severe injury is reported) and being kidnapped.</w:t>
            </w:r>
          </w:p>
        </w:tc>
      </w:tr>
      <w:tr w:rsidR="0010519E" w:rsidRPr="00612715" w14:paraId="4F5BBD70" w14:textId="77777777">
        <w:tc>
          <w:tcPr>
            <w:tcW w:w="1548" w:type="dxa"/>
          </w:tcPr>
          <w:p w14:paraId="40ADD408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3</w:t>
            </w:r>
          </w:p>
        </w:tc>
        <w:tc>
          <w:tcPr>
            <w:tcW w:w="8028" w:type="dxa"/>
          </w:tcPr>
          <w:p w14:paraId="67AC12D7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Multiple non-injurious physical attacks or property victimisation or multiple verbal threats of physical harm.</w:t>
            </w:r>
          </w:p>
        </w:tc>
      </w:tr>
      <w:tr w:rsidR="0010519E" w:rsidRPr="00612715" w14:paraId="178261F7" w14:textId="77777777">
        <w:tc>
          <w:tcPr>
            <w:tcW w:w="1548" w:type="dxa"/>
          </w:tcPr>
          <w:p w14:paraId="0D7F4AC8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2</w:t>
            </w:r>
          </w:p>
        </w:tc>
        <w:tc>
          <w:tcPr>
            <w:tcW w:w="8028" w:type="dxa"/>
          </w:tcPr>
          <w:p w14:paraId="67648D02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Occasional or single instances of non-injurious physical attacks, property victimisation (including vandalism) or verbal threats of harm.</w:t>
            </w:r>
          </w:p>
        </w:tc>
      </w:tr>
      <w:tr w:rsidR="0010519E" w:rsidRPr="00612715" w14:paraId="206F67FF" w14:textId="77777777">
        <w:tc>
          <w:tcPr>
            <w:tcW w:w="1548" w:type="dxa"/>
          </w:tcPr>
          <w:p w14:paraId="7FF50B35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1</w:t>
            </w:r>
          </w:p>
        </w:tc>
        <w:tc>
          <w:tcPr>
            <w:tcW w:w="8028" w:type="dxa"/>
          </w:tcPr>
          <w:p w14:paraId="76BBDF38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Single instances of non-confrontational victimisation (e.g., something taken from bag without individual’s knowledge).</w:t>
            </w:r>
          </w:p>
        </w:tc>
      </w:tr>
      <w:tr w:rsidR="0010519E" w:rsidRPr="00612715" w14:paraId="6BB3EC70" w14:textId="77777777">
        <w:tc>
          <w:tcPr>
            <w:tcW w:w="1548" w:type="dxa"/>
          </w:tcPr>
          <w:p w14:paraId="6CF576D4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0</w:t>
            </w:r>
          </w:p>
        </w:tc>
        <w:tc>
          <w:tcPr>
            <w:tcW w:w="8028" w:type="dxa"/>
          </w:tcPr>
          <w:p w14:paraId="1FDC9103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None.</w:t>
            </w:r>
          </w:p>
        </w:tc>
      </w:tr>
    </w:tbl>
    <w:p w14:paraId="70828869" w14:textId="77777777" w:rsidR="0010519E" w:rsidRPr="004C2688" w:rsidRDefault="0010519E" w:rsidP="00980CA2">
      <w:pPr>
        <w:jc w:val="center"/>
        <w:rPr>
          <w:rFonts w:ascii="Arial" w:hAnsi="Arial" w:cs="Arial"/>
          <w:b/>
          <w:sz w:val="24"/>
          <w:lang w:val="en-GB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11"/>
        <w:gridCol w:w="7839"/>
      </w:tblGrid>
      <w:tr w:rsidR="0010519E" w:rsidRPr="00612715" w14:paraId="617A6891" w14:textId="77777777">
        <w:tc>
          <w:tcPr>
            <w:tcW w:w="9350" w:type="dxa"/>
            <w:gridSpan w:val="2"/>
          </w:tcPr>
          <w:p w14:paraId="5AB80A92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Maltreatment</w:t>
            </w:r>
          </w:p>
        </w:tc>
      </w:tr>
      <w:tr w:rsidR="0010519E" w:rsidRPr="00612715" w14:paraId="7214B3A0" w14:textId="77777777">
        <w:tc>
          <w:tcPr>
            <w:tcW w:w="1511" w:type="dxa"/>
          </w:tcPr>
          <w:p w14:paraId="300A613D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5</w:t>
            </w:r>
          </w:p>
        </w:tc>
        <w:tc>
          <w:tcPr>
            <w:tcW w:w="7839" w:type="dxa"/>
          </w:tcPr>
          <w:p w14:paraId="19411D7B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</w:rPr>
              <w:t>(Life threats/severe injury likely) Threatened with or used a gun or knife, any attempt on life, beaten up - potential for multiple injuries.</w:t>
            </w:r>
          </w:p>
        </w:tc>
      </w:tr>
      <w:tr w:rsidR="0010519E" w:rsidRPr="00612715" w14:paraId="29C9E230" w14:textId="77777777">
        <w:tc>
          <w:tcPr>
            <w:tcW w:w="1511" w:type="dxa"/>
          </w:tcPr>
          <w:p w14:paraId="1F3BE6F4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4</w:t>
            </w:r>
          </w:p>
        </w:tc>
        <w:tc>
          <w:tcPr>
            <w:tcW w:w="7839" w:type="dxa"/>
          </w:tcPr>
          <w:p w14:paraId="5817F2C9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</w:rPr>
              <w:t xml:space="preserve">(Implement used, or injury likely) Kicked, bitten, burned or scalded </w:t>
            </w:r>
            <w:r w:rsidRPr="00612715">
              <w:rPr>
                <w:rFonts w:ascii="Arial" w:hAnsi="Arial" w:cs="Arial"/>
                <w:sz w:val="24"/>
              </w:rPr>
              <w:lastRenderedPageBreak/>
              <w:t>punched, hit with fist, hit with item/implement e.g. belt, stick. Hit repeatedly and hard around body sufficient to cause injuries. Include knocked unconscious (where no severe injury is reported).</w:t>
            </w:r>
          </w:p>
        </w:tc>
      </w:tr>
      <w:tr w:rsidR="0010519E" w:rsidRPr="00612715" w14:paraId="0DFFB813" w14:textId="77777777">
        <w:tc>
          <w:tcPr>
            <w:tcW w:w="1511" w:type="dxa"/>
          </w:tcPr>
          <w:p w14:paraId="40F704C2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lastRenderedPageBreak/>
              <w:t>3</w:t>
            </w:r>
          </w:p>
        </w:tc>
        <w:tc>
          <w:tcPr>
            <w:tcW w:w="7839" w:type="dxa"/>
          </w:tcPr>
          <w:p w14:paraId="5F7E5E97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 xml:space="preserve">Frequent physical attacks but injury unlikely (e.g., shoved, pushed, slapped, objects thrown at twin). OR </w:t>
            </w:r>
            <w:proofErr w:type="gramStart"/>
            <w:r w:rsidRPr="00612715">
              <w:rPr>
                <w:rFonts w:ascii="Arial" w:hAnsi="Arial" w:cs="Arial"/>
                <w:sz w:val="24"/>
                <w:lang w:val="en-GB"/>
              </w:rPr>
              <w:t>Intense level of hostile or critical parenting with frequent negative behaviour or verbal statements</w:t>
            </w:r>
            <w:proofErr w:type="gramEnd"/>
            <w:r w:rsidRPr="00612715">
              <w:rPr>
                <w:rFonts w:ascii="Arial" w:hAnsi="Arial" w:cs="Arial"/>
                <w:sz w:val="24"/>
                <w:lang w:val="en-GB"/>
              </w:rPr>
              <w:t>.</w:t>
            </w:r>
          </w:p>
        </w:tc>
      </w:tr>
      <w:tr w:rsidR="0010519E" w:rsidRPr="00612715" w14:paraId="216E2E58" w14:textId="77777777">
        <w:tc>
          <w:tcPr>
            <w:tcW w:w="1511" w:type="dxa"/>
          </w:tcPr>
          <w:p w14:paraId="264575FD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2</w:t>
            </w:r>
          </w:p>
        </w:tc>
        <w:tc>
          <w:tcPr>
            <w:tcW w:w="7839" w:type="dxa"/>
          </w:tcPr>
          <w:p w14:paraId="51CC3085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Occasional physical (non-injurious) attacks or verbal comments.</w:t>
            </w:r>
          </w:p>
        </w:tc>
      </w:tr>
      <w:tr w:rsidR="0010519E" w:rsidRPr="00612715" w14:paraId="121E89D2" w14:textId="77777777">
        <w:tc>
          <w:tcPr>
            <w:tcW w:w="1511" w:type="dxa"/>
          </w:tcPr>
          <w:p w14:paraId="1AF49926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1</w:t>
            </w:r>
          </w:p>
        </w:tc>
        <w:tc>
          <w:tcPr>
            <w:tcW w:w="7839" w:type="dxa"/>
          </w:tcPr>
          <w:p w14:paraId="34A3FC9B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Single (non-injurious) physical or verbal incident.</w:t>
            </w:r>
          </w:p>
        </w:tc>
      </w:tr>
      <w:tr w:rsidR="0010519E" w:rsidRPr="00612715" w14:paraId="0E60AFEC" w14:textId="77777777">
        <w:tc>
          <w:tcPr>
            <w:tcW w:w="1511" w:type="dxa"/>
          </w:tcPr>
          <w:p w14:paraId="389A0A04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0</w:t>
            </w:r>
          </w:p>
        </w:tc>
        <w:tc>
          <w:tcPr>
            <w:tcW w:w="7839" w:type="dxa"/>
          </w:tcPr>
          <w:p w14:paraId="087F154C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None.</w:t>
            </w:r>
          </w:p>
        </w:tc>
      </w:tr>
    </w:tbl>
    <w:p w14:paraId="2E49A3C3" w14:textId="77777777" w:rsidR="0010519E" w:rsidRPr="004C2688" w:rsidRDefault="0010519E" w:rsidP="00980CA2">
      <w:pPr>
        <w:jc w:val="center"/>
        <w:rPr>
          <w:rFonts w:ascii="Arial" w:hAnsi="Arial" w:cs="Arial"/>
          <w:b/>
          <w:sz w:val="24"/>
          <w:lang w:val="en-GB"/>
        </w:rPr>
      </w:pPr>
    </w:p>
    <w:tbl>
      <w:tblPr>
        <w:tblStyle w:val="TableGrid"/>
        <w:tblW w:w="9351" w:type="dxa"/>
        <w:tblLook w:val="00A0" w:firstRow="1" w:lastRow="0" w:firstColumn="1" w:lastColumn="0" w:noHBand="0" w:noVBand="0"/>
      </w:tblPr>
      <w:tblGrid>
        <w:gridCol w:w="1513"/>
        <w:gridCol w:w="7838"/>
      </w:tblGrid>
      <w:tr w:rsidR="0010519E" w:rsidRPr="00612715" w14:paraId="0885DDEF" w14:textId="77777777">
        <w:tc>
          <w:tcPr>
            <w:tcW w:w="9351" w:type="dxa"/>
            <w:gridSpan w:val="2"/>
          </w:tcPr>
          <w:p w14:paraId="5A1C3E10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Peer &amp; Sibling Victimization</w:t>
            </w:r>
          </w:p>
        </w:tc>
      </w:tr>
      <w:tr w:rsidR="0010519E" w:rsidRPr="00612715" w14:paraId="6C6F118E" w14:textId="77777777">
        <w:tc>
          <w:tcPr>
            <w:tcW w:w="1513" w:type="dxa"/>
          </w:tcPr>
          <w:p w14:paraId="129FBF71" w14:textId="77777777" w:rsidR="0010519E" w:rsidRPr="00612715" w:rsidRDefault="0010519E" w:rsidP="006127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5</w:t>
            </w:r>
          </w:p>
        </w:tc>
        <w:tc>
          <w:tcPr>
            <w:tcW w:w="7838" w:type="dxa"/>
          </w:tcPr>
          <w:p w14:paraId="15800C93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Daily or persistent physical attacks or verbal bullying/harassment with serious threats.</w:t>
            </w:r>
          </w:p>
        </w:tc>
      </w:tr>
      <w:tr w:rsidR="0010519E" w:rsidRPr="00612715" w14:paraId="3B84178B" w14:textId="77777777">
        <w:tc>
          <w:tcPr>
            <w:tcW w:w="1513" w:type="dxa"/>
          </w:tcPr>
          <w:p w14:paraId="7C017097" w14:textId="77777777" w:rsidR="0010519E" w:rsidRPr="00612715" w:rsidRDefault="0010519E" w:rsidP="006127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4</w:t>
            </w:r>
          </w:p>
        </w:tc>
        <w:tc>
          <w:tcPr>
            <w:tcW w:w="7838" w:type="dxa"/>
          </w:tcPr>
          <w:p w14:paraId="5E49425F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Frequent physical or verbal victimisation/harassment (weekly).</w:t>
            </w:r>
          </w:p>
        </w:tc>
      </w:tr>
      <w:tr w:rsidR="0010519E" w:rsidRPr="00612715" w14:paraId="1B53F0D3" w14:textId="77777777">
        <w:tc>
          <w:tcPr>
            <w:tcW w:w="1513" w:type="dxa"/>
          </w:tcPr>
          <w:p w14:paraId="558811F3" w14:textId="77777777" w:rsidR="0010519E" w:rsidRPr="00612715" w:rsidRDefault="0010519E" w:rsidP="006127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3</w:t>
            </w:r>
          </w:p>
        </w:tc>
        <w:tc>
          <w:tcPr>
            <w:tcW w:w="7838" w:type="dxa"/>
          </w:tcPr>
          <w:p w14:paraId="60258B0A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 xml:space="preserve">Occasional physical or verbal victimisation/harassment (less than monthly). </w:t>
            </w:r>
          </w:p>
        </w:tc>
      </w:tr>
      <w:tr w:rsidR="0010519E" w:rsidRPr="00612715" w14:paraId="278BD004" w14:textId="77777777">
        <w:tc>
          <w:tcPr>
            <w:tcW w:w="1513" w:type="dxa"/>
          </w:tcPr>
          <w:p w14:paraId="7E4AA198" w14:textId="77777777" w:rsidR="0010519E" w:rsidRPr="00612715" w:rsidRDefault="0010519E" w:rsidP="006127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2</w:t>
            </w:r>
          </w:p>
        </w:tc>
        <w:tc>
          <w:tcPr>
            <w:tcW w:w="7838" w:type="dxa"/>
          </w:tcPr>
          <w:p w14:paraId="10264759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Single incident of physical or verbal victimisation/harassment/exclusion.</w:t>
            </w:r>
          </w:p>
        </w:tc>
      </w:tr>
      <w:tr w:rsidR="0010519E" w:rsidRPr="00612715" w14:paraId="21B30EAB" w14:textId="77777777">
        <w:tc>
          <w:tcPr>
            <w:tcW w:w="1513" w:type="dxa"/>
          </w:tcPr>
          <w:p w14:paraId="39B7E326" w14:textId="77777777" w:rsidR="0010519E" w:rsidRPr="00612715" w:rsidRDefault="0010519E" w:rsidP="006127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1</w:t>
            </w:r>
          </w:p>
        </w:tc>
        <w:tc>
          <w:tcPr>
            <w:tcW w:w="7838" w:type="dxa"/>
          </w:tcPr>
          <w:p w14:paraId="5E91FD66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Occasional teasing.</w:t>
            </w:r>
          </w:p>
        </w:tc>
      </w:tr>
      <w:tr w:rsidR="0010519E" w:rsidRPr="00612715" w14:paraId="63BDF6B9" w14:textId="77777777">
        <w:tc>
          <w:tcPr>
            <w:tcW w:w="1513" w:type="dxa"/>
          </w:tcPr>
          <w:p w14:paraId="6D467D13" w14:textId="77777777" w:rsidR="0010519E" w:rsidRPr="00612715" w:rsidRDefault="0010519E" w:rsidP="006127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0</w:t>
            </w:r>
          </w:p>
        </w:tc>
        <w:tc>
          <w:tcPr>
            <w:tcW w:w="7838" w:type="dxa"/>
          </w:tcPr>
          <w:p w14:paraId="443942A1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None.</w:t>
            </w:r>
          </w:p>
        </w:tc>
      </w:tr>
    </w:tbl>
    <w:p w14:paraId="09AF080D" w14:textId="77777777" w:rsidR="0010519E" w:rsidRPr="004C2688" w:rsidRDefault="0010519E" w:rsidP="00980CA2">
      <w:pPr>
        <w:jc w:val="center"/>
        <w:rPr>
          <w:rFonts w:ascii="Arial" w:hAnsi="Arial" w:cs="Arial"/>
          <w:b/>
          <w:sz w:val="24"/>
          <w:lang w:val="en-GB"/>
        </w:rPr>
      </w:pPr>
    </w:p>
    <w:tbl>
      <w:tblPr>
        <w:tblStyle w:val="TableGrid"/>
        <w:tblW w:w="9351" w:type="dxa"/>
        <w:tblLook w:val="00A0" w:firstRow="1" w:lastRow="0" w:firstColumn="1" w:lastColumn="0" w:noHBand="0" w:noVBand="0"/>
      </w:tblPr>
      <w:tblGrid>
        <w:gridCol w:w="1513"/>
        <w:gridCol w:w="7838"/>
      </w:tblGrid>
      <w:tr w:rsidR="0010519E" w:rsidRPr="00612715" w14:paraId="6A8AA7BA" w14:textId="77777777">
        <w:tc>
          <w:tcPr>
            <w:tcW w:w="9351" w:type="dxa"/>
            <w:gridSpan w:val="2"/>
          </w:tcPr>
          <w:p w14:paraId="1AD4A355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Sexual Victimization</w:t>
            </w:r>
          </w:p>
        </w:tc>
      </w:tr>
      <w:tr w:rsidR="0010519E" w:rsidRPr="00612715" w14:paraId="26E0C1D6" w14:textId="77777777">
        <w:tc>
          <w:tcPr>
            <w:tcW w:w="1513" w:type="dxa"/>
          </w:tcPr>
          <w:p w14:paraId="64517F15" w14:textId="77777777" w:rsidR="0010519E" w:rsidRPr="00612715" w:rsidRDefault="0010519E" w:rsidP="006127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5</w:t>
            </w:r>
          </w:p>
        </w:tc>
        <w:tc>
          <w:tcPr>
            <w:tcW w:w="7838" w:type="dxa"/>
          </w:tcPr>
          <w:p w14:paraId="258533C7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 xml:space="preserve">Sexual victimisation involving intercourse (vaginal or anal). </w:t>
            </w:r>
          </w:p>
          <w:p w14:paraId="02202965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[Note that if child is aged 12 or younger at the time of intercourse than this is classed as statutory rape in the UK and thus coded as 5 even if child reports this as having been a consensual act]</w:t>
            </w:r>
          </w:p>
        </w:tc>
      </w:tr>
      <w:tr w:rsidR="0010519E" w:rsidRPr="00612715" w14:paraId="1C35D5C9" w14:textId="77777777">
        <w:tc>
          <w:tcPr>
            <w:tcW w:w="1513" w:type="dxa"/>
          </w:tcPr>
          <w:p w14:paraId="177906CA" w14:textId="77777777" w:rsidR="0010519E" w:rsidRPr="00612715" w:rsidRDefault="0010519E" w:rsidP="006127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4</w:t>
            </w:r>
          </w:p>
        </w:tc>
        <w:tc>
          <w:tcPr>
            <w:tcW w:w="7838" w:type="dxa"/>
          </w:tcPr>
          <w:p w14:paraId="190627E9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Repeated contact non-intercourse victimisation (touching of own or others’ private parts, oral sex).</w:t>
            </w:r>
          </w:p>
        </w:tc>
      </w:tr>
      <w:tr w:rsidR="0010519E" w:rsidRPr="00612715" w14:paraId="4E485379" w14:textId="77777777">
        <w:tc>
          <w:tcPr>
            <w:tcW w:w="1513" w:type="dxa"/>
          </w:tcPr>
          <w:p w14:paraId="58574614" w14:textId="77777777" w:rsidR="0010519E" w:rsidRPr="00612715" w:rsidRDefault="0010519E" w:rsidP="006127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3</w:t>
            </w:r>
          </w:p>
        </w:tc>
        <w:tc>
          <w:tcPr>
            <w:tcW w:w="7838" w:type="dxa"/>
          </w:tcPr>
          <w:p w14:paraId="272840BD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 xml:space="preserve">Repeated non-contact sexual victimisation (e.g., verbal harassment, forced to watch sexual acts, stalked by someone with sexual motives). Single incident of contact non-intercourse victimisation (touching of own </w:t>
            </w:r>
            <w:r w:rsidRPr="00612715">
              <w:rPr>
                <w:rFonts w:ascii="Arial" w:hAnsi="Arial" w:cs="Arial"/>
                <w:sz w:val="24"/>
                <w:lang w:val="en-GB"/>
              </w:rPr>
              <w:lastRenderedPageBreak/>
              <w:t>or others’ private parts, oral sex).</w:t>
            </w:r>
          </w:p>
        </w:tc>
      </w:tr>
      <w:tr w:rsidR="0010519E" w:rsidRPr="00612715" w14:paraId="124AB661" w14:textId="77777777">
        <w:tc>
          <w:tcPr>
            <w:tcW w:w="1513" w:type="dxa"/>
          </w:tcPr>
          <w:p w14:paraId="47B7275E" w14:textId="77777777" w:rsidR="0010519E" w:rsidRPr="00612715" w:rsidRDefault="0010519E" w:rsidP="006127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lastRenderedPageBreak/>
              <w:t>2</w:t>
            </w:r>
          </w:p>
        </w:tc>
        <w:tc>
          <w:tcPr>
            <w:tcW w:w="7838" w:type="dxa"/>
          </w:tcPr>
          <w:p w14:paraId="586E15E4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Single incident of non-contact sexual victimisation OR repeated sexually-related teasing, comments about sexuality etc.</w:t>
            </w:r>
          </w:p>
        </w:tc>
      </w:tr>
      <w:tr w:rsidR="0010519E" w:rsidRPr="00612715" w14:paraId="727AED27" w14:textId="77777777">
        <w:tc>
          <w:tcPr>
            <w:tcW w:w="1513" w:type="dxa"/>
          </w:tcPr>
          <w:p w14:paraId="574365F4" w14:textId="77777777" w:rsidR="0010519E" w:rsidRPr="00612715" w:rsidRDefault="0010519E" w:rsidP="006127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1</w:t>
            </w:r>
          </w:p>
        </w:tc>
        <w:tc>
          <w:tcPr>
            <w:tcW w:w="7838" w:type="dxa"/>
          </w:tcPr>
          <w:p w14:paraId="4FAB1CC1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Minor incidents such as being flashed by a stranger.</w:t>
            </w:r>
          </w:p>
        </w:tc>
      </w:tr>
      <w:tr w:rsidR="0010519E" w:rsidRPr="00612715" w14:paraId="28A84835" w14:textId="77777777">
        <w:trPr>
          <w:trHeight w:val="433"/>
        </w:trPr>
        <w:tc>
          <w:tcPr>
            <w:tcW w:w="1513" w:type="dxa"/>
          </w:tcPr>
          <w:p w14:paraId="70E8F796" w14:textId="77777777" w:rsidR="0010519E" w:rsidRPr="00612715" w:rsidRDefault="0010519E" w:rsidP="006127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0</w:t>
            </w:r>
          </w:p>
        </w:tc>
        <w:tc>
          <w:tcPr>
            <w:tcW w:w="7838" w:type="dxa"/>
          </w:tcPr>
          <w:p w14:paraId="346F309A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None.</w:t>
            </w:r>
          </w:p>
        </w:tc>
      </w:tr>
    </w:tbl>
    <w:p w14:paraId="5AE6DEF0" w14:textId="77777777" w:rsidR="0010519E" w:rsidRDefault="0010519E" w:rsidP="00980CA2">
      <w:pPr>
        <w:jc w:val="center"/>
        <w:rPr>
          <w:rFonts w:ascii="Arial" w:hAnsi="Arial" w:cs="Arial"/>
          <w:b/>
          <w:sz w:val="24"/>
          <w:lang w:val="en-GB"/>
        </w:rPr>
      </w:pPr>
    </w:p>
    <w:tbl>
      <w:tblPr>
        <w:tblStyle w:val="TableGrid"/>
        <w:tblW w:w="9576" w:type="dxa"/>
        <w:tblLook w:val="00A0" w:firstRow="1" w:lastRow="0" w:firstColumn="1" w:lastColumn="0" w:noHBand="0" w:noVBand="0"/>
      </w:tblPr>
      <w:tblGrid>
        <w:gridCol w:w="1548"/>
        <w:gridCol w:w="8028"/>
      </w:tblGrid>
      <w:tr w:rsidR="0010519E" w:rsidRPr="00612715" w14:paraId="2D8CDE21" w14:textId="77777777">
        <w:tc>
          <w:tcPr>
            <w:tcW w:w="9576" w:type="dxa"/>
            <w:gridSpan w:val="2"/>
          </w:tcPr>
          <w:p w14:paraId="6603742D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Family Violence</w:t>
            </w:r>
          </w:p>
        </w:tc>
      </w:tr>
      <w:tr w:rsidR="0010519E" w:rsidRPr="00612715" w14:paraId="5E8C5464" w14:textId="77777777">
        <w:tc>
          <w:tcPr>
            <w:tcW w:w="1548" w:type="dxa"/>
          </w:tcPr>
          <w:p w14:paraId="10327487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5</w:t>
            </w:r>
          </w:p>
        </w:tc>
        <w:tc>
          <w:tcPr>
            <w:tcW w:w="8028" w:type="dxa"/>
          </w:tcPr>
          <w:p w14:paraId="7AAD1F07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Repeated physical violence between household members or one extremely violent incident involving threat to life/severe injury.</w:t>
            </w:r>
          </w:p>
        </w:tc>
      </w:tr>
      <w:tr w:rsidR="0010519E" w:rsidRPr="00612715" w14:paraId="3666D8CB" w14:textId="77777777">
        <w:tc>
          <w:tcPr>
            <w:tcW w:w="1548" w:type="dxa"/>
          </w:tcPr>
          <w:p w14:paraId="488E5C1D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4</w:t>
            </w:r>
          </w:p>
        </w:tc>
        <w:tc>
          <w:tcPr>
            <w:tcW w:w="8028" w:type="dxa"/>
          </w:tcPr>
          <w:p w14:paraId="1870B1EF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</w:rPr>
              <w:t xml:space="preserve">Single incident of </w:t>
            </w:r>
            <w:r w:rsidRPr="00612715">
              <w:rPr>
                <w:rFonts w:ascii="Arial" w:hAnsi="Arial" w:cs="Arial"/>
                <w:sz w:val="24"/>
                <w:lang w:val="en-GB"/>
              </w:rPr>
              <w:t xml:space="preserve">physical violence between household members (NOT involving threat to life/severe injury). OR </w:t>
            </w:r>
            <w:r w:rsidRPr="00612715">
              <w:rPr>
                <w:rFonts w:ascii="Arial" w:hAnsi="Arial" w:cs="Arial"/>
                <w:sz w:val="24"/>
              </w:rPr>
              <w:t xml:space="preserve">High frequency of overt quarrelling, arguments, rows or fighting. In addition, there is a tense atmosphere, e.g. people in the household have stopped speaking to each other for days or weeks. Intense </w:t>
            </w:r>
            <w:r w:rsidRPr="00612715">
              <w:rPr>
                <w:rFonts w:ascii="Arial" w:hAnsi="Arial" w:cs="Arial"/>
                <w:i/>
                <w:iCs/>
                <w:sz w:val="24"/>
              </w:rPr>
              <w:t>and</w:t>
            </w:r>
            <w:r w:rsidRPr="00612715">
              <w:rPr>
                <w:rFonts w:ascii="Arial" w:hAnsi="Arial" w:cs="Arial"/>
                <w:sz w:val="24"/>
              </w:rPr>
              <w:t xml:space="preserve"> frequent. Only include throwing objects if directed towards the other person.</w:t>
            </w:r>
          </w:p>
        </w:tc>
      </w:tr>
      <w:tr w:rsidR="0010519E" w:rsidRPr="00612715" w14:paraId="21F9CE62" w14:textId="77777777">
        <w:tc>
          <w:tcPr>
            <w:tcW w:w="1548" w:type="dxa"/>
          </w:tcPr>
          <w:p w14:paraId="2297BBB7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3</w:t>
            </w:r>
          </w:p>
        </w:tc>
        <w:tc>
          <w:tcPr>
            <w:tcW w:w="8028" w:type="dxa"/>
          </w:tcPr>
          <w:p w14:paraId="32091866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</w:rPr>
              <w:t xml:space="preserve">Frequent quarrels, arguments and tense atmosphere occurring monthly or more frequently. Intense </w:t>
            </w:r>
            <w:r w:rsidRPr="00612715">
              <w:rPr>
                <w:rFonts w:ascii="Arial" w:hAnsi="Arial" w:cs="Arial"/>
                <w:i/>
                <w:iCs/>
                <w:sz w:val="24"/>
              </w:rPr>
              <w:t>or</w:t>
            </w:r>
            <w:r w:rsidRPr="00612715">
              <w:rPr>
                <w:rFonts w:ascii="Arial" w:hAnsi="Arial" w:cs="Arial"/>
                <w:sz w:val="24"/>
              </w:rPr>
              <w:t xml:space="preserve"> frequent. Include at least one instance of non-interpersonal violence, e.g. throwing an object that was </w:t>
            </w:r>
            <w:r w:rsidRPr="00612715">
              <w:rPr>
                <w:rFonts w:ascii="Arial" w:hAnsi="Arial" w:cs="Arial"/>
                <w:i/>
                <w:sz w:val="24"/>
              </w:rPr>
              <w:t>not</w:t>
            </w:r>
            <w:r w:rsidRPr="00612715">
              <w:rPr>
                <w:rFonts w:ascii="Arial" w:hAnsi="Arial" w:cs="Arial"/>
                <w:sz w:val="24"/>
              </w:rPr>
              <w:t xml:space="preserve"> directed at the other person, punching a wall etc.</w:t>
            </w:r>
          </w:p>
        </w:tc>
      </w:tr>
      <w:tr w:rsidR="0010519E" w:rsidRPr="00612715" w14:paraId="33081836" w14:textId="77777777">
        <w:tc>
          <w:tcPr>
            <w:tcW w:w="1548" w:type="dxa"/>
          </w:tcPr>
          <w:p w14:paraId="076F4A77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2</w:t>
            </w:r>
          </w:p>
        </w:tc>
        <w:tc>
          <w:tcPr>
            <w:tcW w:w="8028" w:type="dxa"/>
          </w:tcPr>
          <w:p w14:paraId="538867EF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</w:rPr>
              <w:t>Any rows, arguments or tension with low frequency, e.g. less than monthly. No physical violence.</w:t>
            </w:r>
          </w:p>
        </w:tc>
      </w:tr>
      <w:tr w:rsidR="0010519E" w:rsidRPr="00612715" w14:paraId="69831ED0" w14:textId="77777777">
        <w:tc>
          <w:tcPr>
            <w:tcW w:w="1548" w:type="dxa"/>
          </w:tcPr>
          <w:p w14:paraId="5895A808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1</w:t>
            </w:r>
          </w:p>
        </w:tc>
        <w:tc>
          <w:tcPr>
            <w:tcW w:w="8028" w:type="dxa"/>
          </w:tcPr>
          <w:p w14:paraId="005C21A3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</w:rPr>
              <w:t>Rare instances of discord or tension. No physical violence.</w:t>
            </w:r>
          </w:p>
        </w:tc>
      </w:tr>
      <w:tr w:rsidR="0010519E" w:rsidRPr="00612715" w14:paraId="4D72B245" w14:textId="77777777">
        <w:tc>
          <w:tcPr>
            <w:tcW w:w="1548" w:type="dxa"/>
          </w:tcPr>
          <w:p w14:paraId="6641FF08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0</w:t>
            </w:r>
          </w:p>
        </w:tc>
        <w:tc>
          <w:tcPr>
            <w:tcW w:w="8028" w:type="dxa"/>
          </w:tcPr>
          <w:p w14:paraId="0CE1CC99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None.</w:t>
            </w:r>
          </w:p>
        </w:tc>
      </w:tr>
    </w:tbl>
    <w:p w14:paraId="442DCCBE" w14:textId="77777777" w:rsidR="0010519E" w:rsidRPr="004C2688" w:rsidRDefault="0010519E" w:rsidP="00980CA2">
      <w:pPr>
        <w:jc w:val="center"/>
        <w:rPr>
          <w:rFonts w:ascii="Arial" w:hAnsi="Arial" w:cs="Arial"/>
          <w:b/>
          <w:sz w:val="24"/>
          <w:lang w:val="en-GB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11"/>
        <w:gridCol w:w="7839"/>
      </w:tblGrid>
      <w:tr w:rsidR="0010519E" w:rsidRPr="00612715" w14:paraId="298E87B2" w14:textId="77777777">
        <w:tc>
          <w:tcPr>
            <w:tcW w:w="9350" w:type="dxa"/>
            <w:gridSpan w:val="2"/>
          </w:tcPr>
          <w:p w14:paraId="2C148066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Internet/Mobile Phone Victimization</w:t>
            </w:r>
          </w:p>
        </w:tc>
      </w:tr>
      <w:tr w:rsidR="0010519E" w:rsidRPr="00612715" w14:paraId="66C29877" w14:textId="77777777">
        <w:tc>
          <w:tcPr>
            <w:tcW w:w="1511" w:type="dxa"/>
          </w:tcPr>
          <w:p w14:paraId="5BF88BCF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5</w:t>
            </w:r>
          </w:p>
        </w:tc>
        <w:tc>
          <w:tcPr>
            <w:tcW w:w="7839" w:type="dxa"/>
          </w:tcPr>
          <w:p w14:paraId="69185D5D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Daily or persistent internet/mobile victimisation/harassment and involving public humiliation.</w:t>
            </w:r>
          </w:p>
        </w:tc>
      </w:tr>
      <w:tr w:rsidR="0010519E" w:rsidRPr="00612715" w14:paraId="35A7888B" w14:textId="77777777">
        <w:tc>
          <w:tcPr>
            <w:tcW w:w="1511" w:type="dxa"/>
          </w:tcPr>
          <w:p w14:paraId="52600BB5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4</w:t>
            </w:r>
          </w:p>
        </w:tc>
        <w:tc>
          <w:tcPr>
            <w:tcW w:w="7839" w:type="dxa"/>
          </w:tcPr>
          <w:p w14:paraId="49AE0FF8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Persistent or frequent internet/mobile victimisation/harassment but not public.</w:t>
            </w:r>
          </w:p>
        </w:tc>
      </w:tr>
      <w:tr w:rsidR="0010519E" w:rsidRPr="00612715" w14:paraId="7967E5EA" w14:textId="77777777">
        <w:tc>
          <w:tcPr>
            <w:tcW w:w="1511" w:type="dxa"/>
          </w:tcPr>
          <w:p w14:paraId="772E021A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3</w:t>
            </w:r>
          </w:p>
        </w:tc>
        <w:tc>
          <w:tcPr>
            <w:tcW w:w="7839" w:type="dxa"/>
          </w:tcPr>
          <w:p w14:paraId="3B1395D5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 xml:space="preserve">Occasional internet/mobile victimisation/harassment. </w:t>
            </w:r>
          </w:p>
        </w:tc>
      </w:tr>
      <w:tr w:rsidR="0010519E" w:rsidRPr="00612715" w14:paraId="340CF9A0" w14:textId="77777777">
        <w:tc>
          <w:tcPr>
            <w:tcW w:w="1511" w:type="dxa"/>
          </w:tcPr>
          <w:p w14:paraId="21EC4489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lastRenderedPageBreak/>
              <w:t>2</w:t>
            </w:r>
          </w:p>
        </w:tc>
        <w:tc>
          <w:tcPr>
            <w:tcW w:w="7839" w:type="dxa"/>
          </w:tcPr>
          <w:p w14:paraId="000DFF6F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Single incidents of internet/mobile victimisation/harassment.</w:t>
            </w:r>
          </w:p>
        </w:tc>
      </w:tr>
      <w:tr w:rsidR="0010519E" w:rsidRPr="00612715" w14:paraId="5017DA72" w14:textId="77777777">
        <w:tc>
          <w:tcPr>
            <w:tcW w:w="1511" w:type="dxa"/>
          </w:tcPr>
          <w:p w14:paraId="70D140B8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1</w:t>
            </w:r>
          </w:p>
        </w:tc>
        <w:tc>
          <w:tcPr>
            <w:tcW w:w="7839" w:type="dxa"/>
          </w:tcPr>
          <w:p w14:paraId="26ACD944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Occasional teasing via internet/mobile.</w:t>
            </w:r>
          </w:p>
        </w:tc>
      </w:tr>
      <w:tr w:rsidR="0010519E" w:rsidRPr="00612715" w14:paraId="7094E386" w14:textId="77777777">
        <w:tc>
          <w:tcPr>
            <w:tcW w:w="1511" w:type="dxa"/>
          </w:tcPr>
          <w:p w14:paraId="3E2431F6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0</w:t>
            </w:r>
          </w:p>
        </w:tc>
        <w:tc>
          <w:tcPr>
            <w:tcW w:w="7839" w:type="dxa"/>
          </w:tcPr>
          <w:p w14:paraId="0D9D8F73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None.</w:t>
            </w:r>
          </w:p>
        </w:tc>
      </w:tr>
    </w:tbl>
    <w:p w14:paraId="1AE98717" w14:textId="77777777" w:rsidR="0010519E" w:rsidRPr="004C2688" w:rsidRDefault="0010519E" w:rsidP="00980CA2">
      <w:pPr>
        <w:jc w:val="center"/>
        <w:rPr>
          <w:rFonts w:ascii="Arial" w:hAnsi="Arial" w:cs="Arial"/>
          <w:b/>
          <w:sz w:val="24"/>
          <w:lang w:val="en-GB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48"/>
        <w:gridCol w:w="8028"/>
      </w:tblGrid>
      <w:tr w:rsidR="0010519E" w:rsidRPr="00612715" w14:paraId="197FA231" w14:textId="77777777">
        <w:tc>
          <w:tcPr>
            <w:tcW w:w="9576" w:type="dxa"/>
            <w:gridSpan w:val="2"/>
          </w:tcPr>
          <w:p w14:paraId="0BF03721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Neglect</w:t>
            </w:r>
          </w:p>
        </w:tc>
      </w:tr>
      <w:tr w:rsidR="0010519E" w:rsidRPr="00612715" w14:paraId="2CF88A97" w14:textId="77777777">
        <w:tc>
          <w:tcPr>
            <w:tcW w:w="1548" w:type="dxa"/>
          </w:tcPr>
          <w:p w14:paraId="507DE3ED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5</w:t>
            </w:r>
          </w:p>
        </w:tc>
        <w:tc>
          <w:tcPr>
            <w:tcW w:w="8028" w:type="dxa"/>
          </w:tcPr>
          <w:p w14:paraId="089DE8CC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Extreme parental neglect of material needs, e.g. hunger, cleanliness, clothing as well as a neglect of educational and social needs of the child. There is no care given from either parent/parental figure. Can be rated without material neglect if child is knowingly put in danger, e.g. given drugs by the parent etc.</w:t>
            </w:r>
          </w:p>
        </w:tc>
      </w:tr>
      <w:tr w:rsidR="0010519E" w:rsidRPr="00612715" w14:paraId="1C5AA76C" w14:textId="77777777">
        <w:tc>
          <w:tcPr>
            <w:tcW w:w="1548" w:type="dxa"/>
          </w:tcPr>
          <w:p w14:paraId="55E98A56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4</w:t>
            </w:r>
          </w:p>
        </w:tc>
        <w:tc>
          <w:tcPr>
            <w:tcW w:w="8028" w:type="dxa"/>
          </w:tcPr>
          <w:p w14:paraId="7B6CEA04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Parent/parental figure intentionally or unintentionally places child in an unsafe environment.</w:t>
            </w:r>
          </w:p>
        </w:tc>
      </w:tr>
      <w:tr w:rsidR="0010519E" w:rsidRPr="00612715" w14:paraId="5ED2B5B7" w14:textId="77777777">
        <w:tc>
          <w:tcPr>
            <w:tcW w:w="1548" w:type="dxa"/>
          </w:tcPr>
          <w:p w14:paraId="5CD59966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3</w:t>
            </w:r>
          </w:p>
        </w:tc>
        <w:tc>
          <w:tcPr>
            <w:tcW w:w="8028" w:type="dxa"/>
          </w:tcPr>
          <w:p w14:paraId="096ABC9E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Unavailability of parent (e.g., Mum always disappearing down the pub).</w:t>
            </w:r>
          </w:p>
        </w:tc>
      </w:tr>
      <w:tr w:rsidR="0010519E" w:rsidRPr="00612715" w14:paraId="492693E7" w14:textId="77777777">
        <w:tc>
          <w:tcPr>
            <w:tcW w:w="1548" w:type="dxa"/>
          </w:tcPr>
          <w:p w14:paraId="54920FC9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2</w:t>
            </w:r>
          </w:p>
        </w:tc>
        <w:tc>
          <w:tcPr>
            <w:tcW w:w="8028" w:type="dxa"/>
          </w:tcPr>
          <w:p w14:paraId="027477DA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Lack of interest or concern from parents/parental figures.</w:t>
            </w:r>
          </w:p>
        </w:tc>
      </w:tr>
      <w:tr w:rsidR="0010519E" w:rsidRPr="00612715" w14:paraId="2A3EF4A5" w14:textId="77777777">
        <w:tc>
          <w:tcPr>
            <w:tcW w:w="1548" w:type="dxa"/>
          </w:tcPr>
          <w:p w14:paraId="6804D71D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1</w:t>
            </w:r>
          </w:p>
        </w:tc>
        <w:tc>
          <w:tcPr>
            <w:tcW w:w="8028" w:type="dxa"/>
          </w:tcPr>
          <w:p w14:paraId="1CBD6E58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 xml:space="preserve">Rare instances of </w:t>
            </w:r>
            <w:proofErr w:type="gramStart"/>
            <w:r w:rsidRPr="00612715">
              <w:rPr>
                <w:rFonts w:ascii="Arial" w:hAnsi="Arial" w:cs="Arial"/>
                <w:sz w:val="24"/>
                <w:lang w:val="en-GB"/>
              </w:rPr>
              <w:t>neglect,</w:t>
            </w:r>
            <w:proofErr w:type="gramEnd"/>
            <w:r w:rsidRPr="00612715">
              <w:rPr>
                <w:rFonts w:ascii="Arial" w:hAnsi="Arial" w:cs="Arial"/>
                <w:sz w:val="24"/>
                <w:lang w:val="en-GB"/>
              </w:rPr>
              <w:t xml:space="preserve"> lack of concern or unavailability. </w:t>
            </w:r>
          </w:p>
        </w:tc>
      </w:tr>
      <w:tr w:rsidR="0010519E" w:rsidRPr="00612715" w14:paraId="0174446F" w14:textId="77777777">
        <w:tc>
          <w:tcPr>
            <w:tcW w:w="1548" w:type="dxa"/>
          </w:tcPr>
          <w:p w14:paraId="4C3C2D24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0</w:t>
            </w:r>
          </w:p>
        </w:tc>
        <w:tc>
          <w:tcPr>
            <w:tcW w:w="8028" w:type="dxa"/>
          </w:tcPr>
          <w:p w14:paraId="3B9C97B1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None.</w:t>
            </w:r>
          </w:p>
        </w:tc>
      </w:tr>
    </w:tbl>
    <w:p w14:paraId="647215B6" w14:textId="77777777" w:rsidR="0010519E" w:rsidRPr="004C2688" w:rsidRDefault="0010519E" w:rsidP="004C2688">
      <w:pPr>
        <w:rPr>
          <w:rFonts w:ascii="Arial" w:hAnsi="Arial" w:cs="Arial"/>
          <w:b/>
          <w:sz w:val="24"/>
          <w:vertAlign w:val="subscript"/>
          <w:lang w:val="en-GB"/>
        </w:rPr>
      </w:pPr>
    </w:p>
    <w:tbl>
      <w:tblPr>
        <w:tblStyle w:val="TableGrid"/>
        <w:tblW w:w="9606" w:type="dxa"/>
        <w:tblLook w:val="00A0" w:firstRow="1" w:lastRow="0" w:firstColumn="1" w:lastColumn="0" w:noHBand="0" w:noVBand="0"/>
      </w:tblPr>
      <w:tblGrid>
        <w:gridCol w:w="1514"/>
        <w:gridCol w:w="8092"/>
      </w:tblGrid>
      <w:tr w:rsidR="0010519E" w:rsidRPr="00612715" w14:paraId="334967E9" w14:textId="77777777">
        <w:tc>
          <w:tcPr>
            <w:tcW w:w="9606" w:type="dxa"/>
            <w:gridSpan w:val="2"/>
          </w:tcPr>
          <w:p w14:paraId="07B7DA96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Any Violence Exposure</w:t>
            </w:r>
          </w:p>
        </w:tc>
      </w:tr>
      <w:tr w:rsidR="0010519E" w:rsidRPr="00612715" w14:paraId="409710F0" w14:textId="77777777">
        <w:tc>
          <w:tcPr>
            <w:tcW w:w="1514" w:type="dxa"/>
          </w:tcPr>
          <w:p w14:paraId="2224310F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5</w:t>
            </w:r>
          </w:p>
        </w:tc>
        <w:tc>
          <w:tcPr>
            <w:tcW w:w="8092" w:type="dxa"/>
          </w:tcPr>
          <w:p w14:paraId="617AD700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</w:rPr>
              <w:t xml:space="preserve">Life threats or severe injury likely to twin or witnessed to others. </w:t>
            </w:r>
          </w:p>
        </w:tc>
      </w:tr>
      <w:tr w:rsidR="0010519E" w:rsidRPr="00612715" w14:paraId="3E6677D6" w14:textId="77777777">
        <w:tc>
          <w:tcPr>
            <w:tcW w:w="1514" w:type="dxa"/>
          </w:tcPr>
          <w:p w14:paraId="7E719D47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4</w:t>
            </w:r>
          </w:p>
        </w:tc>
        <w:tc>
          <w:tcPr>
            <w:tcW w:w="8092" w:type="dxa"/>
          </w:tcPr>
          <w:p w14:paraId="67ABA1AE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</w:rPr>
              <w:t xml:space="preserve">Injury likely but no threat to life to twin or witnessed to others. </w:t>
            </w:r>
          </w:p>
        </w:tc>
      </w:tr>
      <w:tr w:rsidR="0010519E" w:rsidRPr="00612715" w14:paraId="74981B3C" w14:textId="77777777">
        <w:tc>
          <w:tcPr>
            <w:tcW w:w="1514" w:type="dxa"/>
          </w:tcPr>
          <w:p w14:paraId="7C102E98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3</w:t>
            </w:r>
          </w:p>
        </w:tc>
        <w:tc>
          <w:tcPr>
            <w:tcW w:w="8092" w:type="dxa"/>
          </w:tcPr>
          <w:p w14:paraId="13D885F7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Repeated non-injurious physical attacks</w:t>
            </w:r>
            <w:r w:rsidRPr="00612715">
              <w:rPr>
                <w:rFonts w:ascii="Arial" w:hAnsi="Arial" w:cs="Arial"/>
                <w:sz w:val="24"/>
              </w:rPr>
              <w:t xml:space="preserve"> to twin or witnessed to others</w:t>
            </w:r>
            <w:r w:rsidRPr="00612715">
              <w:rPr>
                <w:rFonts w:ascii="Arial" w:hAnsi="Arial" w:cs="Arial"/>
                <w:sz w:val="24"/>
                <w:lang w:val="en-GB"/>
              </w:rPr>
              <w:t>.</w:t>
            </w:r>
          </w:p>
        </w:tc>
      </w:tr>
      <w:tr w:rsidR="0010519E" w:rsidRPr="00612715" w14:paraId="68F56023" w14:textId="77777777">
        <w:tc>
          <w:tcPr>
            <w:tcW w:w="1514" w:type="dxa"/>
          </w:tcPr>
          <w:p w14:paraId="0A59CA15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2</w:t>
            </w:r>
          </w:p>
        </w:tc>
        <w:tc>
          <w:tcPr>
            <w:tcW w:w="8092" w:type="dxa"/>
          </w:tcPr>
          <w:p w14:paraId="31AA2FB7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 xml:space="preserve">Occasional non-injurious physical attacks </w:t>
            </w:r>
            <w:r w:rsidRPr="00612715">
              <w:rPr>
                <w:rFonts w:ascii="Arial" w:hAnsi="Arial" w:cs="Arial"/>
                <w:sz w:val="24"/>
              </w:rPr>
              <w:t>to twin or witnessed to others</w:t>
            </w:r>
            <w:r w:rsidRPr="00612715">
              <w:rPr>
                <w:rFonts w:ascii="Arial" w:hAnsi="Arial" w:cs="Arial"/>
                <w:sz w:val="24"/>
                <w:lang w:val="en-GB"/>
              </w:rPr>
              <w:t>.</w:t>
            </w:r>
          </w:p>
        </w:tc>
      </w:tr>
      <w:tr w:rsidR="0010519E" w:rsidRPr="00612715" w14:paraId="33768CA8" w14:textId="77777777">
        <w:tc>
          <w:tcPr>
            <w:tcW w:w="1514" w:type="dxa"/>
          </w:tcPr>
          <w:p w14:paraId="287604B2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1</w:t>
            </w:r>
          </w:p>
        </w:tc>
        <w:tc>
          <w:tcPr>
            <w:tcW w:w="8092" w:type="dxa"/>
          </w:tcPr>
          <w:p w14:paraId="529EDC4E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 xml:space="preserve">Single non-injurious physical attack </w:t>
            </w:r>
            <w:r w:rsidRPr="00612715">
              <w:rPr>
                <w:rFonts w:ascii="Arial" w:hAnsi="Arial" w:cs="Arial"/>
                <w:sz w:val="24"/>
              </w:rPr>
              <w:t>to twin or witnessed to others</w:t>
            </w:r>
            <w:r w:rsidRPr="00612715">
              <w:rPr>
                <w:rFonts w:ascii="Arial" w:hAnsi="Arial" w:cs="Arial"/>
                <w:sz w:val="24"/>
                <w:lang w:val="en-GB"/>
              </w:rPr>
              <w:t>.</w:t>
            </w:r>
          </w:p>
        </w:tc>
      </w:tr>
      <w:tr w:rsidR="0010519E" w:rsidRPr="00612715" w14:paraId="4455AF4F" w14:textId="77777777">
        <w:tc>
          <w:tcPr>
            <w:tcW w:w="1514" w:type="dxa"/>
          </w:tcPr>
          <w:p w14:paraId="65FEC738" w14:textId="77777777" w:rsidR="0010519E" w:rsidRPr="00612715" w:rsidRDefault="0010519E" w:rsidP="0061271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r w:rsidRPr="00612715">
              <w:rPr>
                <w:rFonts w:ascii="Arial" w:hAnsi="Arial" w:cs="Arial"/>
                <w:b/>
                <w:sz w:val="24"/>
                <w:lang w:val="en-GB"/>
              </w:rPr>
              <w:t>0</w:t>
            </w:r>
          </w:p>
        </w:tc>
        <w:tc>
          <w:tcPr>
            <w:tcW w:w="8092" w:type="dxa"/>
          </w:tcPr>
          <w:p w14:paraId="7A2DA667" w14:textId="77777777" w:rsidR="0010519E" w:rsidRPr="00612715" w:rsidRDefault="0010519E" w:rsidP="00612715">
            <w:pPr>
              <w:spacing w:after="0" w:line="360" w:lineRule="auto"/>
              <w:rPr>
                <w:rFonts w:ascii="Arial" w:hAnsi="Arial" w:cs="Arial"/>
                <w:sz w:val="24"/>
                <w:lang w:val="en-GB"/>
              </w:rPr>
            </w:pPr>
            <w:r w:rsidRPr="00612715">
              <w:rPr>
                <w:rFonts w:ascii="Arial" w:hAnsi="Arial" w:cs="Arial"/>
                <w:sz w:val="24"/>
                <w:lang w:val="en-GB"/>
              </w:rPr>
              <w:t>No physical attacks to twin or witnessed to others.</w:t>
            </w:r>
          </w:p>
        </w:tc>
      </w:tr>
    </w:tbl>
    <w:p w14:paraId="26334723" w14:textId="77777777" w:rsidR="0010519E" w:rsidRPr="002D4CBF" w:rsidRDefault="0010519E" w:rsidP="002D4CBF">
      <w:pPr>
        <w:spacing w:line="240" w:lineRule="auto"/>
        <w:rPr>
          <w:rFonts w:ascii="Arial" w:hAnsi="Arial" w:cs="Arial"/>
          <w:b/>
          <w:sz w:val="24"/>
          <w:lang w:val="en-GB"/>
        </w:rPr>
      </w:pPr>
      <w:r w:rsidRPr="002D4CBF">
        <w:rPr>
          <w:rFonts w:ascii="Arial" w:hAnsi="Arial" w:cs="Arial"/>
          <w:i/>
          <w:sz w:val="24"/>
          <w:lang w:val="en-GB"/>
        </w:rPr>
        <w:t>Note:</w:t>
      </w:r>
      <w:r w:rsidRPr="002D4CBF">
        <w:rPr>
          <w:rFonts w:ascii="Arial" w:hAnsi="Arial" w:cs="Arial"/>
          <w:b/>
          <w:sz w:val="24"/>
          <w:lang w:val="en-GB"/>
        </w:rPr>
        <w:t xml:space="preserve"> </w:t>
      </w:r>
      <w:r w:rsidRPr="002D4CBF">
        <w:rPr>
          <w:rFonts w:ascii="Arial" w:hAnsi="Arial" w:cs="Arial"/>
          <w:sz w:val="24"/>
          <w:lang w:val="en-GB"/>
        </w:rPr>
        <w:t xml:space="preserve">In cases where </w:t>
      </w:r>
      <w:proofErr w:type="gramStart"/>
      <w:r w:rsidRPr="002D4CBF">
        <w:rPr>
          <w:rFonts w:ascii="Arial" w:hAnsi="Arial" w:cs="Arial"/>
          <w:sz w:val="24"/>
          <w:lang w:val="en-GB"/>
        </w:rPr>
        <w:t>no description is provided by the participant of the event or research</w:t>
      </w:r>
      <w:proofErr w:type="gramEnd"/>
      <w:r w:rsidRPr="002D4CBF">
        <w:rPr>
          <w:rFonts w:ascii="Arial" w:hAnsi="Arial" w:cs="Arial"/>
          <w:sz w:val="24"/>
          <w:lang w:val="en-GB"/>
        </w:rPr>
        <w:t xml:space="preserve"> interviewer has not provided any notes then use the item description, whether the physical injury item was endorsed and the number of years of occurrence to guide rating.</w:t>
      </w:r>
    </w:p>
    <w:p w14:paraId="183CD09A" w14:textId="77777777" w:rsidR="0010519E" w:rsidRPr="002D4CBF" w:rsidRDefault="0010519E" w:rsidP="002D4CBF">
      <w:pPr>
        <w:spacing w:line="240" w:lineRule="auto"/>
        <w:rPr>
          <w:rFonts w:ascii="Arial" w:hAnsi="Arial" w:cs="Arial"/>
          <w:sz w:val="24"/>
          <w:lang w:val="en-GB"/>
        </w:rPr>
      </w:pPr>
      <w:proofErr w:type="spellStart"/>
      <w:proofErr w:type="gramStart"/>
      <w:r w:rsidRPr="004C2688">
        <w:rPr>
          <w:rFonts w:ascii="Arial" w:hAnsi="Arial" w:cs="Arial"/>
          <w:i/>
          <w:sz w:val="24"/>
          <w:vertAlign w:val="superscript"/>
          <w:lang w:val="en-GB"/>
        </w:rPr>
        <w:t>a</w:t>
      </w:r>
      <w:r w:rsidRPr="004C2688">
        <w:rPr>
          <w:rFonts w:ascii="Arial" w:hAnsi="Arial" w:cs="Arial"/>
          <w:sz w:val="24"/>
          <w:lang w:val="en-GB"/>
        </w:rPr>
        <w:t>Adapted</w:t>
      </w:r>
      <w:proofErr w:type="spellEnd"/>
      <w:proofErr w:type="gramEnd"/>
      <w:r w:rsidRPr="004C2688">
        <w:rPr>
          <w:rFonts w:ascii="Arial" w:hAnsi="Arial" w:cs="Arial"/>
          <w:sz w:val="24"/>
          <w:lang w:val="en-GB"/>
        </w:rPr>
        <w:t xml:space="preserve"> from </w:t>
      </w:r>
      <w:r w:rsidRPr="00EF4473">
        <w:rPr>
          <w:rFonts w:ascii="Arial" w:hAnsi="Arial" w:cs="Arial"/>
          <w:i/>
          <w:sz w:val="24"/>
          <w:lang w:val="en-GB"/>
        </w:rPr>
        <w:t>Childhood Experience of Care and Abuse (CECA) Training Manual</w:t>
      </w:r>
      <w:r w:rsidRPr="004C2688">
        <w:rPr>
          <w:rFonts w:ascii="Arial" w:hAnsi="Arial" w:cs="Arial"/>
          <w:sz w:val="24"/>
          <w:lang w:val="en-GB"/>
        </w:rPr>
        <w:t xml:space="preserve"> by A. </w:t>
      </w:r>
      <w:proofErr w:type="spellStart"/>
      <w:r w:rsidRPr="004C2688">
        <w:rPr>
          <w:rFonts w:ascii="Arial" w:hAnsi="Arial" w:cs="Arial"/>
          <w:sz w:val="24"/>
          <w:lang w:val="en-GB"/>
        </w:rPr>
        <w:t>Bifulco</w:t>
      </w:r>
      <w:proofErr w:type="spellEnd"/>
      <w:r w:rsidRPr="004C2688">
        <w:rPr>
          <w:rFonts w:ascii="Arial" w:hAnsi="Arial" w:cs="Arial"/>
          <w:sz w:val="24"/>
          <w:lang w:val="en-GB"/>
        </w:rPr>
        <w:t xml:space="preserve">, G. W. Brown, A. </w:t>
      </w:r>
      <w:proofErr w:type="spellStart"/>
      <w:r w:rsidRPr="004C2688">
        <w:rPr>
          <w:rFonts w:ascii="Arial" w:hAnsi="Arial" w:cs="Arial"/>
          <w:sz w:val="24"/>
          <w:lang w:val="en-GB"/>
        </w:rPr>
        <w:t>Neubauer</w:t>
      </w:r>
      <w:proofErr w:type="spellEnd"/>
      <w:r w:rsidRPr="004C2688">
        <w:rPr>
          <w:rFonts w:ascii="Arial" w:hAnsi="Arial" w:cs="Arial"/>
          <w:sz w:val="24"/>
          <w:lang w:val="en-GB"/>
        </w:rPr>
        <w:t xml:space="preserve">, P. Moran, and T. Harris, 1994, London: Royal Holloway College, University of London. </w:t>
      </w:r>
      <w:proofErr w:type="gramStart"/>
      <w:r w:rsidRPr="004C2688">
        <w:rPr>
          <w:rFonts w:ascii="Arial" w:hAnsi="Arial" w:cs="Arial"/>
          <w:sz w:val="24"/>
          <w:lang w:val="en-GB"/>
        </w:rPr>
        <w:t>Copyright 1994 by Royal Holloway College, University of London.</w:t>
      </w:r>
      <w:proofErr w:type="gramEnd"/>
      <w:r w:rsidRPr="004C2688">
        <w:rPr>
          <w:rFonts w:ascii="Arial" w:hAnsi="Arial" w:cs="Arial"/>
          <w:sz w:val="24"/>
          <w:lang w:val="en-GB"/>
        </w:rPr>
        <w:t xml:space="preserve"> Adapted with permission.</w:t>
      </w:r>
    </w:p>
    <w:p w14:paraId="701B50FA" w14:textId="77777777" w:rsidR="0010519E" w:rsidRPr="00EF4473" w:rsidRDefault="0010519E" w:rsidP="002D4CBF">
      <w:pPr>
        <w:tabs>
          <w:tab w:val="left" w:pos="3945"/>
        </w:tabs>
        <w:spacing w:after="0" w:line="240" w:lineRule="auto"/>
        <w:rPr>
          <w:rFonts w:cs="Arial"/>
          <w:lang w:val="en-GB"/>
        </w:rPr>
      </w:pPr>
    </w:p>
    <w:sectPr w:rsidR="0010519E" w:rsidRPr="00EF4473" w:rsidSect="00B17B6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CBA09" w14:textId="77777777" w:rsidR="0010519E" w:rsidRDefault="0010519E" w:rsidP="00295147">
      <w:pPr>
        <w:spacing w:after="0" w:line="240" w:lineRule="auto"/>
      </w:pPr>
      <w:r>
        <w:separator/>
      </w:r>
    </w:p>
  </w:endnote>
  <w:endnote w:type="continuationSeparator" w:id="0">
    <w:p w14:paraId="46E495E1" w14:textId="77777777" w:rsidR="0010519E" w:rsidRDefault="0010519E" w:rsidP="0029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33343" w14:textId="77777777" w:rsidR="0010519E" w:rsidRDefault="001A5E1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19429764" w14:textId="77777777" w:rsidR="0010519E" w:rsidRDefault="0010519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E6707" w14:textId="77777777" w:rsidR="0010519E" w:rsidRDefault="0010519E" w:rsidP="00295147">
      <w:pPr>
        <w:spacing w:after="0" w:line="240" w:lineRule="auto"/>
      </w:pPr>
      <w:r>
        <w:separator/>
      </w:r>
    </w:p>
  </w:footnote>
  <w:footnote w:type="continuationSeparator" w:id="0">
    <w:p w14:paraId="65635F45" w14:textId="77777777" w:rsidR="0010519E" w:rsidRDefault="0010519E" w:rsidP="0029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624F"/>
    <w:multiLevelType w:val="hybridMultilevel"/>
    <w:tmpl w:val="78B669A6"/>
    <w:lvl w:ilvl="0" w:tplc="9230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C8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6B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AA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4A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EC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E6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06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CD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CA2"/>
    <w:rsid w:val="00053FC8"/>
    <w:rsid w:val="000F6976"/>
    <w:rsid w:val="0010519E"/>
    <w:rsid w:val="001A5E11"/>
    <w:rsid w:val="001C1887"/>
    <w:rsid w:val="00293EBD"/>
    <w:rsid w:val="00295147"/>
    <w:rsid w:val="002D4CBF"/>
    <w:rsid w:val="00344E98"/>
    <w:rsid w:val="003851E5"/>
    <w:rsid w:val="00414B66"/>
    <w:rsid w:val="004634E8"/>
    <w:rsid w:val="004B4A53"/>
    <w:rsid w:val="004C2688"/>
    <w:rsid w:val="00517432"/>
    <w:rsid w:val="005558BF"/>
    <w:rsid w:val="00612715"/>
    <w:rsid w:val="00681172"/>
    <w:rsid w:val="00682A99"/>
    <w:rsid w:val="006B7510"/>
    <w:rsid w:val="006D10A8"/>
    <w:rsid w:val="00754835"/>
    <w:rsid w:val="00782FE0"/>
    <w:rsid w:val="008507D9"/>
    <w:rsid w:val="008561CE"/>
    <w:rsid w:val="00866BAB"/>
    <w:rsid w:val="0089613F"/>
    <w:rsid w:val="0092780B"/>
    <w:rsid w:val="0093462C"/>
    <w:rsid w:val="00980CA2"/>
    <w:rsid w:val="009876C4"/>
    <w:rsid w:val="009C635F"/>
    <w:rsid w:val="00AA4EF0"/>
    <w:rsid w:val="00AE5A06"/>
    <w:rsid w:val="00AF3059"/>
    <w:rsid w:val="00B17B6C"/>
    <w:rsid w:val="00B71448"/>
    <w:rsid w:val="00BA32C6"/>
    <w:rsid w:val="00BD621D"/>
    <w:rsid w:val="00C369EA"/>
    <w:rsid w:val="00D75C0F"/>
    <w:rsid w:val="00DD40F6"/>
    <w:rsid w:val="00EA671A"/>
    <w:rsid w:val="00EF4473"/>
    <w:rsid w:val="00F23C12"/>
    <w:rsid w:val="00F9295D"/>
    <w:rsid w:val="00FB53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69F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B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1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95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4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95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0B"/>
    <w:rPr>
      <w:rFonts w:ascii="Tahoma" w:hAnsi="Tahoma" w:cs="Tahoma"/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962</Words>
  <Characters>5486</Characters>
  <Application>Microsoft Macintosh Word</Application>
  <DocSecurity>0</DocSecurity>
  <Lines>45</Lines>
  <Paragraphs>12</Paragraphs>
  <ScaleCrop>false</ScaleCrop>
  <Company>Institute of Psychiatry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Helen</dc:creator>
  <cp:keywords/>
  <cp:lastModifiedBy>Nancy BriggsShearer</cp:lastModifiedBy>
  <cp:revision>5</cp:revision>
  <dcterms:created xsi:type="dcterms:W3CDTF">2015-09-01T21:03:00Z</dcterms:created>
  <dcterms:modified xsi:type="dcterms:W3CDTF">2015-09-01T21:21:00Z</dcterms:modified>
</cp:coreProperties>
</file>