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6492" w14:textId="77777777" w:rsidR="00035505" w:rsidRPr="004A2EBE" w:rsidRDefault="00D90D86" w:rsidP="00D90D8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Supplemental Material</w:t>
      </w:r>
    </w:p>
    <w:p w14:paraId="034F249C" w14:textId="77777777" w:rsidR="00035505" w:rsidRPr="004A2EBE" w:rsidRDefault="00035505" w:rsidP="00035505">
      <w:pPr>
        <w:spacing w:line="480" w:lineRule="auto"/>
        <w:contextualSpacing/>
        <w:rPr>
          <w:rFonts w:ascii="Times New Roman" w:hAnsi="Times New Roman" w:cs="Times New Roman"/>
          <w:i/>
          <w:sz w:val="24"/>
          <w:szCs w:val="24"/>
        </w:rPr>
      </w:pPr>
      <w:r w:rsidRPr="004A2EBE">
        <w:rPr>
          <w:rFonts w:ascii="Times New Roman" w:hAnsi="Times New Roman" w:cs="Times New Roman"/>
          <w:i/>
          <w:sz w:val="24"/>
          <w:szCs w:val="24"/>
        </w:rPr>
        <w:t>S</w:t>
      </w:r>
      <w:r w:rsidR="002B1158">
        <w:rPr>
          <w:rFonts w:ascii="Times New Roman" w:hAnsi="Times New Roman" w:cs="Times New Roman"/>
          <w:i/>
          <w:sz w:val="24"/>
          <w:szCs w:val="24"/>
        </w:rPr>
        <w:t>.</w:t>
      </w:r>
      <w:r w:rsidRPr="004A2EBE">
        <w:rPr>
          <w:rFonts w:ascii="Times New Roman" w:hAnsi="Times New Roman" w:cs="Times New Roman"/>
          <w:i/>
          <w:sz w:val="24"/>
          <w:szCs w:val="24"/>
        </w:rPr>
        <w:t xml:space="preserve">1: Time-Varying Control Covariates Measured at </w:t>
      </w:r>
      <w:r w:rsidR="002B1158">
        <w:rPr>
          <w:rFonts w:ascii="Times New Roman" w:hAnsi="Times New Roman" w:cs="Times New Roman"/>
          <w:i/>
          <w:color w:val="000000" w:themeColor="text1"/>
          <w:sz w:val="24"/>
          <w:szCs w:val="24"/>
        </w:rPr>
        <w:t xml:space="preserve">7, 15, and 24 </w:t>
      </w:r>
      <w:bookmarkStart w:id="0" w:name="_GoBack"/>
      <w:bookmarkEnd w:id="0"/>
      <w:r w:rsidRPr="004A2EBE">
        <w:rPr>
          <w:rFonts w:ascii="Times New Roman" w:hAnsi="Times New Roman" w:cs="Times New Roman"/>
          <w:i/>
          <w:color w:val="000000" w:themeColor="text1"/>
          <w:sz w:val="24"/>
          <w:szCs w:val="24"/>
        </w:rPr>
        <w:t>months of age</w:t>
      </w:r>
    </w:p>
    <w:p w14:paraId="0E3C39E9" w14:textId="77777777" w:rsidR="00035505" w:rsidRPr="004A2EBE" w:rsidRDefault="00035505" w:rsidP="00035505">
      <w:pPr>
        <w:spacing w:line="480" w:lineRule="auto"/>
        <w:ind w:firstLine="720"/>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 xml:space="preserve">Family income-to-needs level was also measured, based on primary-caregiver self-report of household income, divided by the poverty threshold for family size. Child prescription or over-the-counter medication use was dummy-coded (0= no, 1 = yes). Time of day was measured on a 24-hour clock. The passage of time was measured in years, centered on 7 months. </w:t>
      </w:r>
    </w:p>
    <w:p w14:paraId="37864CD4" w14:textId="77777777" w:rsidR="00035505" w:rsidRPr="004A2EBE" w:rsidRDefault="00035505" w:rsidP="00035505">
      <w:pPr>
        <w:spacing w:line="480" w:lineRule="auto"/>
        <w:contextualSpacing/>
        <w:rPr>
          <w:rFonts w:ascii="Times New Roman" w:hAnsi="Times New Roman" w:cs="Times New Roman"/>
          <w:sz w:val="24"/>
          <w:szCs w:val="24"/>
        </w:rPr>
      </w:pPr>
      <w:r w:rsidRPr="004A2EBE">
        <w:rPr>
          <w:rFonts w:ascii="Times New Roman" w:hAnsi="Times New Roman" w:cs="Times New Roman"/>
          <w:sz w:val="24"/>
          <w:szCs w:val="24"/>
        </w:rPr>
        <w:t>Time-Invariant Control Covariates:</w:t>
      </w:r>
    </w:p>
    <w:p w14:paraId="363E3FCD" w14:textId="77777777" w:rsidR="00035505" w:rsidRPr="004A2EBE" w:rsidRDefault="00035505" w:rsidP="00035505">
      <w:pPr>
        <w:spacing w:line="480" w:lineRule="auto"/>
        <w:ind w:firstLine="720"/>
        <w:contextualSpacing/>
        <w:rPr>
          <w:rFonts w:ascii="Times New Roman" w:hAnsi="Times New Roman" w:cs="Times New Roman"/>
          <w:sz w:val="24"/>
          <w:szCs w:val="24"/>
        </w:rPr>
      </w:pPr>
      <w:r w:rsidRPr="004A2EBE">
        <w:rPr>
          <w:rFonts w:ascii="Times New Roman" w:hAnsi="Times New Roman" w:cs="Times New Roman"/>
          <w:sz w:val="24"/>
          <w:szCs w:val="24"/>
        </w:rPr>
        <w:t>The following demographic information at 2 months of age: education level (years)</w:t>
      </w:r>
      <w:proofErr w:type="gramStart"/>
      <w:r w:rsidRPr="004A2EBE">
        <w:rPr>
          <w:rFonts w:ascii="Times New Roman" w:hAnsi="Times New Roman" w:cs="Times New Roman"/>
          <w:sz w:val="24"/>
          <w:szCs w:val="24"/>
        </w:rPr>
        <w:t>;  marital</w:t>
      </w:r>
      <w:proofErr w:type="gramEnd"/>
      <w:r w:rsidRPr="004A2EBE">
        <w:rPr>
          <w:rFonts w:ascii="Times New Roman" w:hAnsi="Times New Roman" w:cs="Times New Roman"/>
          <w:sz w:val="24"/>
          <w:szCs w:val="24"/>
        </w:rPr>
        <w:t xml:space="preserve"> status (0 = non-married, 1 = married), education level (years).  </w:t>
      </w:r>
    </w:p>
    <w:p w14:paraId="0D226CB3" w14:textId="77777777" w:rsidR="00035505" w:rsidRPr="004A2EBE" w:rsidRDefault="00035505" w:rsidP="00035505">
      <w:pPr>
        <w:spacing w:line="480" w:lineRule="auto"/>
        <w:ind w:firstLine="720"/>
        <w:contextualSpacing/>
        <w:rPr>
          <w:rFonts w:ascii="Times New Roman" w:hAnsi="Times New Roman" w:cs="Times New Roman"/>
          <w:sz w:val="24"/>
          <w:szCs w:val="24"/>
        </w:rPr>
      </w:pPr>
      <w:r w:rsidRPr="004A2EBE">
        <w:rPr>
          <w:rFonts w:ascii="Times New Roman" w:hAnsi="Times New Roman" w:cs="Times New Roman"/>
          <w:sz w:val="24"/>
          <w:szCs w:val="24"/>
        </w:rPr>
        <w:t xml:space="preserve">At 2 months of age, primary-caregiver functional reading ability was included as a control and measured using the </w:t>
      </w:r>
      <w:r w:rsidRPr="004A2EBE">
        <w:rPr>
          <w:rFonts w:ascii="Times New Roman" w:hAnsi="Times New Roman" w:cs="Times New Roman"/>
          <w:i/>
          <w:sz w:val="24"/>
          <w:szCs w:val="24"/>
        </w:rPr>
        <w:t>KFAST</w:t>
      </w:r>
      <w:r w:rsidRPr="004A2EBE">
        <w:rPr>
          <w:rFonts w:ascii="Times New Roman" w:hAnsi="Times New Roman" w:cs="Times New Roman"/>
          <w:sz w:val="24"/>
          <w:szCs w:val="24"/>
        </w:rPr>
        <w:t xml:space="preserve"> literacy screener (Kaufman &amp; Kaufman, 1994) a standardized measure of functional literacy. Higher scores indicate better reading skills. Reliability and validity of the </w:t>
      </w:r>
      <w:r w:rsidRPr="004A2EBE">
        <w:rPr>
          <w:rFonts w:ascii="Times New Roman" w:hAnsi="Times New Roman" w:cs="Times New Roman"/>
          <w:i/>
          <w:sz w:val="24"/>
          <w:szCs w:val="24"/>
        </w:rPr>
        <w:t>KFAST</w:t>
      </w:r>
      <w:r w:rsidRPr="004A2EBE">
        <w:rPr>
          <w:rFonts w:ascii="Times New Roman" w:hAnsi="Times New Roman" w:cs="Times New Roman"/>
          <w:sz w:val="24"/>
          <w:szCs w:val="24"/>
        </w:rPr>
        <w:t xml:space="preserve"> are well established (Flanagan et al., 1997). </w:t>
      </w:r>
    </w:p>
    <w:p w14:paraId="7CB0BE9A" w14:textId="77777777" w:rsidR="00035505" w:rsidRPr="004A2EBE" w:rsidRDefault="00035505" w:rsidP="00035505">
      <w:pPr>
        <w:spacing w:line="480" w:lineRule="auto"/>
        <w:ind w:firstLine="720"/>
        <w:contextualSpacing/>
        <w:rPr>
          <w:rFonts w:ascii="Times New Roman" w:hAnsi="Times New Roman" w:cs="Times New Roman"/>
          <w:sz w:val="24"/>
          <w:szCs w:val="24"/>
        </w:rPr>
      </w:pPr>
      <w:r w:rsidRPr="004A2EBE">
        <w:rPr>
          <w:rFonts w:ascii="Times New Roman" w:hAnsi="Times New Roman" w:cs="Times New Roman"/>
          <w:sz w:val="24"/>
          <w:szCs w:val="24"/>
        </w:rPr>
        <w:t xml:space="preserve">Primary caregiver depression and anxiety levels were based on self-reports on the </w:t>
      </w:r>
      <w:r w:rsidRPr="004A2EBE">
        <w:rPr>
          <w:rFonts w:ascii="Times New Roman" w:hAnsi="Times New Roman" w:cs="Times New Roman"/>
          <w:i/>
          <w:sz w:val="24"/>
          <w:szCs w:val="24"/>
        </w:rPr>
        <w:t>Brief Symptom Inventory-18</w:t>
      </w:r>
      <w:r w:rsidRPr="004A2EBE">
        <w:rPr>
          <w:rFonts w:ascii="Times New Roman" w:hAnsi="Times New Roman" w:cs="Times New Roman"/>
          <w:sz w:val="24"/>
          <w:szCs w:val="24"/>
        </w:rPr>
        <w:t xml:space="preserve"> (BSI-18; </w:t>
      </w:r>
      <w:proofErr w:type="spellStart"/>
      <w:r w:rsidRPr="004A2EBE">
        <w:rPr>
          <w:rFonts w:ascii="Times New Roman" w:hAnsi="Times New Roman" w:cs="Times New Roman"/>
          <w:sz w:val="24"/>
          <w:szCs w:val="24"/>
        </w:rPr>
        <w:t>Derogatis</w:t>
      </w:r>
      <w:proofErr w:type="spellEnd"/>
      <w:r w:rsidRPr="004A2EBE">
        <w:rPr>
          <w:rFonts w:ascii="Times New Roman" w:hAnsi="Times New Roman" w:cs="Times New Roman"/>
          <w:sz w:val="24"/>
          <w:szCs w:val="24"/>
        </w:rPr>
        <w:t xml:space="preserve">, 2000), a short, highly sensitive, self-report screening index for psychological distress. Each scale was based on the mean of 6 items and standardized per </w:t>
      </w:r>
      <w:proofErr w:type="spellStart"/>
      <w:r w:rsidRPr="004A2EBE">
        <w:rPr>
          <w:rFonts w:ascii="Times New Roman" w:hAnsi="Times New Roman" w:cs="Times New Roman"/>
          <w:sz w:val="24"/>
          <w:szCs w:val="24"/>
        </w:rPr>
        <w:t>Derogatis</w:t>
      </w:r>
      <w:proofErr w:type="spellEnd"/>
      <w:r w:rsidRPr="004A2EBE">
        <w:rPr>
          <w:rFonts w:ascii="Times New Roman" w:hAnsi="Times New Roman" w:cs="Times New Roman"/>
          <w:sz w:val="24"/>
          <w:szCs w:val="24"/>
        </w:rPr>
        <w:t xml:space="preserve"> (2000) to create a t-score. Higher scores indicate more problematic symptomology. Published internal consistency reliability (α) for the Depression and Anxiety scales are .84 and .79, respectively.  </w:t>
      </w:r>
    </w:p>
    <w:p w14:paraId="238D2743" w14:textId="77777777" w:rsidR="00035505" w:rsidRPr="004A2EBE" w:rsidRDefault="00035505" w:rsidP="00035505">
      <w:pPr>
        <w:spacing w:line="480" w:lineRule="auto"/>
        <w:ind w:firstLine="720"/>
        <w:contextualSpacing/>
        <w:rPr>
          <w:rFonts w:ascii="Times New Roman" w:hAnsi="Times New Roman" w:cs="Times New Roman"/>
          <w:sz w:val="24"/>
          <w:szCs w:val="24"/>
        </w:rPr>
      </w:pPr>
      <w:r w:rsidRPr="004A2EBE">
        <w:rPr>
          <w:rFonts w:ascii="Times New Roman" w:hAnsi="Times New Roman" w:cs="Times New Roman"/>
          <w:sz w:val="24"/>
          <w:szCs w:val="24"/>
        </w:rPr>
        <w:t xml:space="preserve">Two-month child covariates include child’s birth weight (kg), gender (1 = male), race (1 = African American), and observation site (1 = NC). </w:t>
      </w:r>
    </w:p>
    <w:p w14:paraId="7927FEFE" w14:textId="77777777" w:rsidR="00035505" w:rsidRPr="004A2EBE" w:rsidRDefault="00035505" w:rsidP="00035505">
      <w:pPr>
        <w:spacing w:line="480" w:lineRule="auto"/>
        <w:ind w:firstLine="720"/>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 xml:space="preserve">Mean values of each of the respective time-varying predictors over time were calculated and included as time-invariant control covariates. </w:t>
      </w:r>
    </w:p>
    <w:p w14:paraId="0E6E4552" w14:textId="77777777" w:rsidR="00035505" w:rsidRPr="004A2EBE" w:rsidRDefault="00035505" w:rsidP="00035505">
      <w:pPr>
        <w:spacing w:line="480" w:lineRule="auto"/>
        <w:contextualSpacing/>
        <w:rPr>
          <w:rFonts w:ascii="Times New Roman" w:hAnsi="Times New Roman" w:cs="Times New Roman"/>
          <w:i/>
          <w:color w:val="000000" w:themeColor="text1"/>
          <w:sz w:val="24"/>
          <w:szCs w:val="24"/>
        </w:rPr>
      </w:pPr>
      <w:r w:rsidRPr="004A2EBE">
        <w:rPr>
          <w:rFonts w:ascii="Times New Roman" w:hAnsi="Times New Roman" w:cs="Times New Roman"/>
          <w:i/>
          <w:color w:val="000000" w:themeColor="text1"/>
          <w:sz w:val="24"/>
          <w:szCs w:val="24"/>
        </w:rPr>
        <w:lastRenderedPageBreak/>
        <w:t>Selection Predictors included in Generaliz</w:t>
      </w:r>
      <w:r w:rsidR="00D90D86">
        <w:rPr>
          <w:rFonts w:ascii="Times New Roman" w:hAnsi="Times New Roman" w:cs="Times New Roman"/>
          <w:i/>
          <w:color w:val="000000" w:themeColor="text1"/>
          <w:sz w:val="24"/>
          <w:szCs w:val="24"/>
        </w:rPr>
        <w:t>ed Propensity Score (GPS) Model</w:t>
      </w:r>
    </w:p>
    <w:p w14:paraId="376615C2" w14:textId="77777777" w:rsidR="00035505" w:rsidRPr="004A2EBE" w:rsidRDefault="00035505" w:rsidP="00035505">
      <w:pPr>
        <w:spacing w:line="480" w:lineRule="auto"/>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 xml:space="preserve">All control time-invariant control covariates listed above were included in the GPS Model </w:t>
      </w:r>
    </w:p>
    <w:p w14:paraId="625D8B71" w14:textId="77777777" w:rsidR="00035505" w:rsidRPr="004A2EBE" w:rsidRDefault="00035505" w:rsidP="00035505">
      <w:pPr>
        <w:spacing w:line="480" w:lineRule="auto"/>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Additional Measures at 2 months (Maternal Self-Report):</w:t>
      </w:r>
    </w:p>
    <w:p w14:paraId="39BB5155" w14:textId="77777777" w:rsidR="00035505" w:rsidRPr="004A2EBE" w:rsidRDefault="00035505" w:rsidP="00035505">
      <w:pPr>
        <w:spacing w:line="480" w:lineRule="auto"/>
        <w:ind w:firstLine="720"/>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Mother’s first child is target child (0 -1), Mothers age at first child (years); Mother has asthma (0 – 1); Mother had ADD (0-1); Mother had learning disability(0-1);  Mother ever repeated a grade (0-1); Mother has High Blood Pressure (0-1); Mother is overweight (0-1); Mother has diabetes (0-1);  Mother has had miscarriage (0-1); Mother smoked during pregnancy with target child (0-1); Mother had happy pregnancy (0-1); Mother has emotional problems (0-1); Mother has family problems (0-1); Mother weekly work hours (hours);  Mother receives WIC (0-1); Mother receives TANF; Mother receives SNAP</w:t>
      </w:r>
      <w:r w:rsidR="002D4B07">
        <w:rPr>
          <w:rFonts w:ascii="Times New Roman" w:hAnsi="Times New Roman" w:cs="Times New Roman"/>
          <w:color w:val="000000" w:themeColor="text1"/>
          <w:sz w:val="24"/>
          <w:szCs w:val="24"/>
        </w:rPr>
        <w:t xml:space="preserve"> </w:t>
      </w:r>
      <w:r w:rsidRPr="004A2EBE">
        <w:rPr>
          <w:rFonts w:ascii="Times New Roman" w:hAnsi="Times New Roman" w:cs="Times New Roman"/>
          <w:color w:val="000000" w:themeColor="text1"/>
          <w:sz w:val="24"/>
          <w:szCs w:val="24"/>
        </w:rPr>
        <w:t xml:space="preserve">(food stamps; 0-1); Mother receives childcare subsidy (0-1); Mother breast feeds (0-1); Hours TV is on in the house (hours); </w:t>
      </w:r>
    </w:p>
    <w:p w14:paraId="622BF734" w14:textId="77777777" w:rsidR="00035505" w:rsidRPr="004A2EBE" w:rsidRDefault="00035505" w:rsidP="00035505">
      <w:pPr>
        <w:spacing w:line="480" w:lineRule="auto"/>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 xml:space="preserve">Other: </w:t>
      </w:r>
    </w:p>
    <w:p w14:paraId="4BB7711D" w14:textId="77777777" w:rsidR="00035505" w:rsidRPr="004A2EBE" w:rsidRDefault="00035505" w:rsidP="00035505">
      <w:pPr>
        <w:spacing w:line="480" w:lineRule="auto"/>
        <w:ind w:firstLine="720"/>
        <w:contextualSpacing/>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t>Child Head Circumference (cm)</w:t>
      </w:r>
    </w:p>
    <w:p w14:paraId="577B3C9A" w14:textId="77777777" w:rsidR="00035505" w:rsidRPr="004A2EBE" w:rsidRDefault="00035505" w:rsidP="00035505">
      <w:pPr>
        <w:rPr>
          <w:rFonts w:ascii="Times New Roman" w:hAnsi="Times New Roman" w:cs="Times New Roman"/>
          <w:color w:val="000000" w:themeColor="text1"/>
          <w:sz w:val="24"/>
          <w:szCs w:val="24"/>
        </w:rPr>
      </w:pPr>
      <w:r w:rsidRPr="004A2EBE">
        <w:rPr>
          <w:rFonts w:ascii="Times New Roman" w:hAnsi="Times New Roman" w:cs="Times New Roman"/>
          <w:color w:val="000000" w:themeColor="text1"/>
          <w:sz w:val="24"/>
          <w:szCs w:val="24"/>
        </w:rPr>
        <w:br w:type="page"/>
      </w:r>
    </w:p>
    <w:p w14:paraId="2DD0BC55" w14:textId="77777777" w:rsidR="00035505" w:rsidRPr="004A2EBE" w:rsidRDefault="00035505" w:rsidP="00035505">
      <w:pPr>
        <w:autoSpaceDE w:val="0"/>
        <w:autoSpaceDN w:val="0"/>
        <w:adjustRightInd w:val="0"/>
        <w:spacing w:line="480" w:lineRule="auto"/>
        <w:contextualSpacing/>
        <w:rPr>
          <w:rFonts w:ascii="Times New Roman" w:hAnsi="Times New Roman" w:cs="Times New Roman"/>
          <w:sz w:val="24"/>
          <w:szCs w:val="24"/>
        </w:rPr>
      </w:pPr>
      <w:r w:rsidRPr="004A2EBE">
        <w:rPr>
          <w:rFonts w:ascii="Times New Roman" w:hAnsi="Times New Roman" w:cs="Times New Roman"/>
          <w:i/>
          <w:sz w:val="24"/>
          <w:szCs w:val="24"/>
        </w:rPr>
        <w:lastRenderedPageBreak/>
        <w:t>S</w:t>
      </w:r>
      <w:r w:rsidR="002B1158">
        <w:rPr>
          <w:rFonts w:ascii="Times New Roman" w:hAnsi="Times New Roman" w:cs="Times New Roman"/>
          <w:i/>
          <w:sz w:val="24"/>
          <w:szCs w:val="24"/>
        </w:rPr>
        <w:t>.</w:t>
      </w:r>
      <w:r w:rsidRPr="004A2EBE">
        <w:rPr>
          <w:rFonts w:ascii="Times New Roman" w:hAnsi="Times New Roman" w:cs="Times New Roman"/>
          <w:i/>
          <w:sz w:val="24"/>
          <w:szCs w:val="24"/>
        </w:rPr>
        <w:t>2: Description of Generalized Propensity Score Approach</w:t>
      </w:r>
    </w:p>
    <w:p w14:paraId="3BD5E14B" w14:textId="77777777" w:rsidR="00035505" w:rsidRPr="004A2EBE" w:rsidRDefault="00035505" w:rsidP="00035505">
      <w:pPr>
        <w:autoSpaceDE w:val="0"/>
        <w:autoSpaceDN w:val="0"/>
        <w:adjustRightInd w:val="0"/>
        <w:spacing w:line="480" w:lineRule="auto"/>
        <w:ind w:firstLine="720"/>
        <w:contextualSpacing/>
        <w:rPr>
          <w:rFonts w:ascii="Times New Roman" w:hAnsi="Times New Roman" w:cs="Times New Roman"/>
          <w:sz w:val="24"/>
          <w:szCs w:val="24"/>
        </w:rPr>
      </w:pPr>
      <w:proofErr w:type="gramStart"/>
      <w:r w:rsidRPr="004A2EBE">
        <w:rPr>
          <w:rFonts w:ascii="Times New Roman" w:hAnsi="Times New Roman" w:cs="Times New Roman"/>
          <w:sz w:val="24"/>
          <w:szCs w:val="24"/>
        </w:rPr>
        <w:t xml:space="preserve">The logic behind inversed probability weights is informed by the </w:t>
      </w:r>
      <w:r w:rsidRPr="004A2EBE">
        <w:rPr>
          <w:rFonts w:ascii="Times New Roman" w:hAnsi="Times New Roman" w:cs="Times New Roman"/>
          <w:i/>
          <w:sz w:val="24"/>
          <w:szCs w:val="24"/>
        </w:rPr>
        <w:t xml:space="preserve">Potential Outcomes </w:t>
      </w:r>
      <w:r w:rsidRPr="004A2EBE">
        <w:rPr>
          <w:rFonts w:ascii="Times New Roman" w:hAnsi="Times New Roman" w:cs="Times New Roman"/>
          <w:sz w:val="24"/>
          <w:szCs w:val="24"/>
        </w:rPr>
        <w:t>framework of causality</w:t>
      </w:r>
      <w:proofErr w:type="gramEnd"/>
      <w:r w:rsidRPr="004A2EBE">
        <w:rPr>
          <w:rFonts w:ascii="Times New Roman" w:hAnsi="Times New Roman" w:cs="Times New Roman"/>
          <w:sz w:val="24"/>
          <w:szCs w:val="24"/>
        </w:rPr>
        <w:t xml:space="preserve"> (Rubin, 1974</w:t>
      </w:r>
      <w:r>
        <w:rPr>
          <w:rFonts w:ascii="Times New Roman" w:hAnsi="Times New Roman" w:cs="Times New Roman"/>
          <w:sz w:val="24"/>
          <w:szCs w:val="24"/>
        </w:rPr>
        <w:t>, 2005</w:t>
      </w:r>
      <w:r w:rsidRPr="004A2EBE">
        <w:rPr>
          <w:rFonts w:ascii="Times New Roman" w:hAnsi="Times New Roman" w:cs="Times New Roman"/>
          <w:sz w:val="24"/>
          <w:szCs w:val="24"/>
        </w:rPr>
        <w:t>). For each child</w:t>
      </w:r>
      <w:r w:rsidRPr="004A2EBE">
        <w:rPr>
          <w:rFonts w:ascii="Times New Roman" w:hAnsi="Times New Roman" w:cs="Times New Roman"/>
          <w:i/>
          <w:sz w:val="24"/>
          <w:szCs w:val="24"/>
        </w:rPr>
        <w:t xml:space="preserve"> </w:t>
      </w:r>
      <w:proofErr w:type="spellStart"/>
      <w:r w:rsidRPr="004A2EBE">
        <w:rPr>
          <w:rFonts w:ascii="Times New Roman" w:hAnsi="Times New Roman" w:cs="Times New Roman"/>
          <w:i/>
          <w:sz w:val="24"/>
          <w:szCs w:val="24"/>
        </w:rPr>
        <w:t>i</w:t>
      </w:r>
      <w:proofErr w:type="spellEnd"/>
      <w:r w:rsidRPr="004A2EBE">
        <w:rPr>
          <w:rFonts w:ascii="Times New Roman" w:hAnsi="Times New Roman" w:cs="Times New Roman"/>
          <w:sz w:val="24"/>
          <w:szCs w:val="24"/>
        </w:rPr>
        <w:t xml:space="preserve"> there presumed to be is a set of outcomes </w:t>
      </w:r>
      <w:proofErr w:type="gramStart"/>
      <w:r w:rsidRPr="004A2EBE">
        <w:rPr>
          <w:rStyle w:val="Emphasis"/>
          <w:rFonts w:ascii="Times New Roman" w:hAnsi="Times New Roman" w:cs="Times New Roman"/>
          <w:sz w:val="24"/>
          <w:szCs w:val="24"/>
        </w:rPr>
        <w:t>Y</w:t>
      </w:r>
      <w:r w:rsidRPr="004A2EBE">
        <w:rPr>
          <w:rStyle w:val="Emphasis"/>
          <w:rFonts w:ascii="Times New Roman" w:hAnsi="Times New Roman" w:cs="Times New Roman"/>
          <w:sz w:val="24"/>
          <w:szCs w:val="24"/>
          <w:vertAlign w:val="subscript"/>
        </w:rPr>
        <w:t>i</w:t>
      </w:r>
      <w:r w:rsidRPr="004A2EBE">
        <w:rPr>
          <w:rFonts w:ascii="Times New Roman" w:hAnsi="Times New Roman" w:cs="Times New Roman"/>
          <w:sz w:val="24"/>
          <w:szCs w:val="24"/>
        </w:rPr>
        <w:t>(</w:t>
      </w:r>
      <w:proofErr w:type="gramEnd"/>
      <w:r w:rsidRPr="004A2EBE">
        <w:rPr>
          <w:rStyle w:val="Emphasis"/>
          <w:rFonts w:ascii="Times New Roman" w:hAnsi="Times New Roman" w:cs="Times New Roman"/>
          <w:sz w:val="24"/>
          <w:szCs w:val="24"/>
        </w:rPr>
        <w:t>t</w:t>
      </w:r>
      <w:r w:rsidRPr="004A2EBE">
        <w:rPr>
          <w:rFonts w:ascii="Times New Roman" w:hAnsi="Times New Roman" w:cs="Times New Roman"/>
          <w:sz w:val="24"/>
          <w:szCs w:val="24"/>
        </w:rPr>
        <w:t>) for a given level of treatment (</w:t>
      </w:r>
      <w:r w:rsidRPr="004A2EBE">
        <w:rPr>
          <w:rStyle w:val="Emphasis"/>
          <w:rFonts w:ascii="Times New Roman" w:hAnsi="Times New Roman" w:cs="Times New Roman"/>
          <w:sz w:val="24"/>
          <w:szCs w:val="24"/>
        </w:rPr>
        <w:t>t</w:t>
      </w:r>
      <w:r w:rsidRPr="004A2EBE">
        <w:rPr>
          <w:rFonts w:ascii="Times New Roman" w:hAnsi="Times New Roman" w:cs="Times New Roman"/>
          <w:sz w:val="24"/>
          <w:szCs w:val="24"/>
        </w:rPr>
        <w:t> </w:t>
      </w:r>
      <w:r w:rsidRPr="004A2EBE">
        <w:rPr>
          <w:rFonts w:ascii="Cambria Math" w:hAnsi="Cambria Math" w:cs="Cambria Math"/>
          <w:sz w:val="24"/>
          <w:szCs w:val="24"/>
        </w:rPr>
        <w:t>∈</w:t>
      </w:r>
      <w:r w:rsidRPr="004A2EBE">
        <w:rPr>
          <w:rFonts w:ascii="Times New Roman" w:hAnsi="Times New Roman" w:cs="Times New Roman"/>
          <w:sz w:val="24"/>
          <w:szCs w:val="24"/>
        </w:rPr>
        <w:t> </w:t>
      </w:r>
      <w:r w:rsidRPr="004A2EBE">
        <w:rPr>
          <w:rStyle w:val="Emphasis"/>
          <w:rFonts w:ascii="Times New Roman" w:hAnsi="Times New Roman" w:cs="Times New Roman"/>
          <w:sz w:val="24"/>
          <w:szCs w:val="24"/>
        </w:rPr>
        <w:t xml:space="preserve">T). </w:t>
      </w:r>
      <w:r w:rsidRPr="0017774B">
        <w:rPr>
          <w:rStyle w:val="Emphasis"/>
          <w:rFonts w:ascii="Times New Roman" w:hAnsi="Times New Roman" w:cs="Times New Roman"/>
          <w:i w:val="0"/>
          <w:sz w:val="24"/>
          <w:szCs w:val="24"/>
        </w:rPr>
        <w:t>For instance, in the context of more typical binary treatment regimens</w:t>
      </w:r>
      <w:r>
        <w:rPr>
          <w:rStyle w:val="Emphasis"/>
          <w:rFonts w:ascii="Times New Roman" w:hAnsi="Times New Roman" w:cs="Times New Roman"/>
          <w:i w:val="0"/>
          <w:sz w:val="24"/>
          <w:szCs w:val="24"/>
        </w:rPr>
        <w:t>,</w:t>
      </w:r>
      <w:r w:rsidRPr="0017774B">
        <w:rPr>
          <w:rStyle w:val="Emphasis"/>
          <w:rFonts w:ascii="Times New Roman" w:hAnsi="Times New Roman" w:cs="Times New Roman"/>
          <w:i w:val="0"/>
          <w:sz w:val="24"/>
          <w:szCs w:val="24"/>
        </w:rPr>
        <w:t xml:space="preserve"> treatment is defined as</w:t>
      </w:r>
      <w:r w:rsidRPr="004A2EBE">
        <w:rPr>
          <w:rStyle w:val="Emphasis"/>
          <w:rFonts w:ascii="Times New Roman" w:hAnsi="Times New Roman" w:cs="Times New Roman"/>
          <w:sz w:val="24"/>
          <w:szCs w:val="24"/>
        </w:rPr>
        <w:t xml:space="preserve">, </w:t>
      </w:r>
      <w:r w:rsidRPr="004A2EBE">
        <w:rPr>
          <w:rStyle w:val="Emphasis"/>
          <w:rFonts w:ascii="Times New Roman" w:eastAsia="Calibri" w:hAnsi="Times New Roman" w:cs="Times New Roman"/>
          <w:sz w:val="24"/>
          <w:szCs w:val="24"/>
        </w:rPr>
        <w:t>t</w:t>
      </w:r>
      <w:r w:rsidRPr="004A2EBE">
        <w:rPr>
          <w:rFonts w:ascii="Times New Roman" w:hAnsi="Times New Roman" w:cs="Times New Roman"/>
          <w:sz w:val="24"/>
          <w:szCs w:val="24"/>
        </w:rPr>
        <w:t> </w:t>
      </w:r>
      <w:r w:rsidRPr="004A2EBE">
        <w:rPr>
          <w:rFonts w:ascii="Cambria Math" w:hAnsi="Cambria Math" w:cs="Cambria Math"/>
          <w:sz w:val="24"/>
          <w:szCs w:val="24"/>
        </w:rPr>
        <w:t>∈</w:t>
      </w:r>
      <w:r w:rsidRPr="004A2EBE">
        <w:rPr>
          <w:rFonts w:ascii="Times New Roman" w:hAnsi="Times New Roman" w:cs="Times New Roman"/>
          <w:sz w:val="24"/>
          <w:szCs w:val="24"/>
        </w:rPr>
        <w:t xml:space="preserve"> (0,1), with the counterfactual reflecting  one’s outcome conditional on receiving the opposite of one’s actual treatment status (i.e., treatment or control). In other words, if child </w:t>
      </w:r>
      <w:proofErr w:type="spellStart"/>
      <w:r w:rsidRPr="004A2EBE">
        <w:rPr>
          <w:rFonts w:ascii="Times New Roman" w:hAnsi="Times New Roman" w:cs="Times New Roman"/>
          <w:i/>
          <w:sz w:val="24"/>
          <w:szCs w:val="24"/>
        </w:rPr>
        <w:t>i</w:t>
      </w:r>
      <w:proofErr w:type="spellEnd"/>
      <w:r w:rsidRPr="004A2EBE">
        <w:rPr>
          <w:rFonts w:ascii="Times New Roman" w:hAnsi="Times New Roman" w:cs="Times New Roman"/>
          <w:sz w:val="24"/>
          <w:szCs w:val="24"/>
        </w:rPr>
        <w:t xml:space="preserve"> was treated, what is his/her outcome when she is not treated? For a non-treated child, one flips the question. In the context of continuous a treatment, </w:t>
      </w:r>
      <w:r w:rsidRPr="004A2EBE">
        <w:rPr>
          <w:rFonts w:ascii="Times New Roman" w:hAnsi="Times New Roman" w:cs="Times New Roman"/>
          <w:i/>
          <w:sz w:val="24"/>
          <w:szCs w:val="24"/>
        </w:rPr>
        <w:t>T</w:t>
      </w:r>
      <w:r w:rsidRPr="004A2EBE">
        <w:rPr>
          <w:rFonts w:ascii="Times New Roman" w:hAnsi="Times New Roman" w:cs="Times New Roman"/>
          <w:sz w:val="24"/>
          <w:szCs w:val="24"/>
        </w:rPr>
        <w:t xml:space="preserve"> represents the interval </w:t>
      </w:r>
      <w:r w:rsidRPr="004A2EBE">
        <w:rPr>
          <w:rStyle w:val="Emphasis"/>
          <w:rFonts w:ascii="Times New Roman" w:eastAsia="Calibri" w:hAnsi="Times New Roman" w:cs="Times New Roman"/>
          <w:sz w:val="24"/>
          <w:szCs w:val="24"/>
        </w:rPr>
        <w:t>t</w:t>
      </w:r>
      <w:r w:rsidRPr="004A2EBE">
        <w:rPr>
          <w:rFonts w:ascii="Times New Roman" w:hAnsi="Times New Roman" w:cs="Times New Roman"/>
          <w:sz w:val="24"/>
          <w:szCs w:val="24"/>
          <w:vertAlign w:val="subscript"/>
        </w:rPr>
        <w:t>0</w:t>
      </w:r>
      <w:r w:rsidRPr="004A2EBE">
        <w:rPr>
          <w:rFonts w:ascii="Times New Roman" w:hAnsi="Times New Roman" w:cs="Times New Roman"/>
          <w:sz w:val="24"/>
          <w:szCs w:val="24"/>
        </w:rPr>
        <w:t>,</w:t>
      </w:r>
      <w:r w:rsidRPr="004A2EBE">
        <w:rPr>
          <w:rStyle w:val="Emphasis"/>
          <w:rFonts w:ascii="Times New Roman" w:eastAsia="Calibri" w:hAnsi="Times New Roman" w:cs="Times New Roman"/>
          <w:sz w:val="24"/>
          <w:szCs w:val="24"/>
        </w:rPr>
        <w:t>t</w:t>
      </w:r>
      <w:r w:rsidRPr="004A2EBE">
        <w:rPr>
          <w:rFonts w:ascii="Times New Roman" w:hAnsi="Times New Roman" w:cs="Times New Roman"/>
          <w:sz w:val="24"/>
          <w:szCs w:val="24"/>
          <w:vertAlign w:val="subscript"/>
        </w:rPr>
        <w:t>1</w:t>
      </w:r>
      <w:r w:rsidRPr="004A2EBE">
        <w:rPr>
          <w:rFonts w:ascii="Times New Roman" w:hAnsi="Times New Roman" w:cs="Times New Roman"/>
          <w:sz w:val="24"/>
          <w:szCs w:val="24"/>
        </w:rPr>
        <w:t xml:space="preserve">, with the counterfactual indicating one’s outcome had he/she  simultaneously received treatment one unit lower than his/her actual treatment level. Of course, one individual cannot simultaneously receive the treatment and control. As such, this “missing data” problem (Rubin, 2005) opens up the estimate of the average causal effect, </w:t>
      </w:r>
      <w:proofErr w:type="gramStart"/>
      <w:r w:rsidRPr="004A2EBE">
        <w:rPr>
          <w:rFonts w:ascii="Times New Roman" w:hAnsi="Times New Roman" w:cs="Times New Roman"/>
          <w:sz w:val="24"/>
          <w:szCs w:val="24"/>
        </w:rPr>
        <w:t>E[</w:t>
      </w:r>
      <w:proofErr w:type="gramEnd"/>
      <w:r w:rsidRPr="004A2EBE">
        <w:rPr>
          <w:rFonts w:ascii="Times New Roman" w:hAnsi="Times New Roman" w:cs="Times New Roman"/>
          <w:sz w:val="24"/>
          <w:szCs w:val="24"/>
        </w:rPr>
        <w:t xml:space="preserve">T(1) – T(0)], to bias because the effect may be confounded by unobserved factors that exist between children experiencing different levels of the treatment. </w:t>
      </w:r>
    </w:p>
    <w:p w14:paraId="1730E0FA" w14:textId="77777777" w:rsidR="00035505" w:rsidRPr="004A2EBE" w:rsidRDefault="00035505" w:rsidP="00035505">
      <w:pPr>
        <w:autoSpaceDE w:val="0"/>
        <w:autoSpaceDN w:val="0"/>
        <w:adjustRightInd w:val="0"/>
        <w:spacing w:line="480" w:lineRule="auto"/>
        <w:ind w:firstLine="720"/>
        <w:contextualSpacing/>
        <w:rPr>
          <w:rStyle w:val="mi"/>
          <w:rFonts w:ascii="Times New Roman" w:hAnsi="Times New Roman" w:cs="Times New Roman"/>
          <w:iCs/>
          <w:sz w:val="24"/>
          <w:szCs w:val="24"/>
        </w:rPr>
      </w:pPr>
      <w:r w:rsidRPr="004A2EBE">
        <w:rPr>
          <w:rFonts w:ascii="Times New Roman" w:hAnsi="Times New Roman" w:cs="Times New Roman"/>
          <w:sz w:val="24"/>
          <w:szCs w:val="24"/>
        </w:rPr>
        <w:t>Notably, as shown by Rosenbaum and Rubin (1983), given the assumption that children with identical combinations of observed covariate values are functionally equivalent with respect to a unit difference in the continuous treatment—that is, there is no unobserved confounding of treatment (</w:t>
      </w:r>
      <w:proofErr w:type="gramStart"/>
      <w:r w:rsidRPr="004A2EBE">
        <w:rPr>
          <w:rStyle w:val="mi"/>
          <w:rFonts w:ascii="Times New Roman" w:hAnsi="Times New Roman" w:cs="Times New Roman"/>
          <w:i/>
          <w:iCs/>
          <w:sz w:val="24"/>
          <w:szCs w:val="24"/>
        </w:rPr>
        <w:t>Y</w:t>
      </w:r>
      <w:r w:rsidRPr="004A2EBE">
        <w:rPr>
          <w:rStyle w:val="mo"/>
          <w:rFonts w:ascii="Times New Roman" w:hAnsi="Times New Roman" w:cs="Times New Roman"/>
          <w:sz w:val="24"/>
          <w:szCs w:val="24"/>
        </w:rPr>
        <w:t>(</w:t>
      </w:r>
      <w:proofErr w:type="gramEnd"/>
      <w:r w:rsidRPr="004A2EBE">
        <w:rPr>
          <w:rStyle w:val="mi"/>
          <w:rFonts w:ascii="Times New Roman" w:hAnsi="Times New Roman" w:cs="Times New Roman"/>
          <w:i/>
          <w:iCs/>
          <w:sz w:val="24"/>
          <w:szCs w:val="24"/>
        </w:rPr>
        <w:t>t</w:t>
      </w:r>
      <w:r w:rsidRPr="004A2EBE">
        <w:rPr>
          <w:rStyle w:val="mo"/>
          <w:rFonts w:ascii="Times New Roman" w:hAnsi="Times New Roman" w:cs="Times New Roman"/>
          <w:sz w:val="24"/>
          <w:szCs w:val="24"/>
        </w:rPr>
        <w:t>)</w:t>
      </w:r>
      <w:r w:rsidRPr="004A2EBE">
        <w:rPr>
          <w:rStyle w:val="mo"/>
          <w:rFonts w:ascii="Cambria Math" w:hAnsi="Cambria Math" w:cs="Cambria Math"/>
          <w:sz w:val="24"/>
          <w:szCs w:val="24"/>
        </w:rPr>
        <w:t>⊥</w:t>
      </w:r>
      <w:r w:rsidRPr="004A2EBE">
        <w:rPr>
          <w:rStyle w:val="mi"/>
          <w:rFonts w:ascii="Times New Roman" w:hAnsi="Times New Roman" w:cs="Times New Roman"/>
          <w:i/>
          <w:iCs/>
          <w:sz w:val="24"/>
          <w:szCs w:val="24"/>
        </w:rPr>
        <w:t xml:space="preserve">T </w:t>
      </w:r>
      <w:r w:rsidRPr="004A2EBE">
        <w:rPr>
          <w:rStyle w:val="mo"/>
          <w:rFonts w:ascii="Times New Roman" w:hAnsi="Times New Roman" w:cs="Times New Roman"/>
          <w:sz w:val="24"/>
          <w:szCs w:val="24"/>
        </w:rPr>
        <w:t>|</w:t>
      </w:r>
      <w:r w:rsidRPr="004A2EBE">
        <w:rPr>
          <w:rStyle w:val="mi"/>
          <w:rFonts w:ascii="Times New Roman" w:hAnsi="Times New Roman" w:cs="Times New Roman"/>
          <w:i/>
          <w:iCs/>
          <w:sz w:val="24"/>
          <w:szCs w:val="24"/>
        </w:rPr>
        <w:t xml:space="preserve">X </w:t>
      </w:r>
      <w:r w:rsidRPr="004A2EBE">
        <w:rPr>
          <w:rStyle w:val="mo"/>
          <w:rFonts w:ascii="Cambria Math" w:hAnsi="Cambria Math" w:cs="Cambria Math"/>
          <w:sz w:val="24"/>
          <w:szCs w:val="24"/>
        </w:rPr>
        <w:t>∀</w:t>
      </w:r>
      <w:r w:rsidRPr="004A2EBE">
        <w:rPr>
          <w:rStyle w:val="mo"/>
          <w:rFonts w:ascii="Times New Roman" w:hAnsi="Times New Roman" w:cs="Times New Roman"/>
          <w:sz w:val="24"/>
          <w:szCs w:val="24"/>
        </w:rPr>
        <w:t xml:space="preserve"> </w:t>
      </w:r>
      <w:proofErr w:type="spellStart"/>
      <w:r w:rsidRPr="004A2EBE">
        <w:rPr>
          <w:rStyle w:val="mi"/>
          <w:rFonts w:ascii="Times New Roman" w:hAnsi="Times New Roman" w:cs="Times New Roman"/>
          <w:i/>
          <w:iCs/>
          <w:sz w:val="24"/>
          <w:szCs w:val="24"/>
        </w:rPr>
        <w:t>t</w:t>
      </w:r>
      <w:r w:rsidRPr="004A2EBE">
        <w:rPr>
          <w:rStyle w:val="mo"/>
          <w:rFonts w:ascii="Cambria Math" w:hAnsi="Cambria Math" w:cs="Cambria Math"/>
          <w:sz w:val="24"/>
          <w:szCs w:val="24"/>
        </w:rPr>
        <w:t>∈</w:t>
      </w:r>
      <w:r w:rsidRPr="004A2EBE">
        <w:rPr>
          <w:rStyle w:val="mi"/>
          <w:rFonts w:ascii="Times New Roman" w:hAnsi="Times New Roman" w:cs="Times New Roman"/>
          <w:i/>
          <w:iCs/>
          <w:sz w:val="24"/>
          <w:szCs w:val="24"/>
        </w:rPr>
        <w:t>T</w:t>
      </w:r>
      <w:proofErr w:type="spellEnd"/>
      <w:r w:rsidRPr="004A2EBE">
        <w:rPr>
          <w:rStyle w:val="mi"/>
          <w:rFonts w:ascii="Times New Roman" w:hAnsi="Times New Roman" w:cs="Times New Roman"/>
          <w:i/>
          <w:iCs/>
          <w:sz w:val="24"/>
          <w:szCs w:val="24"/>
        </w:rPr>
        <w:t>)—</w:t>
      </w:r>
      <w:r w:rsidRPr="004A2EBE">
        <w:rPr>
          <w:rStyle w:val="mi"/>
          <w:rFonts w:ascii="Times New Roman" w:hAnsi="Times New Roman" w:cs="Times New Roman"/>
          <w:iCs/>
          <w:sz w:val="24"/>
          <w:szCs w:val="24"/>
        </w:rPr>
        <w:t xml:space="preserve">one can recover an estimate of the average causal effect of the treatment. </w:t>
      </w:r>
    </w:p>
    <w:p w14:paraId="49338B6B" w14:textId="77777777" w:rsidR="00035505" w:rsidRPr="004A2EBE" w:rsidRDefault="00035505" w:rsidP="00035505">
      <w:pPr>
        <w:autoSpaceDE w:val="0"/>
        <w:autoSpaceDN w:val="0"/>
        <w:adjustRightInd w:val="0"/>
        <w:spacing w:line="480" w:lineRule="auto"/>
        <w:ind w:firstLine="720"/>
        <w:contextualSpacing/>
        <w:rPr>
          <w:rStyle w:val="mi"/>
          <w:rFonts w:ascii="Times New Roman" w:eastAsiaTheme="minorEastAsia" w:hAnsi="Times New Roman" w:cs="Times New Roman"/>
          <w:iCs/>
          <w:sz w:val="24"/>
          <w:szCs w:val="24"/>
        </w:rPr>
      </w:pPr>
      <w:r w:rsidRPr="004A2EBE">
        <w:rPr>
          <w:rStyle w:val="mi"/>
          <w:rFonts w:ascii="Times New Roman" w:hAnsi="Times New Roman" w:cs="Times New Roman"/>
          <w:iCs/>
          <w:sz w:val="24"/>
          <w:szCs w:val="24"/>
        </w:rPr>
        <w:t xml:space="preserve">A common approach to accomplish this is to specify an omnibus metric of background characteristics—a propensity score—which can, in turn, be used to ensure that one’s treatment effects are based on children who, aside from the treatment difference, are functionally equivalent (i.e., similar propensity for treatment level). For binary treatments, propensity scores </w:t>
      </w:r>
      <w:r w:rsidRPr="004A2EBE">
        <w:rPr>
          <w:rStyle w:val="mi"/>
          <w:rFonts w:ascii="Times New Roman" w:hAnsi="Times New Roman" w:cs="Times New Roman"/>
          <w:iCs/>
          <w:sz w:val="24"/>
          <w:szCs w:val="24"/>
        </w:rPr>
        <w:lastRenderedPageBreak/>
        <w:t>are typically estimated using the predicted probabilities of treatment, via a logistic regression model, in which treatment is regressed on a large set of potential pre-treatment confounders.  H</w:t>
      </w:r>
      <w:r>
        <w:rPr>
          <w:rStyle w:val="mi"/>
          <w:rFonts w:ascii="Times New Roman" w:hAnsi="Times New Roman" w:cs="Times New Roman"/>
          <w:iCs/>
          <w:sz w:val="24"/>
          <w:szCs w:val="24"/>
        </w:rPr>
        <w:t>i</w:t>
      </w:r>
      <w:r w:rsidRPr="004A2EBE">
        <w:rPr>
          <w:rStyle w:val="mi"/>
          <w:rFonts w:ascii="Times New Roman" w:hAnsi="Times New Roman" w:cs="Times New Roman"/>
          <w:iCs/>
          <w:sz w:val="24"/>
          <w:szCs w:val="24"/>
        </w:rPr>
        <w:t xml:space="preserve">rano and </w:t>
      </w:r>
      <w:proofErr w:type="spellStart"/>
      <w:r w:rsidRPr="004A2EBE">
        <w:rPr>
          <w:rStyle w:val="mi"/>
          <w:rFonts w:ascii="Times New Roman" w:hAnsi="Times New Roman" w:cs="Times New Roman"/>
          <w:iCs/>
          <w:sz w:val="24"/>
          <w:szCs w:val="24"/>
        </w:rPr>
        <w:t>Imbens</w:t>
      </w:r>
      <w:proofErr w:type="spellEnd"/>
      <w:r w:rsidRPr="004A2EBE">
        <w:rPr>
          <w:rStyle w:val="mi"/>
          <w:rFonts w:ascii="Times New Roman" w:hAnsi="Times New Roman" w:cs="Times New Roman"/>
          <w:iCs/>
          <w:sz w:val="24"/>
          <w:szCs w:val="24"/>
        </w:rPr>
        <w:t xml:space="preserve"> (2004) showed that a similar propensity score can be estimated for continuous treatments, under the assumption that treatment is normally distributed, with a mean and a variance (</w:t>
      </w:r>
      <w:r w:rsidRPr="004A2EBE">
        <w:rPr>
          <w:rStyle w:val="mi"/>
          <w:rFonts w:ascii="Times New Roman" w:hAnsi="Times New Roman" w:cs="Times New Roman"/>
          <w:i/>
          <w:iCs/>
          <w:sz w:val="24"/>
          <w:szCs w:val="24"/>
        </w:rPr>
        <w:t>Ti</w:t>
      </w:r>
      <w:r w:rsidRPr="004A2EBE">
        <w:rPr>
          <w:rStyle w:val="mo"/>
          <w:rFonts w:ascii="Cambria Math" w:hAnsi="Cambria Math" w:cs="Cambria Math"/>
          <w:sz w:val="24"/>
          <w:szCs w:val="24"/>
        </w:rPr>
        <w:t>∣∣</w:t>
      </w:r>
      <w:proofErr w:type="spellStart"/>
      <w:r w:rsidRPr="004A2EBE">
        <w:rPr>
          <w:rStyle w:val="mi"/>
          <w:rFonts w:ascii="Times New Roman" w:hAnsi="Times New Roman" w:cs="Times New Roman"/>
          <w:i/>
          <w:iCs/>
          <w:sz w:val="24"/>
          <w:szCs w:val="24"/>
        </w:rPr>
        <w:t>Xi</w:t>
      </w:r>
      <w:r w:rsidRPr="004A2EBE">
        <w:rPr>
          <w:rStyle w:val="mo"/>
          <w:rFonts w:ascii="Cambria Math" w:hAnsi="Cambria Math" w:cs="Cambria Math"/>
          <w:sz w:val="24"/>
          <w:szCs w:val="24"/>
        </w:rPr>
        <w:t>∼</w:t>
      </w:r>
      <w:r w:rsidRPr="004A2EBE">
        <w:rPr>
          <w:rStyle w:val="mi"/>
          <w:rFonts w:ascii="Times New Roman" w:hAnsi="Times New Roman" w:cs="Times New Roman"/>
          <w:i/>
          <w:iCs/>
          <w:sz w:val="24"/>
          <w:szCs w:val="24"/>
        </w:rPr>
        <w:t>N</w:t>
      </w:r>
      <w:proofErr w:type="spellEnd"/>
      <w:r w:rsidRPr="004A2EBE">
        <w:rPr>
          <w:rStyle w:val="mi"/>
          <w:rFonts w:ascii="Times New Roman" w:hAnsi="Times New Roman" w:cs="Times New Roman"/>
          <w:i/>
          <w:iCs/>
          <w:sz w:val="24"/>
          <w:szCs w:val="24"/>
        </w:rPr>
        <w:t xml:space="preserve"> </w:t>
      </w:r>
      <w:r w:rsidRPr="004A2EBE">
        <w:rPr>
          <w:rStyle w:val="mo"/>
          <w:rFonts w:ascii="Times New Roman" w:hAnsi="Times New Roman" w:cs="Times New Roman"/>
          <w:sz w:val="24"/>
          <w:szCs w:val="24"/>
        </w:rPr>
        <w:t>(</w:t>
      </w:r>
      <w:r w:rsidRPr="004A2EBE">
        <w:rPr>
          <w:rStyle w:val="mi"/>
          <w:rFonts w:ascii="Times New Roman" w:hAnsi="Times New Roman" w:cs="Times New Roman"/>
          <w:i/>
          <w:iCs/>
          <w:sz w:val="24"/>
          <w:szCs w:val="24"/>
        </w:rPr>
        <w:t>β</w:t>
      </w:r>
      <w:r w:rsidRPr="004A2EBE">
        <w:rPr>
          <w:rStyle w:val="mn"/>
          <w:rFonts w:ascii="Times New Roman" w:hAnsi="Times New Roman" w:cs="Times New Roman"/>
          <w:sz w:val="24"/>
          <w:szCs w:val="24"/>
        </w:rPr>
        <w:t>0</w:t>
      </w:r>
      <w:r w:rsidRPr="004A2EBE">
        <w:rPr>
          <w:rStyle w:val="mo"/>
          <w:rFonts w:ascii="Times New Roman" w:hAnsi="Times New Roman" w:cs="Times New Roman"/>
          <w:sz w:val="24"/>
          <w:szCs w:val="24"/>
        </w:rPr>
        <w:t>+</w:t>
      </w:r>
      <w:r w:rsidRPr="004A2EBE">
        <w:rPr>
          <w:rStyle w:val="mi"/>
          <w:rFonts w:ascii="Times New Roman" w:hAnsi="Times New Roman" w:cs="Times New Roman"/>
          <w:i/>
          <w:iCs/>
          <w:sz w:val="24"/>
          <w:szCs w:val="24"/>
        </w:rPr>
        <w:t>β</w:t>
      </w:r>
      <w:r w:rsidRPr="004A2EBE">
        <w:rPr>
          <w:rStyle w:val="mo"/>
          <w:rFonts w:ascii="Times New Roman" w:hAnsi="Times New Roman" w:cs="Times New Roman"/>
          <w:sz w:val="24"/>
          <w:szCs w:val="24"/>
        </w:rPr>
        <w:t>′</w:t>
      </w:r>
      <w:r w:rsidRPr="004A2EBE">
        <w:rPr>
          <w:rStyle w:val="mn"/>
          <w:rFonts w:ascii="Times New Roman" w:hAnsi="Times New Roman" w:cs="Times New Roman"/>
          <w:sz w:val="24"/>
          <w:szCs w:val="24"/>
        </w:rPr>
        <w:t>1</w:t>
      </w:r>
      <w:r w:rsidRPr="004A2EBE">
        <w:rPr>
          <w:rStyle w:val="mi"/>
          <w:rFonts w:ascii="Times New Roman" w:hAnsi="Times New Roman" w:cs="Times New Roman"/>
          <w:i/>
          <w:iCs/>
          <w:sz w:val="24"/>
          <w:szCs w:val="24"/>
        </w:rPr>
        <w:t>Xi</w:t>
      </w:r>
      <w:r w:rsidRPr="004A2EBE">
        <w:rPr>
          <w:rStyle w:val="mo"/>
          <w:rFonts w:ascii="Times New Roman" w:hAnsi="Times New Roman" w:cs="Times New Roman"/>
          <w:sz w:val="24"/>
          <w:szCs w:val="24"/>
        </w:rPr>
        <w:t xml:space="preserve">, </w:t>
      </w:r>
      <w:r w:rsidRPr="004A2EBE">
        <w:rPr>
          <w:rStyle w:val="mi"/>
          <w:rFonts w:ascii="Times New Roman" w:hAnsi="Times New Roman" w:cs="Times New Roman"/>
          <w:i/>
          <w:iCs/>
          <w:sz w:val="24"/>
          <w:szCs w:val="24"/>
        </w:rPr>
        <w:t>σ</w:t>
      </w:r>
      <w:r w:rsidRPr="004A2EBE">
        <w:rPr>
          <w:rStyle w:val="mn"/>
          <w:rFonts w:ascii="Times New Roman" w:hAnsi="Times New Roman" w:cs="Times New Roman"/>
          <w:sz w:val="24"/>
          <w:szCs w:val="24"/>
          <w:vertAlign w:val="superscript"/>
        </w:rPr>
        <w:t>2</w:t>
      </w:r>
      <w:r w:rsidRPr="004A2EBE">
        <w:rPr>
          <w:rStyle w:val="mo"/>
          <w:rFonts w:ascii="Times New Roman" w:hAnsi="Times New Roman" w:cs="Times New Roman"/>
          <w:sz w:val="24"/>
          <w:szCs w:val="24"/>
        </w:rPr>
        <w:t>)</w:t>
      </w:r>
      <w:r w:rsidRPr="004A2EBE">
        <w:rPr>
          <w:rStyle w:val="mi"/>
          <w:rFonts w:ascii="Times New Roman" w:hAnsi="Times New Roman" w:cs="Times New Roman"/>
          <w:iCs/>
          <w:sz w:val="24"/>
          <w:szCs w:val="24"/>
        </w:rPr>
        <w:t xml:space="preserve">. Specifically, treatment </w:t>
      </w:r>
      <w:r w:rsidRPr="004A2EBE">
        <w:rPr>
          <w:rStyle w:val="mi"/>
          <w:rFonts w:ascii="Times New Roman" w:hAnsi="Times New Roman" w:cs="Times New Roman"/>
          <w:i/>
          <w:iCs/>
          <w:sz w:val="24"/>
          <w:szCs w:val="24"/>
        </w:rPr>
        <w:t>T</w:t>
      </w:r>
      <w:r w:rsidRPr="004A2EBE">
        <w:rPr>
          <w:rStyle w:val="mi"/>
          <w:rFonts w:ascii="Times New Roman" w:hAnsi="Times New Roman" w:cs="Times New Roman"/>
          <w:iCs/>
          <w:sz w:val="24"/>
          <w:szCs w:val="24"/>
        </w:rPr>
        <w:t xml:space="preserve"> is regressed on a vector of confounders. The probability of attaining a given treatment level is obtained from a the normal probability density function of the treatment, conditional on the confounders,  </w:t>
      </w:r>
    </w:p>
    <w:p w14:paraId="59787557" w14:textId="77777777" w:rsidR="00035505" w:rsidRPr="004A2EBE" w:rsidRDefault="00035505" w:rsidP="00035505">
      <w:pPr>
        <w:autoSpaceDE w:val="0"/>
        <w:autoSpaceDN w:val="0"/>
        <w:adjustRightInd w:val="0"/>
        <w:spacing w:line="480" w:lineRule="auto"/>
        <w:ind w:firstLine="720"/>
        <w:contextualSpacing/>
        <w:rPr>
          <w:rStyle w:val="mi"/>
          <w:rFonts w:ascii="Times New Roman" w:eastAsiaTheme="minorEastAsia" w:hAnsi="Times New Roman" w:cs="Times New Roman"/>
          <w:iCs/>
          <w:sz w:val="24"/>
          <w:szCs w:val="24"/>
        </w:rPr>
      </w:pPr>
      <m:oMath>
        <m:r>
          <w:rPr>
            <w:rStyle w:val="mi"/>
            <w:rFonts w:ascii="Cambria Math" w:hAnsi="Cambria Math" w:cs="Times New Roman"/>
            <w:sz w:val="24"/>
            <w:szCs w:val="24"/>
          </w:rPr>
          <m:t>ϕ</m:t>
        </m:r>
        <m:d>
          <m:dPr>
            <m:ctrlPr>
              <w:rPr>
                <w:rStyle w:val="mi"/>
                <w:rFonts w:ascii="Cambria Math" w:hAnsi="Cambria Math" w:cs="Times New Roman"/>
                <w:i/>
                <w:iCs/>
                <w:sz w:val="24"/>
                <w:szCs w:val="24"/>
              </w:rPr>
            </m:ctrlPr>
          </m:dPr>
          <m:e>
            <m:r>
              <w:rPr>
                <w:rStyle w:val="mi"/>
                <w:rFonts w:ascii="Cambria Math" w:hAnsi="Cambria Math" w:cs="Times New Roman"/>
                <w:sz w:val="24"/>
                <w:szCs w:val="24"/>
              </w:rPr>
              <m:t>t</m:t>
            </m:r>
          </m:e>
        </m:d>
        <m:r>
          <w:rPr>
            <w:rStyle w:val="mi"/>
            <w:rFonts w:ascii="Cambria Math" w:hAnsi="Cambria Math" w:cs="Times New Roman"/>
            <w:sz w:val="24"/>
            <w:szCs w:val="24"/>
          </w:rPr>
          <m:t xml:space="preserve">= </m:t>
        </m:r>
        <m:f>
          <m:fPr>
            <m:ctrlPr>
              <w:rPr>
                <w:rStyle w:val="mi"/>
                <w:rFonts w:ascii="Cambria Math" w:hAnsi="Cambria Math" w:cs="Times New Roman"/>
                <w:i/>
                <w:iCs/>
                <w:sz w:val="24"/>
                <w:szCs w:val="24"/>
              </w:rPr>
            </m:ctrlPr>
          </m:fPr>
          <m:num>
            <m:r>
              <w:rPr>
                <w:rStyle w:val="mi"/>
                <w:rFonts w:ascii="Cambria Math" w:hAnsi="Cambria Math" w:cs="Times New Roman"/>
                <w:sz w:val="24"/>
                <w:szCs w:val="24"/>
              </w:rPr>
              <m:t>1</m:t>
            </m:r>
          </m:num>
          <m:den>
            <m:sSup>
              <m:sSupPr>
                <m:ctrlPr>
                  <w:rPr>
                    <w:rStyle w:val="mi"/>
                    <w:rFonts w:ascii="Cambria Math" w:hAnsi="Cambria Math" w:cs="Times New Roman"/>
                    <w:i/>
                    <w:iCs/>
                    <w:sz w:val="24"/>
                    <w:szCs w:val="24"/>
                  </w:rPr>
                </m:ctrlPr>
              </m:sSupPr>
              <m:e>
                <m:r>
                  <w:rPr>
                    <w:rStyle w:val="mi"/>
                    <w:rFonts w:ascii="Cambria Math" w:hAnsi="Cambria Math" w:cs="Times New Roman"/>
                    <w:sz w:val="24"/>
                    <w:szCs w:val="24"/>
                  </w:rPr>
                  <m:t>2π</m:t>
                </m:r>
                <m:acc>
                  <m:accPr>
                    <m:ctrlPr>
                      <w:rPr>
                        <w:rStyle w:val="mi"/>
                        <w:rFonts w:ascii="Cambria Math" w:hAnsi="Cambria Math" w:cs="Times New Roman"/>
                        <w:i/>
                        <w:iCs/>
                        <w:sz w:val="24"/>
                        <w:szCs w:val="24"/>
                      </w:rPr>
                    </m:ctrlPr>
                  </m:accPr>
                  <m:e>
                    <m:r>
                      <w:rPr>
                        <w:rStyle w:val="mi"/>
                        <w:rFonts w:ascii="Cambria Math" w:hAnsi="Cambria Math" w:cs="Times New Roman"/>
                        <w:sz w:val="24"/>
                        <w:szCs w:val="24"/>
                      </w:rPr>
                      <m:t>σ</m:t>
                    </m:r>
                  </m:e>
                </m:acc>
              </m:e>
              <m:sup>
                <m:r>
                  <w:rPr>
                    <w:rStyle w:val="mi"/>
                    <w:rFonts w:ascii="Cambria Math" w:hAnsi="Cambria Math" w:cs="Times New Roman"/>
                    <w:sz w:val="24"/>
                    <w:szCs w:val="24"/>
                  </w:rPr>
                  <m:t>2</m:t>
                </m:r>
              </m:sup>
            </m:sSup>
          </m:den>
        </m:f>
        <m:r>
          <w:rPr>
            <w:rStyle w:val="mi"/>
            <w:rFonts w:ascii="Cambria Math" w:hAnsi="Cambria Math" w:cs="Times New Roman"/>
            <w:sz w:val="24"/>
            <w:szCs w:val="24"/>
          </w:rPr>
          <m:t xml:space="preserve">e </m:t>
        </m:r>
        <m:sSup>
          <m:sSupPr>
            <m:ctrlPr>
              <w:rPr>
                <w:rStyle w:val="mi"/>
                <w:rFonts w:ascii="Cambria Math" w:eastAsiaTheme="minorEastAsia" w:hAnsi="Cambria Math" w:cs="Times New Roman"/>
                <w:i/>
                <w:iCs/>
                <w:sz w:val="24"/>
                <w:szCs w:val="24"/>
              </w:rPr>
            </m:ctrlPr>
          </m:sSupPr>
          <m:e>
            <m:r>
              <w:rPr>
                <w:rStyle w:val="mi"/>
                <w:rFonts w:ascii="Cambria Math" w:eastAsiaTheme="minorEastAsia" w:hAnsi="Cambria Math" w:cs="Times New Roman"/>
                <w:sz w:val="24"/>
                <w:szCs w:val="24"/>
              </w:rPr>
              <m:t xml:space="preserve"> </m:t>
            </m:r>
          </m:e>
          <m:sup>
            <m:f>
              <m:fPr>
                <m:ctrlPr>
                  <w:rPr>
                    <w:rStyle w:val="mi"/>
                    <w:rFonts w:ascii="Cambria Math" w:eastAsiaTheme="minorEastAsia" w:hAnsi="Cambria Math" w:cs="Times New Roman"/>
                    <w:i/>
                    <w:iCs/>
                    <w:sz w:val="24"/>
                    <w:szCs w:val="24"/>
                  </w:rPr>
                </m:ctrlPr>
              </m:fPr>
              <m:num>
                <m:sSup>
                  <m:sSupPr>
                    <m:ctrlPr>
                      <w:rPr>
                        <w:rStyle w:val="mi"/>
                        <w:rFonts w:ascii="Cambria Math" w:eastAsiaTheme="minorEastAsia" w:hAnsi="Cambria Math" w:cs="Times New Roman"/>
                        <w:i/>
                        <w:iCs/>
                        <w:sz w:val="24"/>
                        <w:szCs w:val="24"/>
                      </w:rPr>
                    </m:ctrlPr>
                  </m:sSupPr>
                  <m:e>
                    <m:r>
                      <w:rPr>
                        <w:rStyle w:val="mi"/>
                        <w:rFonts w:ascii="Cambria Math" w:eastAsiaTheme="minorEastAsia" w:hAnsi="Cambria Math" w:cs="Times New Roman"/>
                        <w:sz w:val="24"/>
                        <w:szCs w:val="24"/>
                      </w:rPr>
                      <m:t>-(t-</m:t>
                    </m:r>
                    <m:acc>
                      <m:accPr>
                        <m:ctrlPr>
                          <w:rPr>
                            <w:rStyle w:val="mi"/>
                            <w:rFonts w:ascii="Cambria Math" w:eastAsiaTheme="minorEastAsia" w:hAnsi="Cambria Math" w:cs="Times New Roman"/>
                            <w:i/>
                            <w:iCs/>
                            <w:sz w:val="24"/>
                            <w:szCs w:val="24"/>
                          </w:rPr>
                        </m:ctrlPr>
                      </m:accPr>
                      <m:e>
                        <m:r>
                          <w:rPr>
                            <w:rStyle w:val="mi"/>
                            <w:rFonts w:ascii="Cambria Math" w:eastAsiaTheme="minorEastAsia" w:hAnsi="Cambria Math" w:cs="Times New Roman"/>
                            <w:sz w:val="24"/>
                            <w:szCs w:val="24"/>
                          </w:rPr>
                          <m:t>t</m:t>
                        </m:r>
                      </m:e>
                    </m:acc>
                    <m:r>
                      <w:rPr>
                        <w:rStyle w:val="mi"/>
                        <w:rFonts w:ascii="Cambria Math" w:eastAsiaTheme="minorEastAsia" w:hAnsi="Cambria Math" w:cs="Times New Roman"/>
                        <w:sz w:val="24"/>
                        <w:szCs w:val="24"/>
                      </w:rPr>
                      <m:t>)</m:t>
                    </m:r>
                  </m:e>
                  <m:sup>
                    <m:r>
                      <w:rPr>
                        <w:rStyle w:val="mi"/>
                        <w:rFonts w:ascii="Cambria Math" w:eastAsiaTheme="minorEastAsia" w:hAnsi="Cambria Math" w:cs="Times New Roman"/>
                        <w:sz w:val="24"/>
                        <w:szCs w:val="24"/>
                      </w:rPr>
                      <m:t>2</m:t>
                    </m:r>
                  </m:sup>
                </m:sSup>
              </m:num>
              <m:den>
                <m:sSup>
                  <m:sSupPr>
                    <m:ctrlPr>
                      <w:rPr>
                        <w:rStyle w:val="mi"/>
                        <w:rFonts w:ascii="Cambria Math" w:eastAsiaTheme="minorEastAsia" w:hAnsi="Cambria Math" w:cs="Times New Roman"/>
                        <w:i/>
                        <w:iCs/>
                        <w:sz w:val="24"/>
                        <w:szCs w:val="24"/>
                      </w:rPr>
                    </m:ctrlPr>
                  </m:sSupPr>
                  <m:e>
                    <m:r>
                      <w:rPr>
                        <w:rStyle w:val="mi"/>
                        <w:rFonts w:ascii="Cambria Math" w:eastAsiaTheme="minorEastAsia" w:hAnsi="Cambria Math" w:cs="Times New Roman"/>
                        <w:sz w:val="24"/>
                        <w:szCs w:val="24"/>
                      </w:rPr>
                      <m:t>2σ</m:t>
                    </m:r>
                  </m:e>
                  <m:sup>
                    <m:r>
                      <w:rPr>
                        <w:rStyle w:val="mi"/>
                        <w:rFonts w:ascii="Cambria Math" w:eastAsiaTheme="minorEastAsia" w:hAnsi="Cambria Math" w:cs="Times New Roman"/>
                        <w:sz w:val="24"/>
                        <w:szCs w:val="24"/>
                      </w:rPr>
                      <m:t>2</m:t>
                    </m:r>
                  </m:sup>
                </m:sSup>
              </m:den>
            </m:f>
          </m:sup>
        </m:sSup>
      </m:oMath>
      <w:r w:rsidRPr="004A2EBE">
        <w:rPr>
          <w:rStyle w:val="mi"/>
          <w:rFonts w:ascii="Times New Roman" w:eastAsiaTheme="minorEastAsia" w:hAnsi="Times New Roman" w:cs="Times New Roman"/>
          <w:iCs/>
          <w:sz w:val="24"/>
          <w:szCs w:val="24"/>
        </w:rPr>
        <w:t xml:space="preserve">, </w:t>
      </w:r>
    </w:p>
    <w:p w14:paraId="7D3A72E7" w14:textId="77777777" w:rsidR="00035505" w:rsidRPr="004A2EBE" w:rsidRDefault="00035505" w:rsidP="00035505">
      <w:pPr>
        <w:autoSpaceDE w:val="0"/>
        <w:autoSpaceDN w:val="0"/>
        <w:adjustRightInd w:val="0"/>
        <w:spacing w:line="480" w:lineRule="auto"/>
        <w:contextualSpacing/>
        <w:rPr>
          <w:rStyle w:val="mi"/>
          <w:rFonts w:ascii="Times New Roman" w:eastAsiaTheme="minorEastAsia" w:hAnsi="Times New Roman" w:cs="Times New Roman"/>
          <w:iCs/>
          <w:sz w:val="24"/>
          <w:szCs w:val="24"/>
        </w:rPr>
      </w:pPr>
      <w:proofErr w:type="gramStart"/>
      <w:r w:rsidRPr="004A2EBE">
        <w:rPr>
          <w:rStyle w:val="mi"/>
          <w:rFonts w:ascii="Times New Roman" w:eastAsiaTheme="minorEastAsia" w:hAnsi="Times New Roman" w:cs="Times New Roman"/>
          <w:iCs/>
          <w:sz w:val="24"/>
          <w:szCs w:val="24"/>
        </w:rPr>
        <w:t>where</w:t>
      </w:r>
      <w:proofErr w:type="gramEnd"/>
      <w:r w:rsidRPr="004A2EBE">
        <w:rPr>
          <w:rStyle w:val="mi"/>
          <w:rFonts w:ascii="Times New Roman" w:eastAsiaTheme="minorEastAsia" w:hAnsi="Times New Roman" w:cs="Times New Roman"/>
          <w:iCs/>
          <w:sz w:val="24"/>
          <w:szCs w:val="24"/>
        </w:rPr>
        <w:t xml:space="preserve"> </w:t>
      </w:r>
      <m:oMath>
        <m:r>
          <w:rPr>
            <w:rStyle w:val="mi"/>
            <w:rFonts w:ascii="Cambria Math" w:hAnsi="Cambria Math" w:cs="Times New Roman"/>
            <w:sz w:val="24"/>
            <w:szCs w:val="24"/>
          </w:rPr>
          <m:t>ϕ</m:t>
        </m:r>
        <m:d>
          <m:dPr>
            <m:ctrlPr>
              <w:rPr>
                <w:rStyle w:val="mi"/>
                <w:rFonts w:ascii="Cambria Math" w:hAnsi="Cambria Math" w:cs="Times New Roman"/>
                <w:i/>
                <w:iCs/>
                <w:sz w:val="24"/>
                <w:szCs w:val="24"/>
              </w:rPr>
            </m:ctrlPr>
          </m:dPr>
          <m:e>
            <m:r>
              <w:rPr>
                <w:rStyle w:val="mi"/>
                <w:rFonts w:ascii="Cambria Math" w:hAnsi="Cambria Math" w:cs="Times New Roman"/>
                <w:sz w:val="24"/>
                <w:szCs w:val="24"/>
              </w:rPr>
              <m:t>t</m:t>
            </m:r>
          </m:e>
        </m:d>
      </m:oMath>
      <w:r w:rsidRPr="004A2EBE">
        <w:rPr>
          <w:rStyle w:val="mi"/>
          <w:rFonts w:ascii="Times New Roman" w:eastAsiaTheme="minorEastAsia" w:hAnsi="Times New Roman" w:cs="Times New Roman"/>
          <w:iCs/>
          <w:sz w:val="24"/>
          <w:szCs w:val="24"/>
        </w:rPr>
        <w:t xml:space="preserve"> is n.d.f ,</w:t>
      </w:r>
      <w:r w:rsidRPr="004A2EBE">
        <w:rPr>
          <w:rStyle w:val="mi"/>
          <w:rFonts w:ascii="Times New Roman" w:eastAsiaTheme="minorEastAsia" w:hAnsi="Times New Roman" w:cs="Times New Roman"/>
          <w:i/>
          <w:iCs/>
          <w:sz w:val="24"/>
          <w:szCs w:val="24"/>
        </w:rPr>
        <w:t xml:space="preserve"> t; </w:t>
      </w:r>
      <m:oMath>
        <m:r>
          <w:rPr>
            <w:rStyle w:val="mi"/>
            <w:rFonts w:ascii="Cambria Math" w:eastAsiaTheme="minorEastAsia" w:hAnsi="Cambria Math" w:cs="Times New Roman"/>
            <w:sz w:val="24"/>
            <w:szCs w:val="24"/>
          </w:rPr>
          <m:t>π</m:t>
        </m:r>
      </m:oMath>
      <w:r w:rsidRPr="004A2EBE">
        <w:rPr>
          <w:rStyle w:val="mi"/>
          <w:rFonts w:ascii="Times New Roman" w:eastAsiaTheme="minorEastAsia" w:hAnsi="Times New Roman" w:cs="Times New Roman"/>
          <w:iCs/>
          <w:sz w:val="24"/>
          <w:szCs w:val="24"/>
        </w:rPr>
        <w:t xml:space="preserve"> is a constant (i.e., 3.14); </w:t>
      </w:r>
      <m:oMath>
        <m:acc>
          <m:accPr>
            <m:ctrlPr>
              <w:rPr>
                <w:rStyle w:val="mi"/>
                <w:rFonts w:ascii="Cambria Math" w:eastAsiaTheme="minorEastAsia" w:hAnsi="Cambria Math" w:cs="Times New Roman"/>
                <w:i/>
                <w:iCs/>
                <w:sz w:val="24"/>
                <w:szCs w:val="24"/>
              </w:rPr>
            </m:ctrlPr>
          </m:accPr>
          <m:e>
            <m:r>
              <w:rPr>
                <w:rStyle w:val="mi"/>
                <w:rFonts w:ascii="Cambria Math" w:eastAsiaTheme="minorEastAsia" w:hAnsi="Cambria Math" w:cs="Times New Roman"/>
                <w:sz w:val="24"/>
                <w:szCs w:val="24"/>
              </w:rPr>
              <m:t>t</m:t>
            </m:r>
          </m:e>
        </m:acc>
      </m:oMath>
      <w:r w:rsidRPr="004A2EBE">
        <w:rPr>
          <w:rStyle w:val="mi"/>
          <w:rFonts w:ascii="Times New Roman" w:eastAsiaTheme="minorEastAsia" w:hAnsi="Times New Roman" w:cs="Times New Roman"/>
          <w:iCs/>
          <w:sz w:val="24"/>
          <w:szCs w:val="24"/>
        </w:rPr>
        <w:t xml:space="preserve"> i s the predicted treatment value;  </w:t>
      </w:r>
      <w:r w:rsidRPr="004A2EBE">
        <w:rPr>
          <w:rStyle w:val="mi"/>
          <w:rFonts w:ascii="Times New Roman" w:eastAsiaTheme="minorEastAsia" w:hAnsi="Times New Roman" w:cs="Times New Roman"/>
          <w:i/>
          <w:iCs/>
          <w:sz w:val="24"/>
          <w:szCs w:val="24"/>
        </w:rPr>
        <w:t>t</w:t>
      </w:r>
      <w:r w:rsidRPr="004A2EBE">
        <w:rPr>
          <w:rStyle w:val="mi"/>
          <w:rFonts w:ascii="Times New Roman" w:eastAsiaTheme="minorEastAsia" w:hAnsi="Times New Roman" w:cs="Times New Roman"/>
          <w:iCs/>
          <w:sz w:val="24"/>
          <w:szCs w:val="24"/>
        </w:rPr>
        <w:t xml:space="preserve"> is the observed treatment value, and  </w:t>
      </w:r>
      <m:oMath>
        <m:acc>
          <m:accPr>
            <m:ctrlPr>
              <w:rPr>
                <w:rStyle w:val="mi"/>
                <w:rFonts w:ascii="Cambria Math" w:eastAsiaTheme="minorEastAsia" w:hAnsi="Cambria Math" w:cs="Times New Roman"/>
                <w:i/>
                <w:iCs/>
                <w:sz w:val="24"/>
                <w:szCs w:val="24"/>
              </w:rPr>
            </m:ctrlPr>
          </m:accPr>
          <m:e>
            <m:sSup>
              <m:sSupPr>
                <m:ctrlPr>
                  <w:rPr>
                    <w:rStyle w:val="mi"/>
                    <w:rFonts w:ascii="Cambria Math" w:eastAsiaTheme="minorEastAsia" w:hAnsi="Cambria Math" w:cs="Times New Roman"/>
                    <w:i/>
                    <w:iCs/>
                    <w:sz w:val="24"/>
                    <w:szCs w:val="24"/>
                  </w:rPr>
                </m:ctrlPr>
              </m:sSupPr>
              <m:e>
                <m:r>
                  <w:rPr>
                    <w:rStyle w:val="mi"/>
                    <w:rFonts w:ascii="Cambria Math" w:eastAsiaTheme="minorEastAsia" w:hAnsi="Cambria Math" w:cs="Times New Roman"/>
                    <w:sz w:val="24"/>
                    <w:szCs w:val="24"/>
                  </w:rPr>
                  <m:t>σ</m:t>
                </m:r>
              </m:e>
              <m:sup>
                <m:r>
                  <w:rPr>
                    <w:rStyle w:val="mi"/>
                    <w:rFonts w:ascii="Cambria Math" w:eastAsiaTheme="minorEastAsia" w:hAnsi="Cambria Math" w:cs="Times New Roman"/>
                    <w:sz w:val="24"/>
                    <w:szCs w:val="24"/>
                  </w:rPr>
                  <m:t>2</m:t>
                </m:r>
              </m:sup>
            </m:sSup>
          </m:e>
        </m:acc>
      </m:oMath>
      <w:r w:rsidRPr="004A2EBE">
        <w:rPr>
          <w:rStyle w:val="mi"/>
          <w:rFonts w:ascii="Times New Roman" w:eastAsiaTheme="minorEastAsia" w:hAnsi="Times New Roman" w:cs="Times New Roman"/>
          <w:iCs/>
          <w:sz w:val="24"/>
          <w:szCs w:val="24"/>
        </w:rPr>
        <w:t xml:space="preserve"> is the residual standard error from the linear regression model.  Considered another way, the propensity score is the probability of the standardized residual, given a normal distribution—or the probability of a given level of treatment, conditional on the confounders.  </w:t>
      </w:r>
    </w:p>
    <w:p w14:paraId="46570220" w14:textId="77777777" w:rsidR="00035505" w:rsidRPr="004A2EBE" w:rsidRDefault="00035505" w:rsidP="00035505">
      <w:pPr>
        <w:autoSpaceDE w:val="0"/>
        <w:autoSpaceDN w:val="0"/>
        <w:adjustRightInd w:val="0"/>
        <w:spacing w:line="480" w:lineRule="auto"/>
        <w:ind w:firstLine="720"/>
        <w:contextualSpacing/>
        <w:rPr>
          <w:rStyle w:val="mi"/>
          <w:rFonts w:ascii="Times New Roman" w:eastAsiaTheme="minorEastAsia" w:hAnsi="Times New Roman" w:cs="Times New Roman"/>
          <w:iCs/>
          <w:sz w:val="24"/>
          <w:szCs w:val="24"/>
        </w:rPr>
      </w:pPr>
      <w:r w:rsidRPr="004A2EBE">
        <w:rPr>
          <w:rStyle w:val="mi"/>
          <w:rFonts w:ascii="Times New Roman" w:eastAsiaTheme="minorEastAsia" w:hAnsi="Times New Roman" w:cs="Times New Roman"/>
          <w:iCs/>
          <w:sz w:val="24"/>
          <w:szCs w:val="24"/>
        </w:rPr>
        <w:t>The inverse of the propensity score is estimated to reflect the probability of receiving a treatment one unit different than the treatment he/she actually received.  As such, the IPWTs essentially create a pseudo-population in which those at a given level of the treatment approximate those receiving a unit lower of the treatment.  That is, they down-weight units that are over-represented for a given level of the treatment and up-weight units that are under-represented for that given level of treatment. Following Robins (200</w:t>
      </w:r>
      <w:r>
        <w:rPr>
          <w:rStyle w:val="mi"/>
          <w:rFonts w:ascii="Times New Roman" w:eastAsiaTheme="minorEastAsia" w:hAnsi="Times New Roman" w:cs="Times New Roman"/>
          <w:iCs/>
          <w:sz w:val="24"/>
          <w:szCs w:val="24"/>
        </w:rPr>
        <w:t>0</w:t>
      </w:r>
      <w:r w:rsidRPr="004A2EBE">
        <w:rPr>
          <w:rStyle w:val="mi"/>
          <w:rFonts w:ascii="Times New Roman" w:eastAsiaTheme="minorEastAsia" w:hAnsi="Times New Roman" w:cs="Times New Roman"/>
          <w:iCs/>
          <w:sz w:val="24"/>
          <w:szCs w:val="24"/>
        </w:rPr>
        <w:t>), because GPSs with continuous treatments can lead to unrealistically high probabilities, IPWTs are typically stabilized by the dividing GPS estimates derived from an “empty” linear regression model by those from the GPS estimates derived from the “full” model with the selection covariates.</w:t>
      </w:r>
    </w:p>
    <w:p w14:paraId="12F9695C" w14:textId="77777777" w:rsidR="00035505" w:rsidRPr="004A2EBE" w:rsidRDefault="00035505" w:rsidP="00035505">
      <w:pPr>
        <w:autoSpaceDE w:val="0"/>
        <w:autoSpaceDN w:val="0"/>
        <w:adjustRightInd w:val="0"/>
        <w:spacing w:line="480" w:lineRule="auto"/>
        <w:ind w:firstLine="720"/>
        <w:contextualSpacing/>
        <w:rPr>
          <w:rFonts w:ascii="Times New Roman" w:hAnsi="Times New Roman" w:cs="Times New Roman"/>
          <w:sz w:val="24"/>
          <w:szCs w:val="24"/>
        </w:rPr>
      </w:pPr>
      <w:r w:rsidRPr="004A2EBE">
        <w:rPr>
          <w:rFonts w:ascii="Times New Roman" w:hAnsi="Times New Roman" w:cs="Times New Roman"/>
          <w:sz w:val="24"/>
          <w:szCs w:val="24"/>
        </w:rPr>
        <w:lastRenderedPageBreak/>
        <w:t>Notably, the following assumptions are implicit in our model: (1) a normally distributed treatment, such that the conditional probability of receiving a given level of treatment can be estimated using a normal probability density function; (2) no unmeasured confounds exist outside of those modeled (</w:t>
      </w:r>
      <w:proofErr w:type="spellStart"/>
      <w:r w:rsidRPr="004A2EBE">
        <w:rPr>
          <w:rFonts w:ascii="Times New Roman" w:hAnsi="Times New Roman" w:cs="Times New Roman"/>
          <w:sz w:val="24"/>
          <w:szCs w:val="24"/>
        </w:rPr>
        <w:t>exchangability</w:t>
      </w:r>
      <w:proofErr w:type="spellEnd"/>
      <w:r w:rsidRPr="004A2EBE">
        <w:rPr>
          <w:rFonts w:ascii="Times New Roman" w:hAnsi="Times New Roman" w:cs="Times New Roman"/>
          <w:sz w:val="24"/>
          <w:szCs w:val="24"/>
        </w:rPr>
        <w:t xml:space="preserve">); (3) causal estimates are based on variation in treatments level that exist within the multivariate distribution of confounders—sometimes called the “region of common support” or the positivity assumption.  In other words, the effects of maternal sensitivity cannot be based on maternal sensitivity data that extrapolates to non-existent children, with respect to </w:t>
      </w:r>
      <w:proofErr w:type="gramStart"/>
      <w:r w:rsidRPr="004A2EBE">
        <w:rPr>
          <w:rFonts w:ascii="Times New Roman" w:hAnsi="Times New Roman" w:cs="Times New Roman"/>
          <w:sz w:val="24"/>
          <w:szCs w:val="24"/>
        </w:rPr>
        <w:t>the confounds</w:t>
      </w:r>
      <w:proofErr w:type="gramEnd"/>
      <w:r w:rsidRPr="004A2EBE">
        <w:rPr>
          <w:rFonts w:ascii="Times New Roman" w:hAnsi="Times New Roman" w:cs="Times New Roman"/>
          <w:sz w:val="24"/>
          <w:szCs w:val="24"/>
        </w:rPr>
        <w:t>; (4) correct specifications for both the selection and substantive models.</w:t>
      </w:r>
    </w:p>
    <w:p w14:paraId="054B98D6" w14:textId="77777777" w:rsidR="00035505" w:rsidRPr="004A2EBE" w:rsidRDefault="00035505" w:rsidP="00035505">
      <w:pPr>
        <w:autoSpaceDE w:val="0"/>
        <w:autoSpaceDN w:val="0"/>
        <w:adjustRightInd w:val="0"/>
        <w:spacing w:line="480" w:lineRule="auto"/>
        <w:ind w:firstLine="720"/>
        <w:contextualSpacing/>
        <w:rPr>
          <w:rStyle w:val="mi"/>
          <w:rFonts w:ascii="Times New Roman" w:eastAsiaTheme="minorEastAsia" w:hAnsi="Times New Roman" w:cs="Times New Roman"/>
          <w:iCs/>
          <w:sz w:val="24"/>
          <w:szCs w:val="24"/>
        </w:rPr>
      </w:pPr>
      <w:r w:rsidRPr="004A2EBE">
        <w:rPr>
          <w:rStyle w:val="mi"/>
          <w:rFonts w:ascii="Times New Roman" w:eastAsiaTheme="minorEastAsia" w:hAnsi="Times New Roman" w:cs="Times New Roman"/>
          <w:iCs/>
          <w:sz w:val="24"/>
          <w:szCs w:val="24"/>
        </w:rPr>
        <w:t>To estimate our GPS scores, we first imputed missing data across five datasets using the Amelia II package (</w:t>
      </w:r>
      <w:proofErr w:type="gramStart"/>
      <w:r w:rsidRPr="004A2EBE">
        <w:rPr>
          <w:rStyle w:val="mi"/>
          <w:rFonts w:ascii="Times New Roman" w:eastAsiaTheme="minorEastAsia" w:hAnsi="Times New Roman" w:cs="Times New Roman"/>
          <w:iCs/>
          <w:sz w:val="24"/>
          <w:szCs w:val="24"/>
        </w:rPr>
        <w:t>Honaker ,</w:t>
      </w:r>
      <w:proofErr w:type="gramEnd"/>
      <w:r w:rsidRPr="004A2EBE">
        <w:rPr>
          <w:rStyle w:val="mi"/>
          <w:rFonts w:ascii="Times New Roman" w:eastAsiaTheme="minorEastAsia" w:hAnsi="Times New Roman" w:cs="Times New Roman"/>
          <w:iCs/>
          <w:sz w:val="24"/>
          <w:szCs w:val="24"/>
        </w:rPr>
        <w:t xml:space="preserve"> King, &amp; Blackwell, 2011) for R (R Development Core Team, 2005).  </w:t>
      </w:r>
      <w:r w:rsidRPr="004A2EBE">
        <w:rPr>
          <w:rFonts w:ascii="Times New Roman" w:hAnsi="Times New Roman" w:cs="Times New Roman"/>
          <w:sz w:val="24"/>
          <w:szCs w:val="24"/>
        </w:rPr>
        <w:t>W</w:t>
      </w:r>
      <w:r w:rsidRPr="004A2EBE">
        <w:rPr>
          <w:rStyle w:val="mi"/>
          <w:rFonts w:ascii="Times New Roman" w:eastAsiaTheme="minorEastAsia" w:hAnsi="Times New Roman" w:cs="Times New Roman"/>
          <w:iCs/>
          <w:sz w:val="24"/>
          <w:szCs w:val="24"/>
        </w:rPr>
        <w:t xml:space="preserve">e estimated GPSs by regressing mean maternal sensitivity on 45 potential pre-treatment confounds. These selection-model predictors were obtained from a larger pool of all demographic, maternal, and infancy variables available at 2 months of age. </w:t>
      </w:r>
    </w:p>
    <w:p w14:paraId="4032F5E0" w14:textId="77777777" w:rsidR="00035505" w:rsidRPr="004A2EBE" w:rsidRDefault="00035505" w:rsidP="00035505">
      <w:pPr>
        <w:autoSpaceDE w:val="0"/>
        <w:autoSpaceDN w:val="0"/>
        <w:adjustRightInd w:val="0"/>
        <w:spacing w:line="480" w:lineRule="auto"/>
        <w:ind w:firstLine="720"/>
        <w:contextualSpacing/>
        <w:rPr>
          <w:rStyle w:val="mi"/>
          <w:rFonts w:ascii="Times New Roman" w:eastAsiaTheme="minorEastAsia" w:hAnsi="Times New Roman" w:cs="Times New Roman"/>
          <w:iCs/>
          <w:sz w:val="24"/>
          <w:szCs w:val="24"/>
        </w:rPr>
      </w:pPr>
      <w:r w:rsidRPr="004A2EBE">
        <w:rPr>
          <w:rStyle w:val="mi"/>
          <w:rFonts w:ascii="Times New Roman" w:eastAsiaTheme="minorEastAsia" w:hAnsi="Times New Roman" w:cs="Times New Roman"/>
          <w:iCs/>
          <w:sz w:val="24"/>
          <w:szCs w:val="24"/>
        </w:rPr>
        <w:t>OLS models were fitted iteratively (</w:t>
      </w:r>
      <w:proofErr w:type="spellStart"/>
      <w:r w:rsidRPr="004A2EBE">
        <w:rPr>
          <w:rStyle w:val="mi"/>
          <w:rFonts w:ascii="Times New Roman" w:eastAsiaTheme="minorEastAsia" w:hAnsi="Times New Roman" w:cs="Times New Roman"/>
          <w:iCs/>
          <w:sz w:val="24"/>
          <w:szCs w:val="24"/>
        </w:rPr>
        <w:t>Proc</w:t>
      </w:r>
      <w:proofErr w:type="spellEnd"/>
      <w:r w:rsidRPr="004A2EBE">
        <w:rPr>
          <w:rStyle w:val="mi"/>
          <w:rFonts w:ascii="Times New Roman" w:eastAsiaTheme="minorEastAsia" w:hAnsi="Times New Roman" w:cs="Times New Roman"/>
          <w:iCs/>
          <w:sz w:val="24"/>
          <w:szCs w:val="24"/>
        </w:rPr>
        <w:t xml:space="preserve"> </w:t>
      </w:r>
      <w:proofErr w:type="spellStart"/>
      <w:r w:rsidRPr="004A2EBE">
        <w:rPr>
          <w:rStyle w:val="mi"/>
          <w:rFonts w:ascii="Times New Roman" w:eastAsiaTheme="minorEastAsia" w:hAnsi="Times New Roman" w:cs="Times New Roman"/>
          <w:iCs/>
          <w:sz w:val="24"/>
          <w:szCs w:val="24"/>
        </w:rPr>
        <w:t>Reg</w:t>
      </w:r>
      <w:proofErr w:type="spellEnd"/>
      <w:r w:rsidRPr="004A2EBE">
        <w:rPr>
          <w:rStyle w:val="mi"/>
          <w:rFonts w:ascii="Times New Roman" w:eastAsiaTheme="minorEastAsia" w:hAnsi="Times New Roman" w:cs="Times New Roman"/>
          <w:iCs/>
          <w:sz w:val="24"/>
          <w:szCs w:val="24"/>
        </w:rPr>
        <w:t xml:space="preserve">; SAS), transforming and interacting variables as needed in order to achieve balance of the covariates across levels parental sensitivity (see below). As above, we used the standardized residuals from an “empty” model and from the respective “final” conditional models to obtain estimate the respective probabilities of the outcome, given an </w:t>
      </w:r>
      <w:proofErr w:type="spellStart"/>
      <w:r w:rsidRPr="004A2EBE">
        <w:rPr>
          <w:rStyle w:val="mi"/>
          <w:rFonts w:ascii="Times New Roman" w:eastAsiaTheme="minorEastAsia" w:hAnsi="Times New Roman" w:cs="Times New Roman"/>
          <w:iCs/>
          <w:sz w:val="24"/>
          <w:szCs w:val="24"/>
        </w:rPr>
        <w:t>n.d.f</w:t>
      </w:r>
      <w:proofErr w:type="spellEnd"/>
      <w:r w:rsidRPr="004A2EBE">
        <w:rPr>
          <w:rStyle w:val="mi"/>
          <w:rFonts w:ascii="Times New Roman" w:eastAsiaTheme="minorEastAsia" w:hAnsi="Times New Roman" w:cs="Times New Roman"/>
          <w:iCs/>
          <w:sz w:val="24"/>
          <w:szCs w:val="24"/>
        </w:rPr>
        <w:t>—dividing the latter by the former to create the stabilized inverse probability weights (see Robins et al., 200</w:t>
      </w:r>
      <w:r>
        <w:rPr>
          <w:rStyle w:val="mi"/>
          <w:rFonts w:ascii="Times New Roman" w:eastAsiaTheme="minorEastAsia" w:hAnsi="Times New Roman" w:cs="Times New Roman"/>
          <w:iCs/>
          <w:sz w:val="24"/>
          <w:szCs w:val="24"/>
        </w:rPr>
        <w:t>0</w:t>
      </w:r>
      <w:r w:rsidRPr="004A2EBE">
        <w:rPr>
          <w:rStyle w:val="mi"/>
          <w:rFonts w:ascii="Times New Roman" w:eastAsiaTheme="minorEastAsia" w:hAnsi="Times New Roman" w:cs="Times New Roman"/>
          <w:iCs/>
          <w:sz w:val="24"/>
          <w:szCs w:val="24"/>
        </w:rPr>
        <w:t xml:space="preserve">). The entire series of models and estimations were conducted for each of the five imputed datasets and the IPWTs were averaged the weights across imputations.  Similar to prior work (Sampson, Sharkey, &amp; </w:t>
      </w:r>
      <w:proofErr w:type="spellStart"/>
      <w:r w:rsidRPr="004A2EBE">
        <w:rPr>
          <w:rStyle w:val="mi"/>
          <w:rFonts w:ascii="Times New Roman" w:eastAsiaTheme="minorEastAsia" w:hAnsi="Times New Roman" w:cs="Times New Roman"/>
          <w:iCs/>
          <w:sz w:val="24"/>
          <w:szCs w:val="24"/>
        </w:rPr>
        <w:t>Raudenbush</w:t>
      </w:r>
      <w:proofErr w:type="spellEnd"/>
      <w:r w:rsidRPr="004A2EBE">
        <w:rPr>
          <w:rStyle w:val="mi"/>
          <w:rFonts w:ascii="Times New Roman" w:eastAsiaTheme="minorEastAsia" w:hAnsi="Times New Roman" w:cs="Times New Roman"/>
          <w:iCs/>
          <w:sz w:val="24"/>
          <w:szCs w:val="24"/>
        </w:rPr>
        <w:t xml:space="preserve">, 2008) we trimmed </w:t>
      </w:r>
      <w:r w:rsidRPr="004A2EBE">
        <w:rPr>
          <w:rStyle w:val="mi"/>
          <w:rFonts w:ascii="Times New Roman" w:eastAsiaTheme="minorEastAsia" w:hAnsi="Times New Roman" w:cs="Times New Roman"/>
          <w:iCs/>
          <w:sz w:val="24"/>
          <w:szCs w:val="24"/>
        </w:rPr>
        <w:lastRenderedPageBreak/>
        <w:t>extremely high weights (&gt; 99</w:t>
      </w:r>
      <w:r w:rsidRPr="004A2EBE">
        <w:rPr>
          <w:rStyle w:val="mi"/>
          <w:rFonts w:ascii="Times New Roman" w:eastAsiaTheme="minorEastAsia" w:hAnsi="Times New Roman" w:cs="Times New Roman"/>
          <w:iCs/>
          <w:sz w:val="24"/>
          <w:szCs w:val="24"/>
          <w:vertAlign w:val="superscript"/>
        </w:rPr>
        <w:t>th</w:t>
      </w:r>
      <w:r w:rsidRPr="004A2EBE">
        <w:rPr>
          <w:rStyle w:val="mi"/>
          <w:rFonts w:ascii="Times New Roman" w:eastAsiaTheme="minorEastAsia" w:hAnsi="Times New Roman" w:cs="Times New Roman"/>
          <w:iCs/>
          <w:sz w:val="24"/>
          <w:szCs w:val="24"/>
        </w:rPr>
        <w:t xml:space="preserve"> percentile) and imputed 99th</w:t>
      </w:r>
      <w:r w:rsidRPr="004A2EBE">
        <w:rPr>
          <w:rStyle w:val="mi"/>
          <w:rFonts w:ascii="Times New Roman" w:eastAsiaTheme="minorEastAsia" w:hAnsi="Times New Roman" w:cs="Times New Roman"/>
          <w:iCs/>
          <w:sz w:val="24"/>
          <w:szCs w:val="24"/>
          <w:vertAlign w:val="superscript"/>
        </w:rPr>
        <w:t xml:space="preserve"> </w:t>
      </w:r>
      <w:r w:rsidRPr="004A2EBE">
        <w:rPr>
          <w:rStyle w:val="mi"/>
          <w:rFonts w:ascii="Times New Roman" w:eastAsiaTheme="minorEastAsia" w:hAnsi="Times New Roman" w:cs="Times New Roman"/>
          <w:iCs/>
          <w:sz w:val="24"/>
          <w:szCs w:val="24"/>
        </w:rPr>
        <w:t xml:space="preserve">percentile values to reduce their undue leverage. </w:t>
      </w:r>
    </w:p>
    <w:p w14:paraId="7E0F6BB0" w14:textId="77777777" w:rsidR="001B5521" w:rsidRDefault="002A14AC" w:rsidP="00035505">
      <w:pPr>
        <w:autoSpaceDE w:val="0"/>
        <w:autoSpaceDN w:val="0"/>
        <w:adjustRightInd w:val="0"/>
        <w:spacing w:line="480" w:lineRule="auto"/>
        <w:contextualSpacing/>
        <w:rPr>
          <w:rStyle w:val="mi"/>
          <w:rFonts w:ascii="Times New Roman" w:eastAsiaTheme="minorEastAsia" w:hAnsi="Times New Roman" w:cs="Times New Roman"/>
          <w:iCs/>
          <w:sz w:val="24"/>
          <w:szCs w:val="24"/>
        </w:rPr>
      </w:pPr>
      <w:r>
        <w:rPr>
          <w:rStyle w:val="mi"/>
          <w:rFonts w:ascii="Times New Roman" w:eastAsiaTheme="minorEastAsia" w:hAnsi="Times New Roman" w:cs="Times New Roman"/>
          <w:iCs/>
          <w:sz w:val="24"/>
          <w:szCs w:val="24"/>
        </w:rPr>
        <w:t xml:space="preserve">  </w:t>
      </w:r>
      <w:r>
        <w:rPr>
          <w:rStyle w:val="mi"/>
          <w:rFonts w:ascii="Times New Roman" w:eastAsiaTheme="minorEastAsia" w:hAnsi="Times New Roman" w:cs="Times New Roman"/>
          <w:iCs/>
          <w:sz w:val="24"/>
          <w:szCs w:val="24"/>
        </w:rPr>
        <w:tab/>
        <w:t>As shown in Figure S.</w:t>
      </w:r>
      <w:r w:rsidR="00035505" w:rsidRPr="004A2EBE">
        <w:rPr>
          <w:rStyle w:val="mi"/>
          <w:rFonts w:ascii="Times New Roman" w:eastAsiaTheme="minorEastAsia" w:hAnsi="Times New Roman" w:cs="Times New Roman"/>
          <w:iCs/>
          <w:sz w:val="24"/>
          <w:szCs w:val="24"/>
        </w:rPr>
        <w:t xml:space="preserve">1, the weights removed the vast majority of the imbalance. After weighting, formerly moderate to strong associations between maternal sensitivity and the selection variables were rendered largely orthogonal.  All weighted correlations were well below .20, with the majority of them below .05.  Selection variables showing modest imbalance were included as covariates in the multi-level models testing our substantive questions. </w:t>
      </w:r>
    </w:p>
    <w:p w14:paraId="30A32C8F" w14:textId="77777777" w:rsidR="00A36507" w:rsidRDefault="00A36507">
      <w:pPr>
        <w:rPr>
          <w:rStyle w:val="mi"/>
          <w:rFonts w:ascii="Times New Roman" w:eastAsiaTheme="minorEastAsia" w:hAnsi="Times New Roman" w:cs="Times New Roman"/>
          <w:iCs/>
          <w:sz w:val="24"/>
          <w:szCs w:val="24"/>
        </w:rPr>
      </w:pPr>
      <w:r>
        <w:rPr>
          <w:rStyle w:val="mi"/>
          <w:rFonts w:ascii="Times New Roman" w:eastAsiaTheme="minorEastAsia" w:hAnsi="Times New Roman" w:cs="Times New Roman"/>
          <w:iCs/>
          <w:sz w:val="24"/>
          <w:szCs w:val="24"/>
        </w:rPr>
        <w:br w:type="page"/>
      </w:r>
    </w:p>
    <w:p w14:paraId="7EF139E5" w14:textId="77777777" w:rsidR="00A36507" w:rsidRPr="004A2EBE" w:rsidRDefault="00A36507" w:rsidP="00A36507">
      <w:pPr>
        <w:autoSpaceDE w:val="0"/>
        <w:autoSpaceDN w:val="0"/>
        <w:adjustRightInd w:val="0"/>
        <w:spacing w:line="480" w:lineRule="auto"/>
        <w:contextualSpacing/>
        <w:rPr>
          <w:rStyle w:val="mi"/>
          <w:rFonts w:ascii="Times New Roman" w:eastAsiaTheme="minorEastAsia" w:hAnsi="Times New Roman" w:cs="Times New Roman"/>
          <w:iCs/>
          <w:sz w:val="24"/>
          <w:szCs w:val="24"/>
        </w:rPr>
      </w:pPr>
      <w:r w:rsidRPr="004A2EBE">
        <w:rPr>
          <w:rStyle w:val="mi"/>
          <w:rFonts w:ascii="Times New Roman" w:eastAsiaTheme="minorEastAsia" w:hAnsi="Times New Roman" w:cs="Times New Roman"/>
          <w:iCs/>
          <w:sz w:val="24"/>
          <w:szCs w:val="24"/>
        </w:rPr>
        <w:lastRenderedPageBreak/>
        <w:t>Figure S</w:t>
      </w:r>
      <w:r w:rsidR="002A14AC">
        <w:rPr>
          <w:rStyle w:val="mi"/>
          <w:rFonts w:ascii="Times New Roman" w:eastAsiaTheme="minorEastAsia" w:hAnsi="Times New Roman" w:cs="Times New Roman"/>
          <w:iCs/>
          <w:sz w:val="24"/>
          <w:szCs w:val="24"/>
        </w:rPr>
        <w:t>.1</w:t>
      </w:r>
      <w:r w:rsidRPr="004A2EBE">
        <w:rPr>
          <w:rStyle w:val="mi"/>
          <w:rFonts w:ascii="Times New Roman" w:eastAsiaTheme="minorEastAsia" w:hAnsi="Times New Roman" w:cs="Times New Roman"/>
          <w:iCs/>
          <w:sz w:val="24"/>
          <w:szCs w:val="24"/>
        </w:rPr>
        <w:t xml:space="preserve">. </w:t>
      </w:r>
      <w:proofErr w:type="gramStart"/>
      <w:r w:rsidRPr="004A2EBE">
        <w:rPr>
          <w:rStyle w:val="mi"/>
          <w:rFonts w:ascii="Times New Roman" w:eastAsiaTheme="minorEastAsia" w:hAnsi="Times New Roman" w:cs="Times New Roman"/>
          <w:i/>
          <w:iCs/>
          <w:sz w:val="24"/>
          <w:szCs w:val="24"/>
        </w:rPr>
        <w:t xml:space="preserve">Correlations between selection variables (i.e., confounders) and Mean Maternal Sensitivity levels across </w:t>
      </w:r>
      <w:r>
        <w:rPr>
          <w:rStyle w:val="mi"/>
          <w:rFonts w:ascii="Times New Roman" w:eastAsiaTheme="minorEastAsia" w:hAnsi="Times New Roman" w:cs="Times New Roman"/>
          <w:i/>
          <w:iCs/>
          <w:sz w:val="24"/>
          <w:szCs w:val="24"/>
        </w:rPr>
        <w:t>7</w:t>
      </w:r>
      <w:r w:rsidRPr="004A2EBE">
        <w:rPr>
          <w:rStyle w:val="mi"/>
          <w:rFonts w:ascii="Times New Roman" w:eastAsiaTheme="minorEastAsia" w:hAnsi="Times New Roman" w:cs="Times New Roman"/>
          <w:i/>
          <w:iCs/>
          <w:sz w:val="24"/>
          <w:szCs w:val="24"/>
        </w:rPr>
        <w:t>, 15, 24 months, pre- and post-IPWT weighting.</w:t>
      </w:r>
      <w:proofErr w:type="gramEnd"/>
      <w:r w:rsidRPr="004A2EBE">
        <w:rPr>
          <w:rStyle w:val="mi"/>
          <w:rFonts w:ascii="Times New Roman" w:eastAsiaTheme="minorEastAsia" w:hAnsi="Times New Roman" w:cs="Times New Roman"/>
          <w:i/>
          <w:iCs/>
          <w:sz w:val="24"/>
          <w:szCs w:val="24"/>
        </w:rPr>
        <w:t xml:space="preserve"> Smaller correlations reflect balance.</w:t>
      </w:r>
    </w:p>
    <w:p w14:paraId="0746FF21" w14:textId="77777777" w:rsidR="00A36507" w:rsidRDefault="00A36507" w:rsidP="00A36507">
      <w:pPr>
        <w:spacing w:line="480" w:lineRule="auto"/>
        <w:ind w:firstLine="720"/>
        <w:contextualSpacing/>
        <w:rPr>
          <w:color w:val="000000" w:themeColor="text1"/>
        </w:rPr>
      </w:pPr>
      <w:r>
        <w:rPr>
          <w:noProof/>
        </w:rPr>
        <w:drawing>
          <wp:inline distT="0" distB="0" distL="0" distR="0" wp14:anchorId="353C6B27" wp14:editId="69E788FD">
            <wp:extent cx="5495925" cy="44100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9B64F0F" w14:textId="77777777" w:rsidR="00A36507" w:rsidRDefault="00A36507" w:rsidP="00035505">
      <w:pPr>
        <w:autoSpaceDE w:val="0"/>
        <w:autoSpaceDN w:val="0"/>
        <w:adjustRightInd w:val="0"/>
        <w:spacing w:line="480" w:lineRule="auto"/>
        <w:contextualSpacing/>
        <w:rPr>
          <w:rStyle w:val="mi"/>
          <w:rFonts w:ascii="Times New Roman" w:eastAsiaTheme="minorEastAsia" w:hAnsi="Times New Roman" w:cs="Times New Roman"/>
          <w:iCs/>
          <w:sz w:val="24"/>
          <w:szCs w:val="24"/>
        </w:rPr>
      </w:pPr>
    </w:p>
    <w:p w14:paraId="7203C385" w14:textId="77777777" w:rsidR="00A36507" w:rsidRDefault="00A36507">
      <w:pPr>
        <w:rPr>
          <w:rStyle w:val="mi"/>
          <w:rFonts w:ascii="Times New Roman" w:eastAsiaTheme="minorEastAsia" w:hAnsi="Times New Roman" w:cs="Times New Roman"/>
          <w:iCs/>
          <w:sz w:val="24"/>
          <w:szCs w:val="24"/>
        </w:rPr>
      </w:pPr>
      <w:r>
        <w:rPr>
          <w:rStyle w:val="mi"/>
          <w:rFonts w:ascii="Times New Roman" w:eastAsiaTheme="minorEastAsia" w:hAnsi="Times New Roman" w:cs="Times New Roman"/>
          <w:iCs/>
          <w:sz w:val="24"/>
          <w:szCs w:val="24"/>
        </w:rPr>
        <w:br w:type="page"/>
      </w:r>
    </w:p>
    <w:p w14:paraId="1570B3B0" w14:textId="77777777" w:rsidR="00035505" w:rsidRPr="006E4FD0" w:rsidRDefault="00035505" w:rsidP="00035505">
      <w:pPr>
        <w:autoSpaceDE w:val="0"/>
        <w:autoSpaceDN w:val="0"/>
        <w:adjustRightInd w:val="0"/>
        <w:spacing w:line="480" w:lineRule="auto"/>
        <w:contextualSpacing/>
        <w:jc w:val="center"/>
        <w:rPr>
          <w:rStyle w:val="mi"/>
          <w:rFonts w:ascii="Times New Roman" w:eastAsiaTheme="minorEastAsia" w:hAnsi="Times New Roman" w:cs="Times New Roman"/>
          <w:iCs/>
          <w:sz w:val="24"/>
          <w:szCs w:val="24"/>
        </w:rPr>
      </w:pPr>
      <w:r w:rsidRPr="006E4FD0">
        <w:rPr>
          <w:rStyle w:val="mi"/>
          <w:rFonts w:ascii="Times New Roman" w:eastAsiaTheme="minorEastAsia" w:hAnsi="Times New Roman" w:cs="Times New Roman"/>
          <w:iCs/>
          <w:sz w:val="24"/>
          <w:szCs w:val="24"/>
        </w:rPr>
        <w:lastRenderedPageBreak/>
        <w:t>References</w:t>
      </w:r>
    </w:p>
    <w:p w14:paraId="1FAA2FD8" w14:textId="77777777" w:rsidR="00035505" w:rsidRPr="006E4FD0" w:rsidRDefault="00035505" w:rsidP="00035505">
      <w:pPr>
        <w:spacing w:line="480" w:lineRule="auto"/>
        <w:ind w:left="720" w:hanging="720"/>
        <w:contextualSpacing/>
        <w:rPr>
          <w:rFonts w:ascii="Times New Roman" w:eastAsia="Calibri" w:hAnsi="Times New Roman" w:cs="Times New Roman"/>
          <w:sz w:val="24"/>
          <w:szCs w:val="24"/>
        </w:rPr>
      </w:pPr>
      <w:proofErr w:type="spellStart"/>
      <w:r w:rsidRPr="006E4FD0">
        <w:rPr>
          <w:rFonts w:ascii="Times New Roman" w:eastAsia="Calibri" w:hAnsi="Times New Roman" w:cs="Times New Roman"/>
          <w:sz w:val="24"/>
          <w:szCs w:val="24"/>
        </w:rPr>
        <w:t>Derogatis</w:t>
      </w:r>
      <w:proofErr w:type="spellEnd"/>
      <w:r w:rsidRPr="006E4FD0">
        <w:rPr>
          <w:rFonts w:ascii="Times New Roman" w:eastAsia="Calibri" w:hAnsi="Times New Roman" w:cs="Times New Roman"/>
          <w:sz w:val="24"/>
          <w:szCs w:val="24"/>
        </w:rPr>
        <w:t xml:space="preserve"> L (2000). </w:t>
      </w:r>
      <w:proofErr w:type="gramStart"/>
      <w:r w:rsidRPr="006E4FD0">
        <w:rPr>
          <w:rFonts w:ascii="Times New Roman" w:eastAsia="Calibri" w:hAnsi="Times New Roman" w:cs="Times New Roman"/>
          <w:i/>
          <w:sz w:val="24"/>
          <w:szCs w:val="24"/>
        </w:rPr>
        <w:t>Brief symptom inventory.</w:t>
      </w:r>
      <w:proofErr w:type="gramEnd"/>
      <w:r w:rsidRPr="006E4FD0">
        <w:rPr>
          <w:rFonts w:ascii="Times New Roman" w:eastAsia="Calibri" w:hAnsi="Times New Roman" w:cs="Times New Roman"/>
          <w:i/>
          <w:sz w:val="24"/>
          <w:szCs w:val="24"/>
        </w:rPr>
        <w:t xml:space="preserve"> Vol. 18</w:t>
      </w:r>
      <w:r w:rsidRPr="006E4FD0">
        <w:rPr>
          <w:rFonts w:ascii="Times New Roman" w:eastAsia="Calibri" w:hAnsi="Times New Roman" w:cs="Times New Roman"/>
          <w:sz w:val="24"/>
          <w:szCs w:val="24"/>
        </w:rPr>
        <w:t>. Minneapolis: NCS Pearson, Inc.</w:t>
      </w:r>
    </w:p>
    <w:p w14:paraId="5EFA4131" w14:textId="77777777" w:rsidR="00035505" w:rsidRPr="006E4FD0" w:rsidRDefault="00035505" w:rsidP="00035505">
      <w:pPr>
        <w:spacing w:line="480" w:lineRule="auto"/>
        <w:ind w:left="720" w:hanging="720"/>
        <w:contextualSpacing/>
        <w:rPr>
          <w:rFonts w:ascii="Times New Roman" w:eastAsia="Calibri" w:hAnsi="Times New Roman" w:cs="Times New Roman"/>
          <w:sz w:val="24"/>
          <w:szCs w:val="24"/>
        </w:rPr>
      </w:pPr>
      <w:r w:rsidRPr="006E4FD0">
        <w:rPr>
          <w:rFonts w:ascii="Times New Roman" w:eastAsia="Calibri" w:hAnsi="Times New Roman" w:cs="Times New Roman"/>
          <w:sz w:val="24"/>
          <w:szCs w:val="24"/>
        </w:rPr>
        <w:t>Kaufman, A., S. &amp; Kaufman, N.</w:t>
      </w:r>
      <w:proofErr w:type="gramStart"/>
      <w:r w:rsidRPr="006E4FD0">
        <w:rPr>
          <w:rFonts w:ascii="Times New Roman" w:eastAsia="Calibri" w:hAnsi="Times New Roman" w:cs="Times New Roman"/>
          <w:sz w:val="24"/>
          <w:szCs w:val="24"/>
        </w:rPr>
        <w:t>,L</w:t>
      </w:r>
      <w:proofErr w:type="gramEnd"/>
      <w:r w:rsidRPr="006E4FD0">
        <w:rPr>
          <w:rFonts w:ascii="Times New Roman" w:eastAsia="Calibri" w:hAnsi="Times New Roman" w:cs="Times New Roman"/>
          <w:sz w:val="24"/>
          <w:szCs w:val="24"/>
        </w:rPr>
        <w:t xml:space="preserve">. (1994). </w:t>
      </w:r>
      <w:r w:rsidRPr="006E4FD0">
        <w:rPr>
          <w:rFonts w:ascii="Times New Roman" w:eastAsia="Calibri" w:hAnsi="Times New Roman" w:cs="Times New Roman"/>
          <w:i/>
          <w:sz w:val="24"/>
          <w:szCs w:val="24"/>
        </w:rPr>
        <w:t>KFAST: Kaufman functional academic skills test</w:t>
      </w:r>
      <w:r w:rsidRPr="006E4FD0">
        <w:rPr>
          <w:rFonts w:ascii="Times New Roman" w:eastAsia="Calibri" w:hAnsi="Times New Roman" w:cs="Times New Roman"/>
          <w:sz w:val="24"/>
          <w:szCs w:val="24"/>
        </w:rPr>
        <w:t xml:space="preserve">. Toronto, Canada: </w:t>
      </w:r>
      <w:proofErr w:type="spellStart"/>
      <w:r w:rsidRPr="006E4FD0">
        <w:rPr>
          <w:rFonts w:ascii="Times New Roman" w:eastAsia="Calibri" w:hAnsi="Times New Roman" w:cs="Times New Roman"/>
          <w:sz w:val="24"/>
          <w:szCs w:val="24"/>
        </w:rPr>
        <w:t>Psycan</w:t>
      </w:r>
      <w:proofErr w:type="spellEnd"/>
      <w:r w:rsidRPr="006E4FD0">
        <w:rPr>
          <w:rFonts w:ascii="Times New Roman" w:eastAsia="Calibri" w:hAnsi="Times New Roman" w:cs="Times New Roman"/>
          <w:sz w:val="24"/>
          <w:szCs w:val="24"/>
        </w:rPr>
        <w:t xml:space="preserve">. </w:t>
      </w:r>
    </w:p>
    <w:p w14:paraId="41A3D8D5" w14:textId="77777777" w:rsidR="00035505" w:rsidRPr="006E4FD0" w:rsidRDefault="00035505" w:rsidP="00035505">
      <w:pPr>
        <w:spacing w:line="480" w:lineRule="auto"/>
        <w:ind w:left="720" w:hanging="720"/>
        <w:contextualSpacing/>
        <w:rPr>
          <w:rStyle w:val="slug-doi"/>
          <w:rFonts w:ascii="Times New Roman" w:hAnsi="Times New Roman" w:cs="Times New Roman"/>
          <w:sz w:val="24"/>
          <w:szCs w:val="24"/>
        </w:rPr>
      </w:pPr>
      <w:proofErr w:type="gramStart"/>
      <w:r w:rsidRPr="006E4FD0">
        <w:rPr>
          <w:rFonts w:ascii="Times New Roman" w:hAnsi="Times New Roman" w:cs="Times New Roman"/>
          <w:sz w:val="24"/>
          <w:szCs w:val="24"/>
        </w:rPr>
        <w:t xml:space="preserve">Flanagan, D. P., McGrew, K. S., Abramowitz, E., </w:t>
      </w:r>
      <w:proofErr w:type="spellStart"/>
      <w:r w:rsidRPr="006E4FD0">
        <w:rPr>
          <w:rFonts w:ascii="Times New Roman" w:hAnsi="Times New Roman" w:cs="Times New Roman"/>
          <w:sz w:val="24"/>
          <w:szCs w:val="24"/>
        </w:rPr>
        <w:t>Lehner</w:t>
      </w:r>
      <w:proofErr w:type="spellEnd"/>
      <w:r w:rsidRPr="006E4FD0">
        <w:rPr>
          <w:rFonts w:ascii="Times New Roman" w:hAnsi="Times New Roman" w:cs="Times New Roman"/>
          <w:sz w:val="24"/>
          <w:szCs w:val="24"/>
        </w:rPr>
        <w:t xml:space="preserve">, L., </w:t>
      </w:r>
      <w:proofErr w:type="spellStart"/>
      <w:r w:rsidRPr="006E4FD0">
        <w:rPr>
          <w:rFonts w:ascii="Times New Roman" w:hAnsi="Times New Roman" w:cs="Times New Roman"/>
          <w:sz w:val="24"/>
          <w:szCs w:val="24"/>
        </w:rPr>
        <w:t>Untiedt</w:t>
      </w:r>
      <w:proofErr w:type="spellEnd"/>
      <w:r w:rsidRPr="006E4FD0">
        <w:rPr>
          <w:rFonts w:ascii="Times New Roman" w:hAnsi="Times New Roman" w:cs="Times New Roman"/>
          <w:sz w:val="24"/>
          <w:szCs w:val="24"/>
        </w:rPr>
        <w:t>, S., Berger, D., &amp; Armstrong, H. (1997).</w:t>
      </w:r>
      <w:proofErr w:type="gramEnd"/>
      <w:r w:rsidRPr="006E4FD0">
        <w:rPr>
          <w:rFonts w:ascii="Times New Roman" w:hAnsi="Times New Roman" w:cs="Times New Roman"/>
          <w:sz w:val="24"/>
          <w:szCs w:val="24"/>
        </w:rPr>
        <w:t xml:space="preserve"> </w:t>
      </w:r>
      <w:proofErr w:type="gramStart"/>
      <w:r w:rsidRPr="006E4FD0">
        <w:rPr>
          <w:rFonts w:ascii="Times New Roman" w:hAnsi="Times New Roman" w:cs="Times New Roman"/>
          <w:sz w:val="24"/>
          <w:szCs w:val="24"/>
        </w:rPr>
        <w:t>Improvement in academic screening instruments?</w:t>
      </w:r>
      <w:proofErr w:type="gramEnd"/>
      <w:r w:rsidRPr="006E4FD0">
        <w:rPr>
          <w:rFonts w:ascii="Times New Roman" w:hAnsi="Times New Roman" w:cs="Times New Roman"/>
          <w:sz w:val="24"/>
          <w:szCs w:val="24"/>
        </w:rPr>
        <w:t xml:space="preserve"> </w:t>
      </w:r>
      <w:proofErr w:type="gramStart"/>
      <w:r w:rsidRPr="006E4FD0">
        <w:rPr>
          <w:rFonts w:ascii="Times New Roman" w:hAnsi="Times New Roman" w:cs="Times New Roman"/>
          <w:sz w:val="24"/>
          <w:szCs w:val="24"/>
        </w:rPr>
        <w:t>A concurrent validity investigation of the K-FAST, MBA, and WRAT-3.</w:t>
      </w:r>
      <w:proofErr w:type="gramEnd"/>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 xml:space="preserve">Journal of </w:t>
      </w:r>
      <w:proofErr w:type="spellStart"/>
      <w:r w:rsidRPr="006E4FD0">
        <w:rPr>
          <w:rFonts w:ascii="Times New Roman" w:hAnsi="Times New Roman" w:cs="Times New Roman"/>
          <w:i/>
          <w:iCs/>
          <w:sz w:val="24"/>
          <w:szCs w:val="24"/>
        </w:rPr>
        <w:t>Psychoeducational</w:t>
      </w:r>
      <w:proofErr w:type="spellEnd"/>
      <w:r w:rsidRPr="006E4FD0">
        <w:rPr>
          <w:rFonts w:ascii="Times New Roman" w:hAnsi="Times New Roman" w:cs="Times New Roman"/>
          <w:i/>
          <w:iCs/>
          <w:sz w:val="24"/>
          <w:szCs w:val="24"/>
        </w:rPr>
        <w:t xml:space="preserve"> Assessment</w:t>
      </w:r>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15</w:t>
      </w:r>
      <w:r w:rsidRPr="006E4FD0">
        <w:rPr>
          <w:rFonts w:ascii="Times New Roman" w:hAnsi="Times New Roman" w:cs="Times New Roman"/>
          <w:sz w:val="24"/>
          <w:szCs w:val="24"/>
        </w:rPr>
        <w:t xml:space="preserve">, 99-112. </w:t>
      </w:r>
      <w:proofErr w:type="spellStart"/>
      <w:proofErr w:type="gramStart"/>
      <w:r w:rsidRPr="006E4FD0">
        <w:rPr>
          <w:rFonts w:ascii="Times New Roman" w:hAnsi="Times New Roman" w:cs="Times New Roman"/>
          <w:sz w:val="24"/>
          <w:szCs w:val="24"/>
        </w:rPr>
        <w:t>doi</w:t>
      </w:r>
      <w:proofErr w:type="spellEnd"/>
      <w:proofErr w:type="gramEnd"/>
      <w:r w:rsidRPr="006E4FD0">
        <w:rPr>
          <w:rFonts w:ascii="Times New Roman" w:hAnsi="Times New Roman" w:cs="Times New Roman"/>
          <w:sz w:val="24"/>
          <w:szCs w:val="24"/>
        </w:rPr>
        <w:t xml:space="preserve">: </w:t>
      </w:r>
      <w:r w:rsidRPr="006E4FD0">
        <w:rPr>
          <w:rStyle w:val="slug-doi"/>
          <w:rFonts w:ascii="Times New Roman" w:hAnsi="Times New Roman" w:cs="Times New Roman"/>
          <w:sz w:val="24"/>
          <w:szCs w:val="24"/>
        </w:rPr>
        <w:t>10.1177/073428299701500201</w:t>
      </w:r>
    </w:p>
    <w:p w14:paraId="45C229A9" w14:textId="77777777" w:rsidR="00035505" w:rsidRPr="006E4FD0" w:rsidRDefault="00035505" w:rsidP="00035505">
      <w:pPr>
        <w:spacing w:line="480" w:lineRule="auto"/>
        <w:ind w:left="720" w:hanging="720"/>
        <w:contextualSpacing/>
        <w:rPr>
          <w:rFonts w:ascii="Times New Roman" w:hAnsi="Times New Roman" w:cs="Times New Roman"/>
          <w:sz w:val="24"/>
          <w:szCs w:val="24"/>
        </w:rPr>
      </w:pPr>
      <w:r w:rsidRPr="006E4FD0">
        <w:rPr>
          <w:rFonts w:ascii="Times New Roman" w:hAnsi="Times New Roman" w:cs="Times New Roman"/>
          <w:sz w:val="24"/>
          <w:szCs w:val="24"/>
        </w:rPr>
        <w:t xml:space="preserve">Hirano, K., </w:t>
      </w:r>
      <w:proofErr w:type="gramStart"/>
      <w:r w:rsidRPr="006E4FD0">
        <w:rPr>
          <w:rFonts w:ascii="Times New Roman" w:hAnsi="Times New Roman" w:cs="Times New Roman"/>
          <w:sz w:val="24"/>
          <w:szCs w:val="24"/>
        </w:rPr>
        <w:t xml:space="preserve">&amp;  </w:t>
      </w:r>
      <w:proofErr w:type="spellStart"/>
      <w:r w:rsidRPr="006E4FD0">
        <w:rPr>
          <w:rFonts w:ascii="Times New Roman" w:hAnsi="Times New Roman" w:cs="Times New Roman"/>
          <w:sz w:val="24"/>
          <w:szCs w:val="24"/>
        </w:rPr>
        <w:t>Imbens</w:t>
      </w:r>
      <w:proofErr w:type="spellEnd"/>
      <w:proofErr w:type="gramEnd"/>
      <w:r w:rsidRPr="006E4FD0">
        <w:rPr>
          <w:rFonts w:ascii="Times New Roman" w:hAnsi="Times New Roman" w:cs="Times New Roman"/>
          <w:sz w:val="24"/>
          <w:szCs w:val="24"/>
        </w:rPr>
        <w:t>, G.  (2004)</w:t>
      </w:r>
      <w:proofErr w:type="gramStart"/>
      <w:r w:rsidRPr="006E4FD0">
        <w:rPr>
          <w:rFonts w:ascii="Times New Roman" w:hAnsi="Times New Roman" w:cs="Times New Roman"/>
          <w:sz w:val="24"/>
          <w:szCs w:val="24"/>
        </w:rPr>
        <w:t>. The propensity score with continuous treatments</w:t>
      </w:r>
      <w:r>
        <w:rPr>
          <w:rFonts w:ascii="Times New Roman" w:hAnsi="Times New Roman" w:cs="Times New Roman"/>
          <w:sz w:val="24"/>
          <w:szCs w:val="24"/>
        </w:rPr>
        <w:t>.</w:t>
      </w:r>
      <w:proofErr w:type="gramEnd"/>
      <w:r w:rsidRPr="006E4FD0">
        <w:rPr>
          <w:rFonts w:ascii="Times New Roman" w:hAnsi="Times New Roman" w:cs="Times New Roman"/>
          <w:sz w:val="24"/>
          <w:szCs w:val="24"/>
        </w:rPr>
        <w:t xml:space="preserve"> </w:t>
      </w:r>
      <w:r>
        <w:rPr>
          <w:rFonts w:ascii="Times New Roman" w:hAnsi="Times New Roman" w:cs="Times New Roman"/>
          <w:sz w:val="24"/>
          <w:szCs w:val="24"/>
        </w:rPr>
        <w:t xml:space="preserve"> In </w:t>
      </w:r>
      <w:proofErr w:type="spellStart"/>
      <w:proofErr w:type="gramStart"/>
      <w:r>
        <w:rPr>
          <w:rFonts w:ascii="Times New Roman" w:hAnsi="Times New Roman" w:cs="Times New Roman"/>
          <w:sz w:val="24"/>
          <w:szCs w:val="24"/>
        </w:rPr>
        <w:t>a</w:t>
      </w:r>
      <w:r w:rsidRPr="006E4FD0">
        <w:rPr>
          <w:rFonts w:ascii="Times New Roman" w:hAnsi="Times New Roman" w:cs="Times New Roman"/>
          <w:sz w:val="24"/>
          <w:szCs w:val="24"/>
        </w:rPr>
        <w:t>A</w:t>
      </w:r>
      <w:proofErr w:type="spellEnd"/>
      <w:proofErr w:type="gramEnd"/>
      <w:r w:rsidRPr="006E4FD0">
        <w:rPr>
          <w:rFonts w:ascii="Times New Roman" w:hAnsi="Times New Roman" w:cs="Times New Roman"/>
          <w:sz w:val="24"/>
          <w:szCs w:val="24"/>
        </w:rPr>
        <w:t xml:space="preserve">. </w:t>
      </w:r>
      <w:proofErr w:type="spellStart"/>
      <w:r w:rsidRPr="006E4FD0">
        <w:rPr>
          <w:rFonts w:ascii="Times New Roman" w:hAnsi="Times New Roman" w:cs="Times New Roman"/>
          <w:sz w:val="24"/>
          <w:szCs w:val="24"/>
        </w:rPr>
        <w:t>Gelman</w:t>
      </w:r>
      <w:proofErr w:type="spellEnd"/>
      <w:r w:rsidRPr="006E4FD0">
        <w:rPr>
          <w:rFonts w:ascii="Times New Roman" w:hAnsi="Times New Roman" w:cs="Times New Roman"/>
          <w:sz w:val="24"/>
          <w:szCs w:val="24"/>
        </w:rPr>
        <w:t xml:space="preserve"> &amp; X.L. </w:t>
      </w:r>
      <w:proofErr w:type="spellStart"/>
      <w:r w:rsidRPr="006E4FD0">
        <w:rPr>
          <w:rFonts w:ascii="Times New Roman" w:hAnsi="Times New Roman" w:cs="Times New Roman"/>
          <w:sz w:val="24"/>
          <w:szCs w:val="24"/>
        </w:rPr>
        <w:t>Meng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E4FD0">
        <w:rPr>
          <w:rFonts w:ascii="Times New Roman" w:hAnsi="Times New Roman" w:cs="Times New Roman"/>
          <w:sz w:val="24"/>
          <w:szCs w:val="24"/>
        </w:rPr>
        <w:t xml:space="preserve"> Eds</w:t>
      </w:r>
      <w:proofErr w:type="gramEnd"/>
      <w:r w:rsidRPr="006E4FD0">
        <w:rPr>
          <w:rFonts w:ascii="Times New Roman" w:hAnsi="Times New Roman" w:cs="Times New Roman"/>
          <w:sz w:val="24"/>
          <w:szCs w:val="24"/>
        </w:rPr>
        <w:t>.).</w:t>
      </w:r>
      <w:r w:rsidRPr="006E4FD0">
        <w:rPr>
          <w:rFonts w:ascii="Times New Roman" w:hAnsi="Times New Roman" w:cs="Times New Roman"/>
          <w:i/>
          <w:sz w:val="24"/>
          <w:szCs w:val="24"/>
        </w:rPr>
        <w:t xml:space="preserve"> </w:t>
      </w:r>
      <w:proofErr w:type="gramStart"/>
      <w:r w:rsidRPr="006E4FD0">
        <w:rPr>
          <w:rFonts w:ascii="Times New Roman" w:hAnsi="Times New Roman" w:cs="Times New Roman"/>
          <w:i/>
          <w:sz w:val="24"/>
          <w:szCs w:val="24"/>
        </w:rPr>
        <w:t xml:space="preserve">Applied Bayesian </w:t>
      </w:r>
      <w:r>
        <w:rPr>
          <w:rFonts w:ascii="Times New Roman" w:hAnsi="Times New Roman" w:cs="Times New Roman"/>
          <w:i/>
          <w:sz w:val="24"/>
          <w:szCs w:val="24"/>
        </w:rPr>
        <w:t>m</w:t>
      </w:r>
      <w:r w:rsidRPr="006E4FD0">
        <w:rPr>
          <w:rFonts w:ascii="Times New Roman" w:hAnsi="Times New Roman" w:cs="Times New Roman"/>
          <w:i/>
          <w:sz w:val="24"/>
          <w:szCs w:val="24"/>
        </w:rPr>
        <w:t>odeling and</w:t>
      </w:r>
      <w:r>
        <w:rPr>
          <w:rFonts w:ascii="Times New Roman" w:hAnsi="Times New Roman" w:cs="Times New Roman"/>
          <w:i/>
          <w:sz w:val="24"/>
          <w:szCs w:val="24"/>
        </w:rPr>
        <w:t xml:space="preserve"> c</w:t>
      </w:r>
      <w:r w:rsidRPr="006E4FD0">
        <w:rPr>
          <w:rFonts w:ascii="Times New Roman" w:hAnsi="Times New Roman" w:cs="Times New Roman"/>
          <w:i/>
          <w:sz w:val="24"/>
          <w:szCs w:val="24"/>
        </w:rPr>
        <w:t xml:space="preserve">ausal </w:t>
      </w:r>
      <w:r>
        <w:rPr>
          <w:rFonts w:ascii="Times New Roman" w:hAnsi="Times New Roman" w:cs="Times New Roman"/>
          <w:i/>
          <w:sz w:val="24"/>
          <w:szCs w:val="24"/>
        </w:rPr>
        <w:t>i</w:t>
      </w:r>
      <w:r w:rsidRPr="006E4FD0">
        <w:rPr>
          <w:rFonts w:ascii="Times New Roman" w:hAnsi="Times New Roman" w:cs="Times New Roman"/>
          <w:i/>
          <w:sz w:val="24"/>
          <w:szCs w:val="24"/>
        </w:rPr>
        <w:t xml:space="preserve">nference from </w:t>
      </w:r>
      <w:r>
        <w:rPr>
          <w:rFonts w:ascii="Times New Roman" w:hAnsi="Times New Roman" w:cs="Times New Roman"/>
          <w:i/>
          <w:sz w:val="24"/>
          <w:szCs w:val="24"/>
        </w:rPr>
        <w:t>i</w:t>
      </w:r>
      <w:r w:rsidRPr="006E4FD0">
        <w:rPr>
          <w:rFonts w:ascii="Times New Roman" w:hAnsi="Times New Roman" w:cs="Times New Roman"/>
          <w:i/>
          <w:sz w:val="24"/>
          <w:szCs w:val="24"/>
        </w:rPr>
        <w:t>ncomplete-</w:t>
      </w:r>
      <w:r>
        <w:rPr>
          <w:rFonts w:ascii="Times New Roman" w:hAnsi="Times New Roman" w:cs="Times New Roman"/>
          <w:i/>
          <w:sz w:val="24"/>
          <w:szCs w:val="24"/>
        </w:rPr>
        <w:t>d</w:t>
      </w:r>
      <w:r w:rsidRPr="006E4FD0">
        <w:rPr>
          <w:rFonts w:ascii="Times New Roman" w:hAnsi="Times New Roman" w:cs="Times New Roman"/>
          <w:i/>
          <w:sz w:val="24"/>
          <w:szCs w:val="24"/>
        </w:rPr>
        <w:t xml:space="preserve">ata </w:t>
      </w:r>
      <w:r>
        <w:rPr>
          <w:rFonts w:ascii="Times New Roman" w:hAnsi="Times New Roman" w:cs="Times New Roman"/>
          <w:i/>
          <w:sz w:val="24"/>
          <w:szCs w:val="24"/>
        </w:rPr>
        <w:t>p</w:t>
      </w:r>
      <w:r w:rsidRPr="006E4FD0">
        <w:rPr>
          <w:rFonts w:ascii="Times New Roman" w:hAnsi="Times New Roman" w:cs="Times New Roman"/>
          <w:i/>
          <w:sz w:val="24"/>
          <w:szCs w:val="24"/>
        </w:rPr>
        <w:t>erspectives.</w:t>
      </w:r>
      <w:proofErr w:type="gramEnd"/>
      <w:r w:rsidRPr="006E4FD0">
        <w:rPr>
          <w:rFonts w:ascii="Times New Roman" w:hAnsi="Times New Roman" w:cs="Times New Roman"/>
          <w:sz w:val="24"/>
          <w:szCs w:val="24"/>
        </w:rPr>
        <w:t xml:space="preserve"> New York: Wiley.</w:t>
      </w:r>
    </w:p>
    <w:p w14:paraId="44C520C5" w14:textId="77777777" w:rsidR="00035505" w:rsidRPr="006E4FD0" w:rsidRDefault="00035505" w:rsidP="00035505">
      <w:pPr>
        <w:spacing w:line="480" w:lineRule="auto"/>
        <w:ind w:left="720" w:hanging="720"/>
        <w:contextualSpacing/>
        <w:rPr>
          <w:rFonts w:ascii="Times New Roman" w:hAnsi="Times New Roman" w:cs="Times New Roman"/>
          <w:sz w:val="24"/>
          <w:szCs w:val="24"/>
        </w:rPr>
      </w:pPr>
      <w:proofErr w:type="gramStart"/>
      <w:r w:rsidRPr="006E4FD0">
        <w:rPr>
          <w:rFonts w:ascii="Times New Roman" w:hAnsi="Times New Roman" w:cs="Times New Roman"/>
          <w:sz w:val="24"/>
          <w:szCs w:val="24"/>
        </w:rPr>
        <w:t>Honaker J., King, G., &amp; Blackwell M. (2009).</w:t>
      </w:r>
      <w:proofErr w:type="gramEnd"/>
      <w:r w:rsidRPr="006E4FD0">
        <w:rPr>
          <w:rFonts w:ascii="Times New Roman" w:hAnsi="Times New Roman" w:cs="Times New Roman"/>
          <w:sz w:val="24"/>
          <w:szCs w:val="24"/>
        </w:rPr>
        <w:t xml:space="preserve"> </w:t>
      </w:r>
      <w:r w:rsidRPr="006E4FD0">
        <w:rPr>
          <w:rFonts w:ascii="Times New Roman" w:hAnsi="Times New Roman" w:cs="Times New Roman"/>
          <w:i/>
          <w:sz w:val="24"/>
          <w:szCs w:val="24"/>
        </w:rPr>
        <w:t>Amelia II: A program for missing data</w:t>
      </w:r>
      <w:r w:rsidRPr="006E4FD0">
        <w:rPr>
          <w:rFonts w:ascii="Times New Roman" w:hAnsi="Times New Roman" w:cs="Times New Roman"/>
          <w:sz w:val="24"/>
          <w:szCs w:val="24"/>
        </w:rPr>
        <w:t xml:space="preserve">. Cambridge, MA: Harvard University. </w:t>
      </w:r>
    </w:p>
    <w:p w14:paraId="59870061" w14:textId="77777777" w:rsidR="00035505" w:rsidRDefault="00035505" w:rsidP="00035505">
      <w:pPr>
        <w:spacing w:line="480" w:lineRule="auto"/>
        <w:ind w:left="720" w:hanging="720"/>
        <w:contextualSpacing/>
        <w:rPr>
          <w:rFonts w:ascii="Times New Roman" w:eastAsia="Times New Roman" w:hAnsi="Times New Roman" w:cs="Times New Roman"/>
          <w:sz w:val="24"/>
          <w:szCs w:val="24"/>
        </w:rPr>
      </w:pPr>
      <w:r w:rsidRPr="006E4FD0">
        <w:rPr>
          <w:rFonts w:ascii="Times New Roman" w:eastAsia="Times New Roman" w:hAnsi="Times New Roman" w:cs="Times New Roman"/>
          <w:sz w:val="24"/>
          <w:szCs w:val="24"/>
        </w:rPr>
        <w:t xml:space="preserve">Imai, K., &amp; Van </w:t>
      </w:r>
      <w:proofErr w:type="spellStart"/>
      <w:r w:rsidRPr="006E4FD0">
        <w:rPr>
          <w:rFonts w:ascii="Times New Roman" w:eastAsia="Times New Roman" w:hAnsi="Times New Roman" w:cs="Times New Roman"/>
          <w:sz w:val="24"/>
          <w:szCs w:val="24"/>
        </w:rPr>
        <w:t>Dyk</w:t>
      </w:r>
      <w:proofErr w:type="spellEnd"/>
      <w:r w:rsidRPr="006E4FD0">
        <w:rPr>
          <w:rFonts w:ascii="Times New Roman" w:eastAsia="Times New Roman" w:hAnsi="Times New Roman" w:cs="Times New Roman"/>
          <w:sz w:val="24"/>
          <w:szCs w:val="24"/>
        </w:rPr>
        <w:t xml:space="preserve">, D. A. (2004). </w:t>
      </w:r>
      <w:proofErr w:type="gramStart"/>
      <w:r w:rsidRPr="006E4FD0">
        <w:rPr>
          <w:rFonts w:ascii="Times New Roman" w:eastAsia="Times New Roman" w:hAnsi="Times New Roman" w:cs="Times New Roman"/>
          <w:sz w:val="24"/>
          <w:szCs w:val="24"/>
        </w:rPr>
        <w:t>Causal inference with general treatment regimes.</w:t>
      </w:r>
      <w:proofErr w:type="gramEnd"/>
      <w:r w:rsidRPr="006E4FD0">
        <w:rPr>
          <w:rFonts w:ascii="Times New Roman" w:eastAsia="Times New Roman" w:hAnsi="Times New Roman" w:cs="Times New Roman"/>
          <w:sz w:val="24"/>
          <w:szCs w:val="24"/>
        </w:rPr>
        <w:t xml:space="preserve"> </w:t>
      </w:r>
      <w:proofErr w:type="gramStart"/>
      <w:r w:rsidRPr="006E4FD0">
        <w:rPr>
          <w:rFonts w:ascii="Times New Roman" w:eastAsia="Times New Roman" w:hAnsi="Times New Roman" w:cs="Times New Roman"/>
          <w:i/>
          <w:iCs/>
          <w:sz w:val="24"/>
          <w:szCs w:val="24"/>
        </w:rPr>
        <w:t>Journal of the American Statistical Association</w:t>
      </w:r>
      <w:r w:rsidRPr="006E4FD0">
        <w:rPr>
          <w:rFonts w:ascii="Times New Roman" w:eastAsia="Times New Roman" w:hAnsi="Times New Roman" w:cs="Times New Roman"/>
          <w:sz w:val="24"/>
          <w:szCs w:val="24"/>
        </w:rPr>
        <w:t xml:space="preserve">, </w:t>
      </w:r>
      <w:r w:rsidRPr="006E4FD0">
        <w:rPr>
          <w:rFonts w:ascii="Times New Roman" w:eastAsia="Times New Roman" w:hAnsi="Times New Roman" w:cs="Times New Roman"/>
          <w:i/>
          <w:iCs/>
          <w:sz w:val="24"/>
          <w:szCs w:val="24"/>
        </w:rPr>
        <w:t>99,854-866</w:t>
      </w:r>
      <w:r w:rsidRPr="006E4FD0">
        <w:rPr>
          <w:rFonts w:ascii="Times New Roman" w:eastAsia="Times New Roman" w:hAnsi="Times New Roman" w:cs="Times New Roman"/>
          <w:sz w:val="24"/>
          <w:szCs w:val="24"/>
        </w:rPr>
        <w:t>.</w:t>
      </w:r>
      <w:proofErr w:type="gramEnd"/>
      <w:r w:rsidRPr="006E4FD0">
        <w:rPr>
          <w:rFonts w:ascii="Times New Roman" w:hAnsi="Times New Roman" w:cs="Times New Roman"/>
          <w:sz w:val="24"/>
          <w:szCs w:val="24"/>
        </w:rPr>
        <w:t xml:space="preserve"> </w:t>
      </w:r>
      <w:proofErr w:type="gramStart"/>
      <w:r w:rsidRPr="006E4FD0">
        <w:rPr>
          <w:rFonts w:ascii="Times New Roman" w:hAnsi="Times New Roman" w:cs="Times New Roman"/>
          <w:sz w:val="24"/>
          <w:szCs w:val="24"/>
        </w:rPr>
        <w:t>doi</w:t>
      </w:r>
      <w:r w:rsidRPr="006E4FD0">
        <w:rPr>
          <w:rFonts w:ascii="Times New Roman" w:eastAsia="Times New Roman" w:hAnsi="Times New Roman" w:cs="Times New Roman"/>
          <w:sz w:val="24"/>
          <w:szCs w:val="24"/>
        </w:rPr>
        <w:t>:10.1198</w:t>
      </w:r>
      <w:proofErr w:type="gramEnd"/>
      <w:r w:rsidRPr="006E4FD0">
        <w:rPr>
          <w:rFonts w:ascii="Times New Roman" w:eastAsia="Times New Roman" w:hAnsi="Times New Roman" w:cs="Times New Roman"/>
          <w:sz w:val="24"/>
          <w:szCs w:val="24"/>
        </w:rPr>
        <w:t>/016214504000001187</w:t>
      </w:r>
    </w:p>
    <w:p w14:paraId="2B2668C6" w14:textId="77777777" w:rsidR="00035505" w:rsidRPr="006E4FD0" w:rsidRDefault="00035505" w:rsidP="00035505">
      <w:pPr>
        <w:spacing w:line="480" w:lineRule="auto"/>
        <w:ind w:left="720" w:hanging="720"/>
        <w:contextualSpacing/>
        <w:rPr>
          <w:rStyle w:val="Hyperlink"/>
          <w:rFonts w:ascii="Times New Roman" w:hAnsi="Times New Roman" w:cs="Times New Roman"/>
          <w:sz w:val="24"/>
          <w:szCs w:val="24"/>
        </w:rPr>
      </w:pPr>
      <w:proofErr w:type="spellStart"/>
      <w:r w:rsidRPr="006E4FD0">
        <w:rPr>
          <w:rFonts w:ascii="Times New Roman" w:hAnsi="Times New Roman" w:cs="Times New Roman"/>
          <w:sz w:val="24"/>
          <w:szCs w:val="24"/>
        </w:rPr>
        <w:t>Kirschbaum</w:t>
      </w:r>
      <w:proofErr w:type="spellEnd"/>
      <w:r w:rsidRPr="006E4FD0">
        <w:rPr>
          <w:rFonts w:ascii="Times New Roman" w:hAnsi="Times New Roman" w:cs="Times New Roman"/>
          <w:sz w:val="24"/>
          <w:szCs w:val="24"/>
        </w:rPr>
        <w:t xml:space="preserve">, C., </w:t>
      </w:r>
      <w:proofErr w:type="gramStart"/>
      <w:r w:rsidRPr="006E4FD0">
        <w:rPr>
          <w:rFonts w:ascii="Times New Roman" w:hAnsi="Times New Roman" w:cs="Times New Roman"/>
          <w:sz w:val="24"/>
          <w:szCs w:val="24"/>
        </w:rPr>
        <w:t xml:space="preserve">&amp;  </w:t>
      </w:r>
      <w:proofErr w:type="spellStart"/>
      <w:r w:rsidRPr="006E4FD0">
        <w:rPr>
          <w:rFonts w:ascii="Times New Roman" w:hAnsi="Times New Roman" w:cs="Times New Roman"/>
          <w:sz w:val="24"/>
          <w:szCs w:val="24"/>
        </w:rPr>
        <w:t>Hellhammer</w:t>
      </w:r>
      <w:proofErr w:type="spellEnd"/>
      <w:proofErr w:type="gramEnd"/>
      <w:r w:rsidRPr="006E4FD0">
        <w:rPr>
          <w:rFonts w:ascii="Times New Roman" w:hAnsi="Times New Roman" w:cs="Times New Roman"/>
          <w:sz w:val="24"/>
          <w:szCs w:val="24"/>
        </w:rPr>
        <w:t xml:space="preserve">, D. H. (1989). Salivary cortisol in psychobiological research: An overview. </w:t>
      </w:r>
      <w:proofErr w:type="spellStart"/>
      <w:r w:rsidRPr="006E4FD0">
        <w:rPr>
          <w:rFonts w:ascii="Times New Roman" w:hAnsi="Times New Roman" w:cs="Times New Roman"/>
          <w:i/>
          <w:sz w:val="24"/>
          <w:szCs w:val="24"/>
        </w:rPr>
        <w:t>Neuropsychobiology</w:t>
      </w:r>
      <w:proofErr w:type="spellEnd"/>
      <w:r w:rsidRPr="006E4FD0">
        <w:rPr>
          <w:rFonts w:ascii="Times New Roman" w:hAnsi="Times New Roman" w:cs="Times New Roman"/>
          <w:i/>
          <w:sz w:val="24"/>
          <w:szCs w:val="24"/>
        </w:rPr>
        <w:t>, 223</w:t>
      </w:r>
      <w:r w:rsidRPr="006E4FD0">
        <w:rPr>
          <w:rFonts w:ascii="Times New Roman" w:hAnsi="Times New Roman" w:cs="Times New Roman"/>
          <w:sz w:val="24"/>
          <w:szCs w:val="24"/>
        </w:rPr>
        <w:t xml:space="preserve">, 150–169. </w:t>
      </w:r>
      <w:proofErr w:type="spellStart"/>
      <w:proofErr w:type="gramStart"/>
      <w:r w:rsidRPr="006E4FD0">
        <w:rPr>
          <w:rFonts w:ascii="Times New Roman" w:hAnsi="Times New Roman" w:cs="Times New Roman"/>
          <w:sz w:val="24"/>
          <w:szCs w:val="24"/>
        </w:rPr>
        <w:t>doi</w:t>
      </w:r>
      <w:proofErr w:type="spellEnd"/>
      <w:proofErr w:type="gramEnd"/>
      <w:r w:rsidRPr="006E4FD0">
        <w:rPr>
          <w:rFonts w:ascii="Times New Roman" w:hAnsi="Times New Roman" w:cs="Times New Roman"/>
          <w:sz w:val="24"/>
          <w:szCs w:val="24"/>
        </w:rPr>
        <w:t xml:space="preserve">: </w:t>
      </w:r>
      <w:r w:rsidRPr="002D4B07">
        <w:rPr>
          <w:rFonts w:ascii="Times New Roman" w:hAnsi="Times New Roman" w:cs="Times New Roman"/>
          <w:sz w:val="24"/>
          <w:szCs w:val="24"/>
        </w:rPr>
        <w:t>10.1159/000118611</w:t>
      </w:r>
    </w:p>
    <w:p w14:paraId="7B8E3E1B" w14:textId="77777777" w:rsidR="00035505" w:rsidRPr="002D4B07" w:rsidRDefault="00035505" w:rsidP="00035505">
      <w:pPr>
        <w:spacing w:line="480" w:lineRule="auto"/>
        <w:ind w:left="720" w:hanging="720"/>
        <w:contextualSpacing/>
        <w:rPr>
          <w:rStyle w:val="Hyperlink"/>
          <w:rFonts w:ascii="Times New Roman" w:hAnsi="Times New Roman" w:cs="Times New Roman"/>
          <w:color w:val="auto"/>
          <w:sz w:val="24"/>
          <w:szCs w:val="24"/>
          <w:u w:val="none"/>
        </w:rPr>
      </w:pPr>
      <w:r w:rsidRPr="002D4B07">
        <w:rPr>
          <w:rStyle w:val="Hyperlink"/>
          <w:rFonts w:ascii="Times New Roman" w:hAnsi="Times New Roman" w:cs="Times New Roman"/>
          <w:color w:val="auto"/>
          <w:sz w:val="24"/>
          <w:szCs w:val="24"/>
          <w:u w:val="none"/>
        </w:rPr>
        <w:t xml:space="preserve">Robins, J. M. (2000). </w:t>
      </w:r>
      <w:proofErr w:type="gramStart"/>
      <w:r w:rsidRPr="002D4B07">
        <w:rPr>
          <w:rStyle w:val="Hyperlink"/>
          <w:rFonts w:ascii="Times New Roman" w:hAnsi="Times New Roman" w:cs="Times New Roman"/>
          <w:color w:val="auto"/>
          <w:sz w:val="24"/>
          <w:szCs w:val="24"/>
          <w:u w:val="none"/>
        </w:rPr>
        <w:t>Marginal structural models versus structural nested models as tools for causal inference.</w:t>
      </w:r>
      <w:proofErr w:type="gramEnd"/>
      <w:r w:rsidRPr="002D4B07">
        <w:rPr>
          <w:rStyle w:val="Hyperlink"/>
          <w:rFonts w:ascii="Times New Roman" w:hAnsi="Times New Roman" w:cs="Times New Roman"/>
          <w:color w:val="auto"/>
          <w:sz w:val="24"/>
          <w:szCs w:val="24"/>
          <w:u w:val="none"/>
        </w:rPr>
        <w:t xml:space="preserve"> </w:t>
      </w:r>
      <w:r w:rsidRPr="002D4B07">
        <w:rPr>
          <w:rStyle w:val="Hyperlink"/>
          <w:rFonts w:ascii="Times New Roman" w:hAnsi="Times New Roman" w:cs="Times New Roman"/>
          <w:i/>
          <w:color w:val="auto"/>
          <w:sz w:val="24"/>
          <w:szCs w:val="24"/>
          <w:u w:val="none"/>
        </w:rPr>
        <w:t>Statistical models in epidemiology, the environment, and clinical trials</w:t>
      </w:r>
      <w:r w:rsidRPr="002D4B07">
        <w:rPr>
          <w:rStyle w:val="Hyperlink"/>
          <w:rFonts w:ascii="Times New Roman" w:hAnsi="Times New Roman" w:cs="Times New Roman"/>
          <w:color w:val="auto"/>
          <w:sz w:val="24"/>
          <w:szCs w:val="24"/>
          <w:u w:val="none"/>
        </w:rPr>
        <w:t xml:space="preserve">. </w:t>
      </w:r>
      <w:proofErr w:type="gramStart"/>
      <w:r w:rsidRPr="002D4B07">
        <w:rPr>
          <w:rStyle w:val="Hyperlink"/>
          <w:rFonts w:ascii="Times New Roman" w:hAnsi="Times New Roman" w:cs="Times New Roman"/>
          <w:color w:val="auto"/>
          <w:sz w:val="24"/>
          <w:szCs w:val="24"/>
          <w:u w:val="none"/>
        </w:rPr>
        <w:t>Springer New York.</w:t>
      </w:r>
      <w:proofErr w:type="gramEnd"/>
    </w:p>
    <w:p w14:paraId="1AF18B45" w14:textId="77777777" w:rsidR="00035505" w:rsidRPr="006E4FD0" w:rsidRDefault="00035505" w:rsidP="00035505">
      <w:pPr>
        <w:spacing w:line="480" w:lineRule="auto"/>
        <w:ind w:left="720" w:hanging="720"/>
        <w:contextualSpacing/>
        <w:rPr>
          <w:rFonts w:ascii="Times New Roman" w:hAnsi="Times New Roman" w:cs="Times New Roman"/>
          <w:sz w:val="24"/>
          <w:szCs w:val="24"/>
        </w:rPr>
      </w:pPr>
      <w:r w:rsidRPr="006E4FD0">
        <w:rPr>
          <w:rFonts w:ascii="Times New Roman" w:hAnsi="Times New Roman" w:cs="Times New Roman"/>
          <w:sz w:val="24"/>
          <w:szCs w:val="24"/>
        </w:rPr>
        <w:t xml:space="preserve">Rosenbaum, P. R., &amp; Rubin, D. B. (1983). The central role of the propensity score in observational studies for causal effects. </w:t>
      </w:r>
      <w:proofErr w:type="spellStart"/>
      <w:r w:rsidRPr="006E4FD0">
        <w:rPr>
          <w:rFonts w:ascii="Times New Roman" w:hAnsi="Times New Roman" w:cs="Times New Roman"/>
          <w:i/>
          <w:iCs/>
          <w:sz w:val="24"/>
          <w:szCs w:val="24"/>
        </w:rPr>
        <w:t>Biometrika</w:t>
      </w:r>
      <w:proofErr w:type="spellEnd"/>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70</w:t>
      </w:r>
      <w:r w:rsidRPr="006E4FD0">
        <w:rPr>
          <w:rFonts w:ascii="Times New Roman" w:hAnsi="Times New Roman" w:cs="Times New Roman"/>
          <w:sz w:val="24"/>
          <w:szCs w:val="24"/>
        </w:rPr>
        <w:t>), 41-55.</w:t>
      </w:r>
      <w:r w:rsidRPr="006E4FD0">
        <w:rPr>
          <w:rFonts w:ascii="Times New Roman" w:hAnsi="Times New Roman" w:cs="Times New Roman"/>
          <w:i/>
          <w:iCs/>
          <w:sz w:val="24"/>
          <w:szCs w:val="24"/>
        </w:rPr>
        <w:t xml:space="preserve"> </w:t>
      </w:r>
      <w:proofErr w:type="spellStart"/>
      <w:proofErr w:type="gramStart"/>
      <w:r w:rsidRPr="006E4FD0">
        <w:rPr>
          <w:rStyle w:val="slug-doi-wrapper"/>
          <w:rFonts w:ascii="Times New Roman" w:hAnsi="Times New Roman" w:cs="Times New Roman"/>
          <w:i/>
          <w:iCs/>
          <w:sz w:val="24"/>
          <w:szCs w:val="24"/>
        </w:rPr>
        <w:t>doi</w:t>
      </w:r>
      <w:proofErr w:type="spellEnd"/>
      <w:proofErr w:type="gramEnd"/>
      <w:r w:rsidRPr="006E4FD0">
        <w:rPr>
          <w:rStyle w:val="slug-doi-wrapper"/>
          <w:rFonts w:ascii="Times New Roman" w:hAnsi="Times New Roman" w:cs="Times New Roman"/>
          <w:i/>
          <w:iCs/>
          <w:sz w:val="24"/>
          <w:szCs w:val="24"/>
        </w:rPr>
        <w:t xml:space="preserve">: </w:t>
      </w:r>
      <w:r w:rsidRPr="006E4FD0">
        <w:rPr>
          <w:rStyle w:val="slug-doi"/>
          <w:rFonts w:ascii="Times New Roman" w:hAnsi="Times New Roman" w:cs="Times New Roman"/>
          <w:i/>
          <w:iCs/>
          <w:sz w:val="24"/>
          <w:szCs w:val="24"/>
        </w:rPr>
        <w:t>10.1093/</w:t>
      </w:r>
      <w:proofErr w:type="spellStart"/>
      <w:r w:rsidRPr="006E4FD0">
        <w:rPr>
          <w:rStyle w:val="slug-doi"/>
          <w:rFonts w:ascii="Times New Roman" w:hAnsi="Times New Roman" w:cs="Times New Roman"/>
          <w:i/>
          <w:iCs/>
          <w:sz w:val="24"/>
          <w:szCs w:val="24"/>
        </w:rPr>
        <w:t>biomet</w:t>
      </w:r>
      <w:proofErr w:type="spellEnd"/>
      <w:r w:rsidRPr="006E4FD0">
        <w:rPr>
          <w:rStyle w:val="slug-doi"/>
          <w:rFonts w:ascii="Times New Roman" w:hAnsi="Times New Roman" w:cs="Times New Roman"/>
          <w:i/>
          <w:iCs/>
          <w:sz w:val="24"/>
          <w:szCs w:val="24"/>
        </w:rPr>
        <w:t>/70.1.41</w:t>
      </w:r>
    </w:p>
    <w:p w14:paraId="3F789A7A" w14:textId="77777777" w:rsidR="00035505" w:rsidRPr="006E4FD0" w:rsidRDefault="00035505" w:rsidP="00035505">
      <w:pPr>
        <w:spacing w:line="480" w:lineRule="auto"/>
        <w:ind w:left="720" w:hanging="720"/>
        <w:contextualSpacing/>
        <w:rPr>
          <w:rFonts w:ascii="Times New Roman" w:hAnsi="Times New Roman" w:cs="Times New Roman"/>
          <w:sz w:val="24"/>
          <w:szCs w:val="24"/>
        </w:rPr>
      </w:pPr>
      <w:proofErr w:type="gramStart"/>
      <w:r w:rsidRPr="006E4FD0">
        <w:rPr>
          <w:rFonts w:ascii="Times New Roman" w:hAnsi="Times New Roman" w:cs="Times New Roman"/>
          <w:sz w:val="24"/>
          <w:szCs w:val="24"/>
        </w:rPr>
        <w:lastRenderedPageBreak/>
        <w:t>Rubin, D. B. (1974).</w:t>
      </w:r>
      <w:proofErr w:type="gramEnd"/>
      <w:r w:rsidRPr="006E4FD0">
        <w:rPr>
          <w:rFonts w:ascii="Times New Roman" w:hAnsi="Times New Roman" w:cs="Times New Roman"/>
          <w:sz w:val="24"/>
          <w:szCs w:val="24"/>
        </w:rPr>
        <w:t xml:space="preserve"> Estimating causal effects of treatments in randomized and nonrandomized studies. </w:t>
      </w:r>
      <w:r w:rsidRPr="006E4FD0">
        <w:rPr>
          <w:rFonts w:ascii="Times New Roman" w:hAnsi="Times New Roman" w:cs="Times New Roman"/>
          <w:i/>
          <w:iCs/>
          <w:sz w:val="24"/>
          <w:szCs w:val="24"/>
        </w:rPr>
        <w:t>Journal of educational Psychology</w:t>
      </w:r>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66</w:t>
      </w:r>
      <w:r w:rsidRPr="006E4FD0">
        <w:rPr>
          <w:rFonts w:ascii="Times New Roman" w:hAnsi="Times New Roman" w:cs="Times New Roman"/>
          <w:sz w:val="24"/>
          <w:szCs w:val="24"/>
        </w:rPr>
        <w:t xml:space="preserve">, 688-701. </w:t>
      </w:r>
      <w:proofErr w:type="spellStart"/>
      <w:proofErr w:type="gramStart"/>
      <w:r w:rsidRPr="006E4FD0">
        <w:rPr>
          <w:rFonts w:ascii="Times New Roman" w:hAnsi="Times New Roman" w:cs="Times New Roman"/>
          <w:sz w:val="24"/>
          <w:szCs w:val="24"/>
        </w:rPr>
        <w:t>doi</w:t>
      </w:r>
      <w:proofErr w:type="spellEnd"/>
      <w:proofErr w:type="gramEnd"/>
      <w:r w:rsidRPr="006E4FD0">
        <w:rPr>
          <w:rFonts w:ascii="Times New Roman" w:hAnsi="Times New Roman" w:cs="Times New Roman"/>
          <w:sz w:val="24"/>
          <w:szCs w:val="24"/>
        </w:rPr>
        <w:t xml:space="preserve">: </w:t>
      </w:r>
      <w:r w:rsidR="002A14AC">
        <w:fldChar w:fldCharType="begin"/>
      </w:r>
      <w:r w:rsidR="002A14AC">
        <w:instrText xml:space="preserve"> HYPERLINK "http://psycnet.apa.org/doi/10.1037/h0037350" \t "_blank" </w:instrText>
      </w:r>
      <w:r w:rsidR="002A14AC">
        <w:fldChar w:fldCharType="separate"/>
      </w:r>
      <w:r w:rsidRPr="006E4FD0">
        <w:rPr>
          <w:rStyle w:val="Hyperlink"/>
          <w:rFonts w:ascii="Times New Roman" w:hAnsi="Times New Roman" w:cs="Times New Roman"/>
          <w:sz w:val="24"/>
          <w:szCs w:val="24"/>
        </w:rPr>
        <w:t>10.1037/h0037350</w:t>
      </w:r>
      <w:r w:rsidR="002A14AC">
        <w:rPr>
          <w:rStyle w:val="Hyperlink"/>
          <w:rFonts w:ascii="Times New Roman" w:hAnsi="Times New Roman" w:cs="Times New Roman"/>
          <w:sz w:val="24"/>
          <w:szCs w:val="24"/>
        </w:rPr>
        <w:fldChar w:fldCharType="end"/>
      </w:r>
    </w:p>
    <w:p w14:paraId="10CB0DF2" w14:textId="77777777" w:rsidR="00035505" w:rsidRPr="006E4FD0" w:rsidRDefault="00035505" w:rsidP="00035505">
      <w:pPr>
        <w:spacing w:line="480" w:lineRule="auto"/>
        <w:ind w:left="720" w:hanging="720"/>
        <w:contextualSpacing/>
        <w:rPr>
          <w:rFonts w:ascii="Times New Roman" w:hAnsi="Times New Roman" w:cs="Times New Roman"/>
          <w:sz w:val="24"/>
          <w:szCs w:val="24"/>
        </w:rPr>
      </w:pPr>
      <w:proofErr w:type="gramStart"/>
      <w:r w:rsidRPr="006E4FD0">
        <w:rPr>
          <w:rFonts w:ascii="Times New Roman" w:hAnsi="Times New Roman" w:cs="Times New Roman"/>
          <w:sz w:val="24"/>
          <w:szCs w:val="24"/>
        </w:rPr>
        <w:t>Rubin, D. B. (2005).</w:t>
      </w:r>
      <w:proofErr w:type="gramEnd"/>
      <w:r w:rsidRPr="006E4FD0">
        <w:rPr>
          <w:rFonts w:ascii="Times New Roman" w:hAnsi="Times New Roman" w:cs="Times New Roman"/>
          <w:sz w:val="24"/>
          <w:szCs w:val="24"/>
        </w:rPr>
        <w:t xml:space="preserve"> </w:t>
      </w:r>
      <w:proofErr w:type="gramStart"/>
      <w:r w:rsidRPr="006E4FD0">
        <w:rPr>
          <w:rFonts w:ascii="Times New Roman" w:hAnsi="Times New Roman" w:cs="Times New Roman"/>
          <w:sz w:val="24"/>
          <w:szCs w:val="24"/>
        </w:rPr>
        <w:t>Causal inference using potential outcomes.</w:t>
      </w:r>
      <w:proofErr w:type="gramEnd"/>
      <w:r w:rsidRPr="006E4FD0">
        <w:rPr>
          <w:rFonts w:ascii="Times New Roman" w:hAnsi="Times New Roman" w:cs="Times New Roman"/>
          <w:sz w:val="24"/>
          <w:szCs w:val="24"/>
        </w:rPr>
        <w:t xml:space="preserve"> </w:t>
      </w:r>
      <w:proofErr w:type="gramStart"/>
      <w:r w:rsidRPr="006E4FD0">
        <w:rPr>
          <w:rFonts w:ascii="Times New Roman" w:hAnsi="Times New Roman" w:cs="Times New Roman"/>
          <w:i/>
          <w:iCs/>
          <w:sz w:val="24"/>
          <w:szCs w:val="24"/>
        </w:rPr>
        <w:t>Journal of the American Statistical Association</w:t>
      </w:r>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100,322-331</w:t>
      </w:r>
      <w:r w:rsidRPr="006E4FD0">
        <w:rPr>
          <w:rFonts w:ascii="Times New Roman" w:hAnsi="Times New Roman" w:cs="Times New Roman"/>
          <w:sz w:val="24"/>
          <w:szCs w:val="24"/>
        </w:rPr>
        <w:t>.</w:t>
      </w:r>
      <w:proofErr w:type="gramEnd"/>
      <w:r w:rsidRPr="006E4FD0">
        <w:rPr>
          <w:rFonts w:ascii="Times New Roman" w:hAnsi="Times New Roman" w:cs="Times New Roman"/>
          <w:sz w:val="24"/>
          <w:szCs w:val="24"/>
        </w:rPr>
        <w:t xml:space="preserve"> </w:t>
      </w:r>
      <w:proofErr w:type="spellStart"/>
      <w:proofErr w:type="gramStart"/>
      <w:r w:rsidRPr="006E4FD0">
        <w:rPr>
          <w:rFonts w:ascii="Times New Roman" w:hAnsi="Times New Roman" w:cs="Times New Roman"/>
          <w:sz w:val="24"/>
          <w:szCs w:val="24"/>
        </w:rPr>
        <w:t>doi</w:t>
      </w:r>
      <w:proofErr w:type="spellEnd"/>
      <w:proofErr w:type="gramEnd"/>
      <w:r w:rsidRPr="006E4FD0">
        <w:rPr>
          <w:rFonts w:ascii="Times New Roman" w:hAnsi="Times New Roman" w:cs="Times New Roman"/>
          <w:sz w:val="24"/>
          <w:szCs w:val="24"/>
        </w:rPr>
        <w:t>:  10.1198/016214504000001880</w:t>
      </w:r>
    </w:p>
    <w:p w14:paraId="58E2A54D" w14:textId="77777777" w:rsidR="00035505" w:rsidRPr="006E4FD0" w:rsidRDefault="00035505" w:rsidP="00035505">
      <w:pPr>
        <w:spacing w:line="480" w:lineRule="auto"/>
        <w:ind w:left="720" w:hanging="720"/>
        <w:contextualSpacing/>
        <w:rPr>
          <w:rFonts w:ascii="Times New Roman" w:eastAsia="Calibri" w:hAnsi="Times New Roman" w:cs="Times New Roman"/>
          <w:sz w:val="24"/>
          <w:szCs w:val="24"/>
        </w:rPr>
      </w:pPr>
      <w:r w:rsidRPr="006E4FD0">
        <w:rPr>
          <w:rFonts w:ascii="Times New Roman" w:hAnsi="Times New Roman" w:cs="Times New Roman"/>
          <w:sz w:val="24"/>
          <w:szCs w:val="24"/>
        </w:rPr>
        <w:t xml:space="preserve">Sampson, R. J., Sharkey, P., &amp; </w:t>
      </w:r>
      <w:proofErr w:type="spellStart"/>
      <w:r w:rsidRPr="006E4FD0">
        <w:rPr>
          <w:rFonts w:ascii="Times New Roman" w:hAnsi="Times New Roman" w:cs="Times New Roman"/>
          <w:sz w:val="24"/>
          <w:szCs w:val="24"/>
        </w:rPr>
        <w:t>Raudenbush</w:t>
      </w:r>
      <w:proofErr w:type="spellEnd"/>
      <w:r w:rsidRPr="006E4FD0">
        <w:rPr>
          <w:rFonts w:ascii="Times New Roman" w:hAnsi="Times New Roman" w:cs="Times New Roman"/>
          <w:sz w:val="24"/>
          <w:szCs w:val="24"/>
        </w:rPr>
        <w:t xml:space="preserve">, S. W. (2008). </w:t>
      </w:r>
      <w:proofErr w:type="gramStart"/>
      <w:r w:rsidRPr="006E4FD0">
        <w:rPr>
          <w:rFonts w:ascii="Times New Roman" w:hAnsi="Times New Roman" w:cs="Times New Roman"/>
          <w:sz w:val="24"/>
          <w:szCs w:val="24"/>
        </w:rPr>
        <w:t>Durable effects of concentrated disadvantage on verbal ability among African-American children.</w:t>
      </w:r>
      <w:proofErr w:type="gramEnd"/>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Proceedings of the National Academy of Sciences</w:t>
      </w:r>
      <w:r w:rsidRPr="006E4FD0">
        <w:rPr>
          <w:rFonts w:ascii="Times New Roman" w:hAnsi="Times New Roman" w:cs="Times New Roman"/>
          <w:sz w:val="24"/>
          <w:szCs w:val="24"/>
        </w:rPr>
        <w:t xml:space="preserve">, </w:t>
      </w:r>
      <w:r w:rsidRPr="006E4FD0">
        <w:rPr>
          <w:rFonts w:ascii="Times New Roman" w:hAnsi="Times New Roman" w:cs="Times New Roman"/>
          <w:i/>
          <w:iCs/>
          <w:sz w:val="24"/>
          <w:szCs w:val="24"/>
        </w:rPr>
        <w:t>105</w:t>
      </w:r>
      <w:r w:rsidRPr="006E4FD0">
        <w:rPr>
          <w:rFonts w:ascii="Times New Roman" w:hAnsi="Times New Roman" w:cs="Times New Roman"/>
          <w:sz w:val="24"/>
          <w:szCs w:val="24"/>
        </w:rPr>
        <w:t xml:space="preserve">, 845-852.  </w:t>
      </w:r>
      <w:proofErr w:type="spellStart"/>
      <w:proofErr w:type="gramStart"/>
      <w:r w:rsidRPr="006E4FD0">
        <w:rPr>
          <w:rFonts w:ascii="Times New Roman" w:hAnsi="Times New Roman" w:cs="Times New Roman"/>
          <w:sz w:val="24"/>
          <w:szCs w:val="24"/>
        </w:rPr>
        <w:t>doi</w:t>
      </w:r>
      <w:proofErr w:type="spellEnd"/>
      <w:proofErr w:type="gramEnd"/>
      <w:r w:rsidRPr="006E4FD0">
        <w:rPr>
          <w:rFonts w:ascii="Times New Roman" w:hAnsi="Times New Roman" w:cs="Times New Roman"/>
          <w:sz w:val="24"/>
          <w:szCs w:val="24"/>
        </w:rPr>
        <w:t>: 10.1073/pnas.0710189104</w:t>
      </w:r>
    </w:p>
    <w:p w14:paraId="09EC5125" w14:textId="77777777" w:rsidR="00035505" w:rsidRPr="00D25DA8" w:rsidRDefault="00035505" w:rsidP="00035505">
      <w:pPr>
        <w:spacing w:line="480" w:lineRule="auto"/>
        <w:ind w:left="720" w:hanging="720"/>
        <w:contextualSpacing/>
        <w:rPr>
          <w:rFonts w:eastAsia="Calibri"/>
        </w:rPr>
      </w:pPr>
    </w:p>
    <w:p w14:paraId="49F1A792" w14:textId="77777777" w:rsidR="00035505" w:rsidRPr="004A2EBE" w:rsidRDefault="00035505" w:rsidP="00035505">
      <w:pPr>
        <w:autoSpaceDE w:val="0"/>
        <w:autoSpaceDN w:val="0"/>
        <w:adjustRightInd w:val="0"/>
        <w:spacing w:line="480" w:lineRule="auto"/>
        <w:contextualSpacing/>
        <w:jc w:val="center"/>
        <w:rPr>
          <w:rStyle w:val="mi"/>
          <w:rFonts w:ascii="Times New Roman" w:eastAsiaTheme="minorEastAsia" w:hAnsi="Times New Roman" w:cs="Times New Roman"/>
          <w:iCs/>
          <w:sz w:val="24"/>
          <w:szCs w:val="24"/>
        </w:rPr>
      </w:pPr>
    </w:p>
    <w:p w14:paraId="56B66F8B" w14:textId="77777777" w:rsidR="00035505" w:rsidRPr="004A2EBE" w:rsidRDefault="00035505" w:rsidP="00035505">
      <w:pPr>
        <w:rPr>
          <w:rStyle w:val="mi"/>
          <w:rFonts w:ascii="Times New Roman" w:eastAsiaTheme="minorEastAsia" w:hAnsi="Times New Roman" w:cs="Times New Roman"/>
          <w:iCs/>
          <w:sz w:val="24"/>
          <w:szCs w:val="24"/>
        </w:rPr>
      </w:pPr>
      <w:r w:rsidRPr="004A2EBE">
        <w:rPr>
          <w:rStyle w:val="mi"/>
          <w:rFonts w:ascii="Times New Roman" w:eastAsiaTheme="minorEastAsia" w:hAnsi="Times New Roman" w:cs="Times New Roman"/>
          <w:iCs/>
          <w:sz w:val="24"/>
          <w:szCs w:val="24"/>
        </w:rPr>
        <w:br w:type="page"/>
      </w:r>
    </w:p>
    <w:p w14:paraId="2FE209BA" w14:textId="77777777" w:rsidR="00A36507" w:rsidRDefault="00A36507">
      <w:r>
        <w:lastRenderedPageBreak/>
        <w:br w:type="page"/>
      </w:r>
    </w:p>
    <w:p w14:paraId="0D9C036F" w14:textId="77777777" w:rsidR="002A14AC" w:rsidRDefault="002A14AC"/>
    <w:sectPr w:rsidR="002A1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05"/>
    <w:rsid w:val="00035505"/>
    <w:rsid w:val="001A2CD4"/>
    <w:rsid w:val="001B5521"/>
    <w:rsid w:val="0025758B"/>
    <w:rsid w:val="002A14AC"/>
    <w:rsid w:val="002B1158"/>
    <w:rsid w:val="002D4B07"/>
    <w:rsid w:val="00684187"/>
    <w:rsid w:val="009E4DE8"/>
    <w:rsid w:val="00A36507"/>
    <w:rsid w:val="00CD145B"/>
    <w:rsid w:val="00D90D86"/>
    <w:rsid w:val="00E4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65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05"/>
    <w:pPr>
      <w:ind w:left="720"/>
      <w:contextualSpacing/>
    </w:pPr>
  </w:style>
  <w:style w:type="character" w:styleId="Hyperlink">
    <w:name w:val="Hyperlink"/>
    <w:basedOn w:val="DefaultParagraphFont"/>
    <w:uiPriority w:val="99"/>
    <w:unhideWhenUsed/>
    <w:rsid w:val="00035505"/>
    <w:rPr>
      <w:color w:val="0000FF"/>
      <w:u w:val="single"/>
    </w:rPr>
  </w:style>
  <w:style w:type="character" w:styleId="Emphasis">
    <w:name w:val="Emphasis"/>
    <w:basedOn w:val="DefaultParagraphFont"/>
    <w:uiPriority w:val="20"/>
    <w:qFormat/>
    <w:rsid w:val="00035505"/>
    <w:rPr>
      <w:i/>
      <w:iCs/>
    </w:rPr>
  </w:style>
  <w:style w:type="character" w:customStyle="1" w:styleId="mi">
    <w:name w:val="mi"/>
    <w:basedOn w:val="DefaultParagraphFont"/>
    <w:rsid w:val="00035505"/>
  </w:style>
  <w:style w:type="character" w:customStyle="1" w:styleId="mo">
    <w:name w:val="mo"/>
    <w:basedOn w:val="DefaultParagraphFont"/>
    <w:rsid w:val="00035505"/>
  </w:style>
  <w:style w:type="character" w:customStyle="1" w:styleId="mn">
    <w:name w:val="mn"/>
    <w:basedOn w:val="DefaultParagraphFont"/>
    <w:rsid w:val="00035505"/>
  </w:style>
  <w:style w:type="character" w:customStyle="1" w:styleId="slug-doi">
    <w:name w:val="slug-doi"/>
    <w:basedOn w:val="DefaultParagraphFont"/>
    <w:rsid w:val="00035505"/>
  </w:style>
  <w:style w:type="character" w:customStyle="1" w:styleId="slug-doi-wrapper">
    <w:name w:val="slug-doi-wrapper"/>
    <w:basedOn w:val="DefaultParagraphFont"/>
    <w:rsid w:val="00035505"/>
  </w:style>
  <w:style w:type="paragraph" w:styleId="BalloonText">
    <w:name w:val="Balloon Text"/>
    <w:basedOn w:val="Normal"/>
    <w:link w:val="BalloonTextChar"/>
    <w:uiPriority w:val="99"/>
    <w:semiHidden/>
    <w:unhideWhenUsed/>
    <w:rsid w:val="0003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0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05"/>
    <w:pPr>
      <w:ind w:left="720"/>
      <w:contextualSpacing/>
    </w:pPr>
  </w:style>
  <w:style w:type="character" w:styleId="Hyperlink">
    <w:name w:val="Hyperlink"/>
    <w:basedOn w:val="DefaultParagraphFont"/>
    <w:uiPriority w:val="99"/>
    <w:unhideWhenUsed/>
    <w:rsid w:val="00035505"/>
    <w:rPr>
      <w:color w:val="0000FF"/>
      <w:u w:val="single"/>
    </w:rPr>
  </w:style>
  <w:style w:type="character" w:styleId="Emphasis">
    <w:name w:val="Emphasis"/>
    <w:basedOn w:val="DefaultParagraphFont"/>
    <w:uiPriority w:val="20"/>
    <w:qFormat/>
    <w:rsid w:val="00035505"/>
    <w:rPr>
      <w:i/>
      <w:iCs/>
    </w:rPr>
  </w:style>
  <w:style w:type="character" w:customStyle="1" w:styleId="mi">
    <w:name w:val="mi"/>
    <w:basedOn w:val="DefaultParagraphFont"/>
    <w:rsid w:val="00035505"/>
  </w:style>
  <w:style w:type="character" w:customStyle="1" w:styleId="mo">
    <w:name w:val="mo"/>
    <w:basedOn w:val="DefaultParagraphFont"/>
    <w:rsid w:val="00035505"/>
  </w:style>
  <w:style w:type="character" w:customStyle="1" w:styleId="mn">
    <w:name w:val="mn"/>
    <w:basedOn w:val="DefaultParagraphFont"/>
    <w:rsid w:val="00035505"/>
  </w:style>
  <w:style w:type="character" w:customStyle="1" w:styleId="slug-doi">
    <w:name w:val="slug-doi"/>
    <w:basedOn w:val="DefaultParagraphFont"/>
    <w:rsid w:val="00035505"/>
  </w:style>
  <w:style w:type="character" w:customStyle="1" w:styleId="slug-doi-wrapper">
    <w:name w:val="slug-doi-wrapper"/>
    <w:basedOn w:val="DefaultParagraphFont"/>
    <w:rsid w:val="00035505"/>
  </w:style>
  <w:style w:type="paragraph" w:styleId="BalloonText">
    <w:name w:val="Balloon Text"/>
    <w:basedOn w:val="Normal"/>
    <w:link w:val="BalloonTextChar"/>
    <w:uiPriority w:val="99"/>
    <w:semiHidden/>
    <w:unhideWhenUsed/>
    <w:rsid w:val="0003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jberry\AppData\Roaming\Microsoft\Excel\Book1%20(version%209).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Sheet3!$J$96</c:f>
              <c:strCache>
                <c:ptCount val="1"/>
                <c:pt idx="0">
                  <c:v>M_mean_chaos</c:v>
                </c:pt>
              </c:strCache>
            </c:strRef>
          </c:tx>
          <c:marker>
            <c:symbol val="none"/>
          </c:marker>
          <c:cat>
            <c:strRef>
              <c:f>Sheet3!$K$95:$L$95</c:f>
              <c:strCache>
                <c:ptCount val="2"/>
                <c:pt idx="0">
                  <c:v>Unweighted</c:v>
                </c:pt>
                <c:pt idx="1">
                  <c:v>Weighted</c:v>
                </c:pt>
              </c:strCache>
            </c:strRef>
          </c:cat>
          <c:val>
            <c:numRef>
              <c:f>Sheet3!$K$96:$L$96</c:f>
              <c:numCache>
                <c:formatCode>General</c:formatCode>
                <c:ptCount val="2"/>
                <c:pt idx="0">
                  <c:v>-0.47895</c:v>
                </c:pt>
                <c:pt idx="1">
                  <c:v>-0.09925</c:v>
                </c:pt>
              </c:numCache>
            </c:numRef>
          </c:val>
          <c:smooth val="0"/>
        </c:ser>
        <c:ser>
          <c:idx val="1"/>
          <c:order val="1"/>
          <c:tx>
            <c:strRef>
              <c:f>Sheet3!$J$97</c:f>
              <c:strCache>
                <c:ptCount val="1"/>
                <c:pt idx="0">
                  <c:v>M_KFastScr</c:v>
                </c:pt>
              </c:strCache>
            </c:strRef>
          </c:tx>
          <c:marker>
            <c:symbol val="none"/>
          </c:marker>
          <c:cat>
            <c:strRef>
              <c:f>Sheet3!$K$95:$L$95</c:f>
              <c:strCache>
                <c:ptCount val="2"/>
                <c:pt idx="0">
                  <c:v>Unweighted</c:v>
                </c:pt>
                <c:pt idx="1">
                  <c:v>Weighted</c:v>
                </c:pt>
              </c:strCache>
            </c:strRef>
          </c:cat>
          <c:val>
            <c:numRef>
              <c:f>Sheet3!$K$97:$L$97</c:f>
              <c:numCache>
                <c:formatCode>General</c:formatCode>
                <c:ptCount val="2"/>
                <c:pt idx="0">
                  <c:v>0.48326</c:v>
                </c:pt>
                <c:pt idx="1">
                  <c:v>0.0906</c:v>
                </c:pt>
              </c:numCache>
            </c:numRef>
          </c:val>
          <c:smooth val="0"/>
        </c:ser>
        <c:ser>
          <c:idx val="2"/>
          <c:order val="2"/>
          <c:tx>
            <c:strRef>
              <c:f>Sheet3!$J$98</c:f>
              <c:strCache>
                <c:ptCount val="1"/>
                <c:pt idx="0">
                  <c:v>M_RMarStat</c:v>
                </c:pt>
              </c:strCache>
            </c:strRef>
          </c:tx>
          <c:marker>
            <c:symbol val="none"/>
          </c:marker>
          <c:cat>
            <c:strRef>
              <c:f>Sheet3!$K$95:$L$95</c:f>
              <c:strCache>
                <c:ptCount val="2"/>
                <c:pt idx="0">
                  <c:v>Unweighted</c:v>
                </c:pt>
                <c:pt idx="1">
                  <c:v>Weighted</c:v>
                </c:pt>
              </c:strCache>
            </c:strRef>
          </c:cat>
          <c:val>
            <c:numRef>
              <c:f>Sheet3!$K$98:$L$98</c:f>
              <c:numCache>
                <c:formatCode>General</c:formatCode>
                <c:ptCount val="2"/>
                <c:pt idx="0">
                  <c:v>0.198</c:v>
                </c:pt>
                <c:pt idx="1">
                  <c:v>0.02723</c:v>
                </c:pt>
              </c:numCache>
            </c:numRef>
          </c:val>
          <c:smooth val="0"/>
        </c:ser>
        <c:ser>
          <c:idx val="3"/>
          <c:order val="3"/>
          <c:tx>
            <c:strRef>
              <c:f>Sheet3!$J$99</c:f>
              <c:strCache>
                <c:ptCount val="1"/>
                <c:pt idx="0">
                  <c:v>M_RMomChld</c:v>
                </c:pt>
              </c:strCache>
            </c:strRef>
          </c:tx>
          <c:marker>
            <c:symbol val="none"/>
          </c:marker>
          <c:cat>
            <c:strRef>
              <c:f>Sheet3!$K$95:$L$95</c:f>
              <c:strCache>
                <c:ptCount val="2"/>
                <c:pt idx="0">
                  <c:v>Unweighted</c:v>
                </c:pt>
                <c:pt idx="1">
                  <c:v>Weighted</c:v>
                </c:pt>
              </c:strCache>
            </c:strRef>
          </c:cat>
          <c:val>
            <c:numRef>
              <c:f>Sheet3!$K$99:$L$99</c:f>
              <c:numCache>
                <c:formatCode>General</c:formatCode>
                <c:ptCount val="2"/>
                <c:pt idx="0">
                  <c:v>-0.10597</c:v>
                </c:pt>
                <c:pt idx="1">
                  <c:v>-0.00549</c:v>
                </c:pt>
              </c:numCache>
            </c:numRef>
          </c:val>
          <c:smooth val="0"/>
        </c:ser>
        <c:ser>
          <c:idx val="4"/>
          <c:order val="4"/>
          <c:tx>
            <c:strRef>
              <c:f>Sheet3!$J$100</c:f>
              <c:strCache>
                <c:ptCount val="1"/>
                <c:pt idx="0">
                  <c:v>M_1stChild</c:v>
                </c:pt>
              </c:strCache>
            </c:strRef>
          </c:tx>
          <c:marker>
            <c:symbol val="none"/>
          </c:marker>
          <c:cat>
            <c:strRef>
              <c:f>Sheet3!$K$95:$L$95</c:f>
              <c:strCache>
                <c:ptCount val="2"/>
                <c:pt idx="0">
                  <c:v>Unweighted</c:v>
                </c:pt>
                <c:pt idx="1">
                  <c:v>Weighted</c:v>
                </c:pt>
              </c:strCache>
            </c:strRef>
          </c:cat>
          <c:val>
            <c:numRef>
              <c:f>Sheet3!$K$100:$L$100</c:f>
              <c:numCache>
                <c:formatCode>General</c:formatCode>
                <c:ptCount val="2"/>
                <c:pt idx="0">
                  <c:v>0.24092</c:v>
                </c:pt>
                <c:pt idx="1">
                  <c:v>-0.00966</c:v>
                </c:pt>
              </c:numCache>
            </c:numRef>
          </c:val>
          <c:smooth val="0"/>
        </c:ser>
        <c:ser>
          <c:idx val="5"/>
          <c:order val="5"/>
          <c:tx>
            <c:strRef>
              <c:f>Sheet3!$J$101</c:f>
              <c:strCache>
                <c:ptCount val="1"/>
                <c:pt idx="0">
                  <c:v>M_Age1st </c:v>
                </c:pt>
              </c:strCache>
            </c:strRef>
          </c:tx>
          <c:marker>
            <c:symbol val="none"/>
          </c:marker>
          <c:cat>
            <c:strRef>
              <c:f>Sheet3!$K$95:$L$95</c:f>
              <c:strCache>
                <c:ptCount val="2"/>
                <c:pt idx="0">
                  <c:v>Unweighted</c:v>
                </c:pt>
                <c:pt idx="1">
                  <c:v>Weighted</c:v>
                </c:pt>
              </c:strCache>
            </c:strRef>
          </c:cat>
          <c:val>
            <c:numRef>
              <c:f>Sheet3!$K$101:$L$101</c:f>
              <c:numCache>
                <c:formatCode>General</c:formatCode>
                <c:ptCount val="2"/>
                <c:pt idx="0">
                  <c:v>0.49482</c:v>
                </c:pt>
                <c:pt idx="1">
                  <c:v>0.11229</c:v>
                </c:pt>
              </c:numCache>
            </c:numRef>
          </c:val>
          <c:smooth val="0"/>
        </c:ser>
        <c:ser>
          <c:idx val="6"/>
          <c:order val="6"/>
          <c:tx>
            <c:strRef>
              <c:f>Sheet3!$J$102</c:f>
              <c:strCache>
                <c:ptCount val="1"/>
                <c:pt idx="0">
                  <c:v>M_Asthma</c:v>
                </c:pt>
              </c:strCache>
            </c:strRef>
          </c:tx>
          <c:marker>
            <c:symbol val="none"/>
          </c:marker>
          <c:cat>
            <c:strRef>
              <c:f>Sheet3!$K$95:$L$95</c:f>
              <c:strCache>
                <c:ptCount val="2"/>
                <c:pt idx="0">
                  <c:v>Unweighted</c:v>
                </c:pt>
                <c:pt idx="1">
                  <c:v>Weighted</c:v>
                </c:pt>
              </c:strCache>
            </c:strRef>
          </c:cat>
          <c:val>
            <c:numRef>
              <c:f>Sheet3!$K$102:$L$102</c:f>
              <c:numCache>
                <c:formatCode>General</c:formatCode>
                <c:ptCount val="2"/>
                <c:pt idx="0">
                  <c:v>-0.07125</c:v>
                </c:pt>
                <c:pt idx="1">
                  <c:v>-0.02447</c:v>
                </c:pt>
              </c:numCache>
            </c:numRef>
          </c:val>
          <c:smooth val="0"/>
        </c:ser>
        <c:ser>
          <c:idx val="7"/>
          <c:order val="7"/>
          <c:tx>
            <c:strRef>
              <c:f>Sheet3!$J$103</c:f>
              <c:strCache>
                <c:ptCount val="1"/>
                <c:pt idx="0">
                  <c:v>M_ADHD</c:v>
                </c:pt>
              </c:strCache>
            </c:strRef>
          </c:tx>
          <c:marker>
            <c:symbol val="none"/>
          </c:marker>
          <c:cat>
            <c:strRef>
              <c:f>Sheet3!$K$95:$L$95</c:f>
              <c:strCache>
                <c:ptCount val="2"/>
                <c:pt idx="0">
                  <c:v>Unweighted</c:v>
                </c:pt>
                <c:pt idx="1">
                  <c:v>Weighted</c:v>
                </c:pt>
              </c:strCache>
            </c:strRef>
          </c:cat>
          <c:val>
            <c:numRef>
              <c:f>Sheet3!$K$103:$L$103</c:f>
              <c:numCache>
                <c:formatCode>General</c:formatCode>
                <c:ptCount val="2"/>
                <c:pt idx="0">
                  <c:v>-0.06009</c:v>
                </c:pt>
                <c:pt idx="1">
                  <c:v>-0.03333</c:v>
                </c:pt>
              </c:numCache>
            </c:numRef>
          </c:val>
          <c:smooth val="0"/>
        </c:ser>
        <c:ser>
          <c:idx val="8"/>
          <c:order val="8"/>
          <c:tx>
            <c:strRef>
              <c:f>Sheet3!$J$104</c:f>
              <c:strCache>
                <c:ptCount val="1"/>
                <c:pt idx="0">
                  <c:v>M_Overwgt</c:v>
                </c:pt>
              </c:strCache>
            </c:strRef>
          </c:tx>
          <c:marker>
            <c:symbol val="none"/>
          </c:marker>
          <c:cat>
            <c:strRef>
              <c:f>Sheet3!$K$95:$L$95</c:f>
              <c:strCache>
                <c:ptCount val="2"/>
                <c:pt idx="0">
                  <c:v>Unweighted</c:v>
                </c:pt>
                <c:pt idx="1">
                  <c:v>Weighted</c:v>
                </c:pt>
              </c:strCache>
            </c:strRef>
          </c:cat>
          <c:val>
            <c:numRef>
              <c:f>Sheet3!$K$104:$L$104</c:f>
              <c:numCache>
                <c:formatCode>General</c:formatCode>
                <c:ptCount val="2"/>
                <c:pt idx="0">
                  <c:v>0.01796</c:v>
                </c:pt>
                <c:pt idx="1">
                  <c:v>-0.05605</c:v>
                </c:pt>
              </c:numCache>
            </c:numRef>
          </c:val>
          <c:smooth val="0"/>
        </c:ser>
        <c:ser>
          <c:idx val="9"/>
          <c:order val="9"/>
          <c:tx>
            <c:strRef>
              <c:f>Sheet3!$J$105</c:f>
              <c:strCache>
                <c:ptCount val="1"/>
                <c:pt idx="0">
                  <c:v>M_Diabtes</c:v>
                </c:pt>
              </c:strCache>
            </c:strRef>
          </c:tx>
          <c:marker>
            <c:symbol val="none"/>
          </c:marker>
          <c:cat>
            <c:strRef>
              <c:f>Sheet3!$K$95:$L$95</c:f>
              <c:strCache>
                <c:ptCount val="2"/>
                <c:pt idx="0">
                  <c:v>Unweighted</c:v>
                </c:pt>
                <c:pt idx="1">
                  <c:v>Weighted</c:v>
                </c:pt>
              </c:strCache>
            </c:strRef>
          </c:cat>
          <c:val>
            <c:numRef>
              <c:f>Sheet3!$K$105:$L$105</c:f>
              <c:numCache>
                <c:formatCode>General</c:formatCode>
                <c:ptCount val="2"/>
                <c:pt idx="0">
                  <c:v>-0.01614</c:v>
                </c:pt>
                <c:pt idx="1">
                  <c:v>-0.03264</c:v>
                </c:pt>
              </c:numCache>
            </c:numRef>
          </c:val>
          <c:smooth val="0"/>
        </c:ser>
        <c:ser>
          <c:idx val="10"/>
          <c:order val="10"/>
          <c:tx>
            <c:strRef>
              <c:f>Sheet3!$J$106</c:f>
              <c:strCache>
                <c:ptCount val="1"/>
                <c:pt idx="0">
                  <c:v>M_RLrnDsab</c:v>
                </c:pt>
              </c:strCache>
            </c:strRef>
          </c:tx>
          <c:marker>
            <c:symbol val="none"/>
          </c:marker>
          <c:cat>
            <c:strRef>
              <c:f>Sheet3!$K$95:$L$95</c:f>
              <c:strCache>
                <c:ptCount val="2"/>
                <c:pt idx="0">
                  <c:v>Unweighted</c:v>
                </c:pt>
                <c:pt idx="1">
                  <c:v>Weighted</c:v>
                </c:pt>
              </c:strCache>
            </c:strRef>
          </c:cat>
          <c:val>
            <c:numRef>
              <c:f>Sheet3!$K$106:$L$106</c:f>
              <c:numCache>
                <c:formatCode>General</c:formatCode>
                <c:ptCount val="2"/>
                <c:pt idx="0">
                  <c:v>-0.09255</c:v>
                </c:pt>
                <c:pt idx="1">
                  <c:v>-0.08147</c:v>
                </c:pt>
              </c:numCache>
            </c:numRef>
          </c:val>
          <c:smooth val="0"/>
        </c:ser>
        <c:ser>
          <c:idx val="11"/>
          <c:order val="11"/>
          <c:tx>
            <c:strRef>
              <c:f>Sheet3!$J$107</c:f>
              <c:strCache>
                <c:ptCount val="1"/>
                <c:pt idx="0">
                  <c:v>M_HighBP</c:v>
                </c:pt>
              </c:strCache>
            </c:strRef>
          </c:tx>
          <c:marker>
            <c:symbol val="none"/>
          </c:marker>
          <c:cat>
            <c:strRef>
              <c:f>Sheet3!$K$95:$L$95</c:f>
              <c:strCache>
                <c:ptCount val="2"/>
                <c:pt idx="0">
                  <c:v>Unweighted</c:v>
                </c:pt>
                <c:pt idx="1">
                  <c:v>Weighted</c:v>
                </c:pt>
              </c:strCache>
            </c:strRef>
          </c:cat>
          <c:val>
            <c:numRef>
              <c:f>Sheet3!$K$107:$L$107</c:f>
              <c:numCache>
                <c:formatCode>General</c:formatCode>
                <c:ptCount val="2"/>
                <c:pt idx="0">
                  <c:v>-0.06422</c:v>
                </c:pt>
                <c:pt idx="1">
                  <c:v>0.02347</c:v>
                </c:pt>
              </c:numCache>
            </c:numRef>
          </c:val>
          <c:smooth val="0"/>
        </c:ser>
        <c:ser>
          <c:idx val="12"/>
          <c:order val="12"/>
          <c:tx>
            <c:strRef>
              <c:f>Sheet3!$J$108</c:f>
              <c:strCache>
                <c:ptCount val="1"/>
                <c:pt idx="0">
                  <c:v>M_AFDC</c:v>
                </c:pt>
              </c:strCache>
            </c:strRef>
          </c:tx>
          <c:marker>
            <c:symbol val="none"/>
          </c:marker>
          <c:cat>
            <c:strRef>
              <c:f>Sheet3!$K$95:$L$95</c:f>
              <c:strCache>
                <c:ptCount val="2"/>
                <c:pt idx="0">
                  <c:v>Unweighted</c:v>
                </c:pt>
                <c:pt idx="1">
                  <c:v>Weighted</c:v>
                </c:pt>
              </c:strCache>
            </c:strRef>
          </c:cat>
          <c:val>
            <c:numRef>
              <c:f>Sheet3!$K$108:$L$108</c:f>
              <c:numCache>
                <c:formatCode>General</c:formatCode>
                <c:ptCount val="2"/>
                <c:pt idx="0">
                  <c:v>-0.20963</c:v>
                </c:pt>
                <c:pt idx="1">
                  <c:v>0.01755</c:v>
                </c:pt>
              </c:numCache>
            </c:numRef>
          </c:val>
          <c:smooth val="0"/>
        </c:ser>
        <c:ser>
          <c:idx val="13"/>
          <c:order val="13"/>
          <c:tx>
            <c:strRef>
              <c:f>Sheet3!$J$109</c:f>
              <c:strCache>
                <c:ptCount val="1"/>
                <c:pt idx="0">
                  <c:v>M_MdCaid</c:v>
                </c:pt>
              </c:strCache>
            </c:strRef>
          </c:tx>
          <c:marker>
            <c:symbol val="none"/>
          </c:marker>
          <c:cat>
            <c:strRef>
              <c:f>Sheet3!$K$95:$L$95</c:f>
              <c:strCache>
                <c:ptCount val="2"/>
                <c:pt idx="0">
                  <c:v>Unweighted</c:v>
                </c:pt>
                <c:pt idx="1">
                  <c:v>Weighted</c:v>
                </c:pt>
              </c:strCache>
            </c:strRef>
          </c:cat>
          <c:val>
            <c:numRef>
              <c:f>Sheet3!$K$109:$L$109</c:f>
              <c:numCache>
                <c:formatCode>General</c:formatCode>
                <c:ptCount val="2"/>
                <c:pt idx="0">
                  <c:v>-0.34229</c:v>
                </c:pt>
                <c:pt idx="1">
                  <c:v>0.01929</c:v>
                </c:pt>
              </c:numCache>
            </c:numRef>
          </c:val>
          <c:smooth val="0"/>
        </c:ser>
        <c:ser>
          <c:idx val="14"/>
          <c:order val="14"/>
          <c:tx>
            <c:strRef>
              <c:f>Sheet3!$J$110</c:f>
              <c:strCache>
                <c:ptCount val="1"/>
                <c:pt idx="0">
                  <c:v>M_PubHouse</c:v>
                </c:pt>
              </c:strCache>
            </c:strRef>
          </c:tx>
          <c:marker>
            <c:symbol val="none"/>
          </c:marker>
          <c:cat>
            <c:strRef>
              <c:f>Sheet3!$K$95:$L$95</c:f>
              <c:strCache>
                <c:ptCount val="2"/>
                <c:pt idx="0">
                  <c:v>Unweighted</c:v>
                </c:pt>
                <c:pt idx="1">
                  <c:v>Weighted</c:v>
                </c:pt>
              </c:strCache>
            </c:strRef>
          </c:cat>
          <c:val>
            <c:numRef>
              <c:f>Sheet3!$K$110:$L$110</c:f>
              <c:numCache>
                <c:formatCode>General</c:formatCode>
                <c:ptCount val="2"/>
                <c:pt idx="0">
                  <c:v>-0.22545</c:v>
                </c:pt>
                <c:pt idx="1">
                  <c:v>0.04619</c:v>
                </c:pt>
              </c:numCache>
            </c:numRef>
          </c:val>
          <c:smooth val="0"/>
        </c:ser>
        <c:ser>
          <c:idx val="15"/>
          <c:order val="15"/>
          <c:tx>
            <c:strRef>
              <c:f>Sheet3!$J$111</c:f>
              <c:strCache>
                <c:ptCount val="1"/>
                <c:pt idx="0">
                  <c:v>M_ReptGrde</c:v>
                </c:pt>
              </c:strCache>
            </c:strRef>
          </c:tx>
          <c:marker>
            <c:symbol val="none"/>
          </c:marker>
          <c:cat>
            <c:strRef>
              <c:f>Sheet3!$K$95:$L$95</c:f>
              <c:strCache>
                <c:ptCount val="2"/>
                <c:pt idx="0">
                  <c:v>Unweighted</c:v>
                </c:pt>
                <c:pt idx="1">
                  <c:v>Weighted</c:v>
                </c:pt>
              </c:strCache>
            </c:strRef>
          </c:cat>
          <c:val>
            <c:numRef>
              <c:f>Sheet3!$K$111:$L$111</c:f>
              <c:numCache>
                <c:formatCode>General</c:formatCode>
                <c:ptCount val="2"/>
                <c:pt idx="0">
                  <c:v>-0.30462</c:v>
                </c:pt>
                <c:pt idx="1">
                  <c:v>-0.04403</c:v>
                </c:pt>
              </c:numCache>
            </c:numRef>
          </c:val>
          <c:smooth val="0"/>
        </c:ser>
        <c:ser>
          <c:idx val="16"/>
          <c:order val="16"/>
          <c:tx>
            <c:strRef>
              <c:f>Sheet3!$J$112</c:f>
              <c:strCache>
                <c:ptCount val="1"/>
                <c:pt idx="0">
                  <c:v>M_WrkHrs</c:v>
                </c:pt>
              </c:strCache>
            </c:strRef>
          </c:tx>
          <c:marker>
            <c:symbol val="none"/>
          </c:marker>
          <c:cat>
            <c:strRef>
              <c:f>Sheet3!$K$95:$L$95</c:f>
              <c:strCache>
                <c:ptCount val="2"/>
                <c:pt idx="0">
                  <c:v>Unweighted</c:v>
                </c:pt>
                <c:pt idx="1">
                  <c:v>Weighted</c:v>
                </c:pt>
              </c:strCache>
            </c:strRef>
          </c:cat>
          <c:val>
            <c:numRef>
              <c:f>Sheet3!$K$112:$L$112</c:f>
              <c:numCache>
                <c:formatCode>General</c:formatCode>
                <c:ptCount val="2"/>
                <c:pt idx="0">
                  <c:v>0.10974</c:v>
                </c:pt>
                <c:pt idx="1">
                  <c:v>0.00378</c:v>
                </c:pt>
              </c:numCache>
            </c:numRef>
          </c:val>
          <c:smooth val="0"/>
        </c:ser>
        <c:ser>
          <c:idx val="17"/>
          <c:order val="17"/>
          <c:tx>
            <c:strRef>
              <c:f>Sheet3!$J$113</c:f>
              <c:strCache>
                <c:ptCount val="1"/>
                <c:pt idx="0">
                  <c:v>M_FoodSt</c:v>
                </c:pt>
              </c:strCache>
            </c:strRef>
          </c:tx>
          <c:marker>
            <c:symbol val="none"/>
          </c:marker>
          <c:cat>
            <c:strRef>
              <c:f>Sheet3!$K$95:$L$95</c:f>
              <c:strCache>
                <c:ptCount val="2"/>
                <c:pt idx="0">
                  <c:v>Unweighted</c:v>
                </c:pt>
                <c:pt idx="1">
                  <c:v>Weighted</c:v>
                </c:pt>
              </c:strCache>
            </c:strRef>
          </c:cat>
          <c:val>
            <c:numRef>
              <c:f>Sheet3!$K$113:$L$113</c:f>
              <c:numCache>
                <c:formatCode>General</c:formatCode>
                <c:ptCount val="2"/>
                <c:pt idx="0">
                  <c:v>-0.31113</c:v>
                </c:pt>
                <c:pt idx="1">
                  <c:v>-0.01725</c:v>
                </c:pt>
              </c:numCache>
            </c:numRef>
          </c:val>
          <c:smooth val="0"/>
        </c:ser>
        <c:ser>
          <c:idx val="18"/>
          <c:order val="18"/>
          <c:tx>
            <c:strRef>
              <c:f>Sheet3!$J$114</c:f>
              <c:strCache>
                <c:ptCount val="1"/>
                <c:pt idx="0">
                  <c:v>M_RcvWIC</c:v>
                </c:pt>
              </c:strCache>
            </c:strRef>
          </c:tx>
          <c:marker>
            <c:symbol val="none"/>
          </c:marker>
          <c:cat>
            <c:strRef>
              <c:f>Sheet3!$K$95:$L$95</c:f>
              <c:strCache>
                <c:ptCount val="2"/>
                <c:pt idx="0">
                  <c:v>Unweighted</c:v>
                </c:pt>
                <c:pt idx="1">
                  <c:v>Weighted</c:v>
                </c:pt>
              </c:strCache>
            </c:strRef>
          </c:cat>
          <c:val>
            <c:numRef>
              <c:f>Sheet3!$K$114:$L$114</c:f>
              <c:numCache>
                <c:formatCode>General</c:formatCode>
                <c:ptCount val="2"/>
                <c:pt idx="0">
                  <c:v>-0.45278</c:v>
                </c:pt>
                <c:pt idx="1">
                  <c:v>-0.07092</c:v>
                </c:pt>
              </c:numCache>
            </c:numRef>
          </c:val>
          <c:smooth val="0"/>
        </c:ser>
        <c:ser>
          <c:idx val="19"/>
          <c:order val="19"/>
          <c:tx>
            <c:strRef>
              <c:f>Sheet3!$J$115</c:f>
              <c:strCache>
                <c:ptCount val="1"/>
                <c:pt idx="0">
                  <c:v>M_CCSupp</c:v>
                </c:pt>
              </c:strCache>
            </c:strRef>
          </c:tx>
          <c:marker>
            <c:symbol val="none"/>
          </c:marker>
          <c:cat>
            <c:strRef>
              <c:f>Sheet3!$K$95:$L$95</c:f>
              <c:strCache>
                <c:ptCount val="2"/>
                <c:pt idx="0">
                  <c:v>Unweighted</c:v>
                </c:pt>
                <c:pt idx="1">
                  <c:v>Weighted</c:v>
                </c:pt>
              </c:strCache>
            </c:strRef>
          </c:cat>
          <c:val>
            <c:numRef>
              <c:f>Sheet3!$K$115:$L$115</c:f>
              <c:numCache>
                <c:formatCode>General</c:formatCode>
                <c:ptCount val="2"/>
                <c:pt idx="0">
                  <c:v>-0.10981</c:v>
                </c:pt>
                <c:pt idx="1">
                  <c:v>-0.04954</c:v>
                </c:pt>
              </c:numCache>
            </c:numRef>
          </c:val>
          <c:smooth val="0"/>
        </c:ser>
        <c:ser>
          <c:idx val="20"/>
          <c:order val="20"/>
          <c:tx>
            <c:strRef>
              <c:f>Sheet3!$J$116</c:f>
              <c:strCache>
                <c:ptCount val="1"/>
                <c:pt idx="0">
                  <c:v>M_Miscar</c:v>
                </c:pt>
              </c:strCache>
            </c:strRef>
          </c:tx>
          <c:marker>
            <c:symbol val="none"/>
          </c:marker>
          <c:cat>
            <c:strRef>
              <c:f>Sheet3!$K$95:$L$95</c:f>
              <c:strCache>
                <c:ptCount val="2"/>
                <c:pt idx="0">
                  <c:v>Unweighted</c:v>
                </c:pt>
                <c:pt idx="1">
                  <c:v>Weighted</c:v>
                </c:pt>
              </c:strCache>
            </c:strRef>
          </c:cat>
          <c:val>
            <c:numRef>
              <c:f>Sheet3!$K$116:$L$116</c:f>
              <c:numCache>
                <c:formatCode>General</c:formatCode>
                <c:ptCount val="2"/>
                <c:pt idx="0">
                  <c:v>0.06368</c:v>
                </c:pt>
                <c:pt idx="1">
                  <c:v>0.00598</c:v>
                </c:pt>
              </c:numCache>
            </c:numRef>
          </c:val>
          <c:smooth val="0"/>
        </c:ser>
        <c:ser>
          <c:idx val="21"/>
          <c:order val="21"/>
          <c:tx>
            <c:strRef>
              <c:f>Sheet3!$J$117</c:f>
              <c:strCache>
                <c:ptCount val="1"/>
                <c:pt idx="0">
                  <c:v>M_HapyPreg</c:v>
                </c:pt>
              </c:strCache>
            </c:strRef>
          </c:tx>
          <c:marker>
            <c:symbol val="none"/>
          </c:marker>
          <c:cat>
            <c:strRef>
              <c:f>Sheet3!$K$95:$L$95</c:f>
              <c:strCache>
                <c:ptCount val="2"/>
                <c:pt idx="0">
                  <c:v>Unweighted</c:v>
                </c:pt>
                <c:pt idx="1">
                  <c:v>Weighted</c:v>
                </c:pt>
              </c:strCache>
            </c:strRef>
          </c:cat>
          <c:val>
            <c:numRef>
              <c:f>Sheet3!$K$117:$L$117</c:f>
              <c:numCache>
                <c:formatCode>General</c:formatCode>
                <c:ptCount val="2"/>
                <c:pt idx="0">
                  <c:v>0.17196</c:v>
                </c:pt>
                <c:pt idx="1">
                  <c:v>0.00654</c:v>
                </c:pt>
              </c:numCache>
            </c:numRef>
          </c:val>
          <c:smooth val="0"/>
        </c:ser>
        <c:ser>
          <c:idx val="22"/>
          <c:order val="22"/>
          <c:tx>
            <c:strRef>
              <c:f>Sheet3!$J$118</c:f>
              <c:strCache>
                <c:ptCount val="1"/>
                <c:pt idx="0">
                  <c:v>M_EmotProb</c:v>
                </c:pt>
              </c:strCache>
            </c:strRef>
          </c:tx>
          <c:marker>
            <c:symbol val="none"/>
          </c:marker>
          <c:cat>
            <c:strRef>
              <c:f>Sheet3!$K$95:$L$95</c:f>
              <c:strCache>
                <c:ptCount val="2"/>
                <c:pt idx="0">
                  <c:v>Unweighted</c:v>
                </c:pt>
                <c:pt idx="1">
                  <c:v>Weighted</c:v>
                </c:pt>
              </c:strCache>
            </c:strRef>
          </c:cat>
          <c:val>
            <c:numRef>
              <c:f>Sheet3!$K$118:$L$118</c:f>
              <c:numCache>
                <c:formatCode>General</c:formatCode>
                <c:ptCount val="2"/>
                <c:pt idx="0">
                  <c:v>-0.03975</c:v>
                </c:pt>
                <c:pt idx="1">
                  <c:v>-0.02533</c:v>
                </c:pt>
              </c:numCache>
            </c:numRef>
          </c:val>
          <c:smooth val="0"/>
        </c:ser>
        <c:ser>
          <c:idx val="23"/>
          <c:order val="23"/>
          <c:tx>
            <c:strRef>
              <c:f>Sheet3!$J$119</c:f>
              <c:strCache>
                <c:ptCount val="1"/>
                <c:pt idx="0">
                  <c:v>M_SmokPreg</c:v>
                </c:pt>
              </c:strCache>
            </c:strRef>
          </c:tx>
          <c:marker>
            <c:symbol val="none"/>
          </c:marker>
          <c:cat>
            <c:strRef>
              <c:f>Sheet3!$K$95:$L$95</c:f>
              <c:strCache>
                <c:ptCount val="2"/>
                <c:pt idx="0">
                  <c:v>Unweighted</c:v>
                </c:pt>
                <c:pt idx="1">
                  <c:v>Weighted</c:v>
                </c:pt>
              </c:strCache>
            </c:strRef>
          </c:cat>
          <c:val>
            <c:numRef>
              <c:f>Sheet3!$K$119:$L$119</c:f>
              <c:numCache>
                <c:formatCode>General</c:formatCode>
                <c:ptCount val="2"/>
                <c:pt idx="0">
                  <c:v>-0.10373</c:v>
                </c:pt>
                <c:pt idx="1">
                  <c:v>-0.03391</c:v>
                </c:pt>
              </c:numCache>
            </c:numRef>
          </c:val>
          <c:smooth val="0"/>
        </c:ser>
        <c:ser>
          <c:idx val="24"/>
          <c:order val="24"/>
          <c:tx>
            <c:strRef>
              <c:f>Sheet3!$J$120</c:f>
              <c:strCache>
                <c:ptCount val="1"/>
                <c:pt idx="0">
                  <c:v>C_Wght</c:v>
                </c:pt>
              </c:strCache>
            </c:strRef>
          </c:tx>
          <c:marker>
            <c:symbol val="none"/>
          </c:marker>
          <c:cat>
            <c:strRef>
              <c:f>Sheet3!$K$95:$L$95</c:f>
              <c:strCache>
                <c:ptCount val="2"/>
                <c:pt idx="0">
                  <c:v>Unweighted</c:v>
                </c:pt>
                <c:pt idx="1">
                  <c:v>Weighted</c:v>
                </c:pt>
              </c:strCache>
            </c:strRef>
          </c:cat>
          <c:val>
            <c:numRef>
              <c:f>Sheet3!$K$120:$L$120</c:f>
              <c:numCache>
                <c:formatCode>General</c:formatCode>
                <c:ptCount val="2"/>
                <c:pt idx="0">
                  <c:v>0.14506</c:v>
                </c:pt>
                <c:pt idx="1">
                  <c:v>0.02745</c:v>
                </c:pt>
              </c:numCache>
            </c:numRef>
          </c:val>
          <c:smooth val="0"/>
        </c:ser>
        <c:ser>
          <c:idx val="25"/>
          <c:order val="25"/>
          <c:tx>
            <c:strRef>
              <c:f>Sheet3!$J$121</c:f>
              <c:strCache>
                <c:ptCount val="1"/>
                <c:pt idx="0">
                  <c:v>C_HrsOfTV</c:v>
                </c:pt>
              </c:strCache>
            </c:strRef>
          </c:tx>
          <c:marker>
            <c:symbol val="none"/>
          </c:marker>
          <c:cat>
            <c:strRef>
              <c:f>Sheet3!$K$95:$L$95</c:f>
              <c:strCache>
                <c:ptCount val="2"/>
                <c:pt idx="0">
                  <c:v>Unweighted</c:v>
                </c:pt>
                <c:pt idx="1">
                  <c:v>Weighted</c:v>
                </c:pt>
              </c:strCache>
            </c:strRef>
          </c:cat>
          <c:val>
            <c:numRef>
              <c:f>Sheet3!$K$121:$L$121</c:f>
              <c:numCache>
                <c:formatCode>General</c:formatCode>
                <c:ptCount val="2"/>
                <c:pt idx="0">
                  <c:v>-0.26979</c:v>
                </c:pt>
                <c:pt idx="1">
                  <c:v>-0.09099</c:v>
                </c:pt>
              </c:numCache>
            </c:numRef>
          </c:val>
          <c:smooth val="0"/>
        </c:ser>
        <c:ser>
          <c:idx val="26"/>
          <c:order val="26"/>
          <c:tx>
            <c:strRef>
              <c:f>Sheet3!$J$122</c:f>
              <c:strCache>
                <c:ptCount val="1"/>
                <c:pt idx="0">
                  <c:v>M_BrestFed</c:v>
                </c:pt>
              </c:strCache>
            </c:strRef>
          </c:tx>
          <c:marker>
            <c:symbol val="none"/>
          </c:marker>
          <c:cat>
            <c:strRef>
              <c:f>Sheet3!$K$95:$L$95</c:f>
              <c:strCache>
                <c:ptCount val="2"/>
                <c:pt idx="0">
                  <c:v>Unweighted</c:v>
                </c:pt>
                <c:pt idx="1">
                  <c:v>Weighted</c:v>
                </c:pt>
              </c:strCache>
            </c:strRef>
          </c:cat>
          <c:val>
            <c:numRef>
              <c:f>Sheet3!$K$122:$L$122</c:f>
              <c:numCache>
                <c:formatCode>General</c:formatCode>
                <c:ptCount val="2"/>
                <c:pt idx="0">
                  <c:v>0.32551</c:v>
                </c:pt>
                <c:pt idx="1">
                  <c:v>0.07477</c:v>
                </c:pt>
              </c:numCache>
            </c:numRef>
          </c:val>
          <c:smooth val="0"/>
        </c:ser>
        <c:ser>
          <c:idx val="27"/>
          <c:order val="27"/>
          <c:tx>
            <c:strRef>
              <c:f>Sheet3!$J$123</c:f>
              <c:strCache>
                <c:ptCount val="1"/>
                <c:pt idx="0">
                  <c:v>C_CircCm</c:v>
                </c:pt>
              </c:strCache>
            </c:strRef>
          </c:tx>
          <c:marker>
            <c:symbol val="none"/>
          </c:marker>
          <c:cat>
            <c:strRef>
              <c:f>Sheet3!$K$95:$L$95</c:f>
              <c:strCache>
                <c:ptCount val="2"/>
                <c:pt idx="0">
                  <c:v>Unweighted</c:v>
                </c:pt>
                <c:pt idx="1">
                  <c:v>Weighted</c:v>
                </c:pt>
              </c:strCache>
            </c:strRef>
          </c:cat>
          <c:val>
            <c:numRef>
              <c:f>Sheet3!$K$123:$L$123</c:f>
              <c:numCache>
                <c:formatCode>General</c:formatCode>
                <c:ptCount val="2"/>
                <c:pt idx="0">
                  <c:v>0.02967</c:v>
                </c:pt>
                <c:pt idx="1">
                  <c:v>0.01489</c:v>
                </c:pt>
              </c:numCache>
            </c:numRef>
          </c:val>
          <c:smooth val="0"/>
        </c:ser>
        <c:ser>
          <c:idx val="28"/>
          <c:order val="28"/>
          <c:tx>
            <c:strRef>
              <c:f>Sheet3!$J$124</c:f>
              <c:strCache>
                <c:ptCount val="1"/>
                <c:pt idx="0">
                  <c:v>M_Anx</c:v>
                </c:pt>
              </c:strCache>
            </c:strRef>
          </c:tx>
          <c:marker>
            <c:symbol val="none"/>
          </c:marker>
          <c:cat>
            <c:strRef>
              <c:f>Sheet3!$K$95:$L$95</c:f>
              <c:strCache>
                <c:ptCount val="2"/>
                <c:pt idx="0">
                  <c:v>Unweighted</c:v>
                </c:pt>
                <c:pt idx="1">
                  <c:v>Weighted</c:v>
                </c:pt>
              </c:strCache>
            </c:strRef>
          </c:cat>
          <c:val>
            <c:numRef>
              <c:f>Sheet3!$K$124:$L$124</c:f>
              <c:numCache>
                <c:formatCode>General</c:formatCode>
                <c:ptCount val="2"/>
                <c:pt idx="0">
                  <c:v>-0.00745</c:v>
                </c:pt>
                <c:pt idx="1">
                  <c:v>-0.00209</c:v>
                </c:pt>
              </c:numCache>
            </c:numRef>
          </c:val>
          <c:smooth val="0"/>
        </c:ser>
        <c:ser>
          <c:idx val="29"/>
          <c:order val="29"/>
          <c:tx>
            <c:strRef>
              <c:f>Sheet3!$J$125</c:f>
              <c:strCache>
                <c:ptCount val="1"/>
                <c:pt idx="0">
                  <c:v>M_Depres</c:v>
                </c:pt>
              </c:strCache>
            </c:strRef>
          </c:tx>
          <c:marker>
            <c:symbol val="none"/>
          </c:marker>
          <c:cat>
            <c:strRef>
              <c:f>Sheet3!$K$95:$L$95</c:f>
              <c:strCache>
                <c:ptCount val="2"/>
                <c:pt idx="0">
                  <c:v>Unweighted</c:v>
                </c:pt>
                <c:pt idx="1">
                  <c:v>Weighted</c:v>
                </c:pt>
              </c:strCache>
            </c:strRef>
          </c:cat>
          <c:val>
            <c:numRef>
              <c:f>Sheet3!$K$125:$L$125</c:f>
              <c:numCache>
                <c:formatCode>General</c:formatCode>
                <c:ptCount val="2"/>
                <c:pt idx="0">
                  <c:v>-0.08868</c:v>
                </c:pt>
                <c:pt idx="1">
                  <c:v>-0.03274</c:v>
                </c:pt>
              </c:numCache>
            </c:numRef>
          </c:val>
          <c:smooth val="0"/>
        </c:ser>
        <c:ser>
          <c:idx val="30"/>
          <c:order val="30"/>
          <c:tx>
            <c:strRef>
              <c:f>Sheet3!$J$126</c:f>
              <c:strCache>
                <c:ptCount val="1"/>
                <c:pt idx="0">
                  <c:v>C_MDI</c:v>
                </c:pt>
              </c:strCache>
            </c:strRef>
          </c:tx>
          <c:marker>
            <c:symbol val="none"/>
          </c:marker>
          <c:cat>
            <c:strRef>
              <c:f>Sheet3!$K$95:$L$95</c:f>
              <c:strCache>
                <c:ptCount val="2"/>
                <c:pt idx="0">
                  <c:v>Unweighted</c:v>
                </c:pt>
                <c:pt idx="1">
                  <c:v>Weighted</c:v>
                </c:pt>
              </c:strCache>
            </c:strRef>
          </c:cat>
          <c:val>
            <c:numRef>
              <c:f>Sheet3!$K$126:$L$126</c:f>
              <c:numCache>
                <c:formatCode>General</c:formatCode>
                <c:ptCount val="2"/>
                <c:pt idx="0">
                  <c:v>0.04163</c:v>
                </c:pt>
                <c:pt idx="1">
                  <c:v>0.07103</c:v>
                </c:pt>
              </c:numCache>
            </c:numRef>
          </c:val>
          <c:smooth val="0"/>
        </c:ser>
        <c:ser>
          <c:idx val="31"/>
          <c:order val="31"/>
          <c:tx>
            <c:strRef>
              <c:f>Sheet3!$J$127</c:f>
              <c:strCache>
                <c:ptCount val="1"/>
                <c:pt idx="0">
                  <c:v>M_TcBlac2</c:v>
                </c:pt>
              </c:strCache>
            </c:strRef>
          </c:tx>
          <c:marker>
            <c:symbol val="none"/>
          </c:marker>
          <c:cat>
            <c:strRef>
              <c:f>Sheet3!$K$95:$L$95</c:f>
              <c:strCache>
                <c:ptCount val="2"/>
                <c:pt idx="0">
                  <c:v>Unweighted</c:v>
                </c:pt>
                <c:pt idx="1">
                  <c:v>Weighted</c:v>
                </c:pt>
              </c:strCache>
            </c:strRef>
          </c:cat>
          <c:val>
            <c:numRef>
              <c:f>Sheet3!$K$127:$L$127</c:f>
              <c:numCache>
                <c:formatCode>General</c:formatCode>
                <c:ptCount val="2"/>
                <c:pt idx="0">
                  <c:v>-0.39392</c:v>
                </c:pt>
                <c:pt idx="1">
                  <c:v>-0.00598</c:v>
                </c:pt>
              </c:numCache>
            </c:numRef>
          </c:val>
          <c:smooth val="0"/>
        </c:ser>
        <c:ser>
          <c:idx val="32"/>
          <c:order val="32"/>
          <c:tx>
            <c:strRef>
              <c:f>Sheet3!$J$128</c:f>
              <c:strCache>
                <c:ptCount val="1"/>
                <c:pt idx="0">
                  <c:v>C_Black</c:v>
                </c:pt>
              </c:strCache>
            </c:strRef>
          </c:tx>
          <c:marker>
            <c:symbol val="none"/>
          </c:marker>
          <c:cat>
            <c:strRef>
              <c:f>Sheet3!$K$95:$L$95</c:f>
              <c:strCache>
                <c:ptCount val="2"/>
                <c:pt idx="0">
                  <c:v>Unweighted</c:v>
                </c:pt>
                <c:pt idx="1">
                  <c:v>Weighted</c:v>
                </c:pt>
              </c:strCache>
            </c:strRef>
          </c:cat>
          <c:val>
            <c:numRef>
              <c:f>Sheet3!$K$128:$L$128</c:f>
              <c:numCache>
                <c:formatCode>General</c:formatCode>
                <c:ptCount val="2"/>
                <c:pt idx="0">
                  <c:v>-0.00888</c:v>
                </c:pt>
                <c:pt idx="1">
                  <c:v>-0.02016</c:v>
                </c:pt>
              </c:numCache>
            </c:numRef>
          </c:val>
          <c:smooth val="0"/>
        </c:ser>
        <c:dLbls>
          <c:showLegendKey val="0"/>
          <c:showVal val="0"/>
          <c:showCatName val="0"/>
          <c:showSerName val="0"/>
          <c:showPercent val="0"/>
          <c:showBubbleSize val="0"/>
        </c:dLbls>
        <c:marker val="1"/>
        <c:smooth val="0"/>
        <c:axId val="642927736"/>
        <c:axId val="642930472"/>
      </c:lineChart>
      <c:catAx>
        <c:axId val="642927736"/>
        <c:scaling>
          <c:orientation val="minMax"/>
        </c:scaling>
        <c:delete val="0"/>
        <c:axPos val="b"/>
        <c:majorTickMark val="out"/>
        <c:minorTickMark val="none"/>
        <c:tickLblPos val="nextTo"/>
        <c:txPr>
          <a:bodyPr/>
          <a:lstStyle/>
          <a:p>
            <a:pPr>
              <a:defRPr sz="1400" b="1"/>
            </a:pPr>
            <a:endParaRPr lang="en-US"/>
          </a:p>
        </c:txPr>
        <c:crossAx val="642930472"/>
        <c:crosses val="autoZero"/>
        <c:auto val="1"/>
        <c:lblAlgn val="ctr"/>
        <c:lblOffset val="100"/>
        <c:noMultiLvlLbl val="0"/>
      </c:catAx>
      <c:valAx>
        <c:axId val="642930472"/>
        <c:scaling>
          <c:orientation val="minMax"/>
          <c:max val="1.0"/>
          <c:min val="-1.0"/>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US" sz="1100" b="1" i="0" baseline="0">
                    <a:effectLst/>
                  </a:rPr>
                  <a:t>Correlation between Mean Maternal Sensitivity and Selection Variable</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en-US" sz="1100"/>
              </a:p>
            </c:rich>
          </c:tx>
          <c:layout/>
          <c:overlay val="0"/>
        </c:title>
        <c:numFmt formatCode="General" sourceLinked="1"/>
        <c:majorTickMark val="out"/>
        <c:minorTickMark val="none"/>
        <c:tickLblPos val="nextTo"/>
        <c:crossAx val="642927736"/>
        <c:crosses val="autoZero"/>
        <c:crossBetween val="between"/>
      </c:valAx>
    </c:plotArea>
    <c:legend>
      <c:legendPos val="r"/>
      <c:legendEntry>
        <c:idx val="0"/>
        <c:delete val="1"/>
      </c:legendEntry>
      <c:layout>
        <c:manualLayout>
          <c:xMode val="edge"/>
          <c:yMode val="edge"/>
          <c:x val="0.772374982206368"/>
          <c:y val="0.025474623447447"/>
          <c:w val="0.214100082392061"/>
          <c:h val="0.97452537655255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1738</Words>
  <Characters>9912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Daniel John</dc:creator>
  <cp:lastModifiedBy>Nancy BriggsShearer</cp:lastModifiedBy>
  <cp:revision>3</cp:revision>
  <dcterms:created xsi:type="dcterms:W3CDTF">2016-02-22T17:38:00Z</dcterms:created>
  <dcterms:modified xsi:type="dcterms:W3CDTF">2016-02-26T20:04:00Z</dcterms:modified>
</cp:coreProperties>
</file>