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C2" w:rsidRPr="00677EFF" w:rsidRDefault="000957C2" w:rsidP="000957C2">
      <w:pPr>
        <w:autoSpaceDE w:val="0"/>
        <w:autoSpaceDN w:val="0"/>
        <w:adjustRightInd w:val="0"/>
        <w:snapToGrid w:val="0"/>
        <w:spacing w:after="0" w:line="240" w:lineRule="atLeast"/>
        <w:rPr>
          <w:rFonts w:ascii="Times New Roman" w:hAnsi="Times New Roman" w:cs="Times New Roman"/>
          <w:b/>
          <w:bCs/>
          <w:color w:val="000000"/>
          <w:sz w:val="24"/>
          <w:szCs w:val="24"/>
        </w:rPr>
      </w:pPr>
      <w:r w:rsidRPr="00677EFF">
        <w:rPr>
          <w:rFonts w:ascii="Times New Roman" w:hAnsi="Times New Roman" w:cs="Times New Roman"/>
          <w:b/>
          <w:bCs/>
          <w:color w:val="000000"/>
          <w:sz w:val="24"/>
          <w:szCs w:val="24"/>
        </w:rPr>
        <w:t>Supplementary Materials</w:t>
      </w:r>
    </w:p>
    <w:p w:rsidR="000957C2" w:rsidRDefault="000957C2" w:rsidP="000957C2">
      <w:pPr>
        <w:autoSpaceDE w:val="0"/>
        <w:autoSpaceDN w:val="0"/>
        <w:adjustRightInd w:val="0"/>
        <w:snapToGrid w:val="0"/>
        <w:spacing w:after="0" w:line="240" w:lineRule="atLeast"/>
        <w:rPr>
          <w:rFonts w:ascii="Times New Roman" w:hAnsi="Times New Roman" w:cs="Times New Roman"/>
          <w:b/>
          <w:bCs/>
          <w:color w:val="000000"/>
          <w:sz w:val="24"/>
          <w:szCs w:val="24"/>
        </w:rPr>
      </w:pPr>
    </w:p>
    <w:p w:rsidR="000957C2" w:rsidRPr="00677EFF" w:rsidRDefault="000957C2" w:rsidP="000957C2">
      <w:pPr>
        <w:autoSpaceDE w:val="0"/>
        <w:autoSpaceDN w:val="0"/>
        <w:adjustRightInd w:val="0"/>
        <w:snapToGrid w:val="0"/>
        <w:spacing w:after="0" w:line="240" w:lineRule="atLeast"/>
        <w:rPr>
          <w:rFonts w:ascii="Times New Roman" w:hAnsi="Times New Roman" w:cs="Times New Roman"/>
          <w:b/>
          <w:bCs/>
          <w:color w:val="000000"/>
          <w:sz w:val="24"/>
          <w:szCs w:val="24"/>
        </w:rPr>
      </w:pPr>
    </w:p>
    <w:p w:rsidR="000957C2" w:rsidRPr="00677EFF" w:rsidRDefault="000957C2" w:rsidP="000957C2">
      <w:pPr>
        <w:autoSpaceDE w:val="0"/>
        <w:autoSpaceDN w:val="0"/>
        <w:adjustRightInd w:val="0"/>
        <w:snapToGrid w:val="0"/>
        <w:spacing w:after="0" w:line="240" w:lineRule="atLeast"/>
        <w:rPr>
          <w:rFonts w:ascii="Times New Roman" w:hAnsi="Times New Roman" w:cs="Times New Roman"/>
          <w:sz w:val="24"/>
          <w:szCs w:val="24"/>
        </w:rPr>
      </w:pPr>
      <w:r w:rsidRPr="00677EFF">
        <w:rPr>
          <w:rFonts w:ascii="Times New Roman" w:hAnsi="Times New Roman" w:cs="Times New Roman"/>
          <w:b/>
          <w:bCs/>
          <w:color w:val="000000"/>
          <w:sz w:val="24"/>
          <w:szCs w:val="24"/>
        </w:rPr>
        <w:t>Table S.1</w:t>
      </w:r>
      <w:r w:rsidRPr="00677EFF">
        <w:rPr>
          <w:rFonts w:ascii="Times New Roman" w:hAnsi="Times New Roman" w:cs="Times New Roman"/>
          <w:sz w:val="24"/>
          <w:szCs w:val="24"/>
        </w:rPr>
        <w:t xml:space="preserve">. </w:t>
      </w:r>
      <w:r w:rsidRPr="00677EFF">
        <w:rPr>
          <w:rFonts w:ascii="Times New Roman" w:hAnsi="Times New Roman" w:cs="Times New Roman"/>
          <w:i/>
          <w:sz w:val="24"/>
          <w:szCs w:val="24"/>
        </w:rPr>
        <w:t>Regression analyses explicating the type of variability reflected in each of the cell-type measures.</w:t>
      </w:r>
    </w:p>
    <w:tbl>
      <w:tblPr>
        <w:tblStyle w:val="TableGrid"/>
        <w:tblW w:w="639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2430"/>
        <w:gridCol w:w="720"/>
        <w:gridCol w:w="270"/>
        <w:gridCol w:w="720"/>
        <w:gridCol w:w="270"/>
        <w:gridCol w:w="720"/>
        <w:gridCol w:w="270"/>
        <w:gridCol w:w="720"/>
        <w:gridCol w:w="270"/>
      </w:tblGrid>
      <w:tr w:rsidR="000957C2" w:rsidRPr="00677EFF" w:rsidTr="000957C2">
        <w:trPr>
          <w:trHeight w:val="21"/>
        </w:trPr>
        <w:tc>
          <w:tcPr>
            <w:tcW w:w="2430" w:type="dxa"/>
            <w:tcBorders>
              <w:top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990" w:type="dxa"/>
            <w:gridSpan w:val="2"/>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Factor 1</w:t>
            </w:r>
          </w:p>
        </w:tc>
        <w:tc>
          <w:tcPr>
            <w:tcW w:w="990" w:type="dxa"/>
            <w:gridSpan w:val="2"/>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Factor 2</w:t>
            </w:r>
          </w:p>
        </w:tc>
        <w:tc>
          <w:tcPr>
            <w:tcW w:w="990" w:type="dxa"/>
            <w:gridSpan w:val="2"/>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Factor 3</w:t>
            </w:r>
          </w:p>
        </w:tc>
        <w:tc>
          <w:tcPr>
            <w:tcW w:w="990" w:type="dxa"/>
            <w:gridSpan w:val="2"/>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Factor 4</w:t>
            </w:r>
          </w:p>
        </w:tc>
      </w:tr>
      <w:tr w:rsidR="000957C2" w:rsidRPr="00677EFF" w:rsidTr="000957C2">
        <w:tc>
          <w:tcPr>
            <w:tcW w:w="2430" w:type="dxa"/>
            <w:tcBorders>
              <w:bottom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roofErr w:type="gramStart"/>
            <w:r w:rsidRPr="00677EFF">
              <w:rPr>
                <w:rFonts w:ascii="Times New Roman" w:hAnsi="Times New Roman" w:cs="Times New Roman"/>
                <w:sz w:val="24"/>
                <w:szCs w:val="24"/>
              </w:rPr>
              <w:t>b</w:t>
            </w:r>
            <w:proofErr w:type="gramEnd"/>
          </w:p>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(SE)</w:t>
            </w:r>
          </w:p>
        </w:tc>
        <w:tc>
          <w:tcPr>
            <w:tcW w:w="27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
        </w:tc>
        <w:tc>
          <w:tcPr>
            <w:tcW w:w="72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roofErr w:type="gramStart"/>
            <w:r w:rsidRPr="00677EFF">
              <w:rPr>
                <w:rFonts w:ascii="Times New Roman" w:hAnsi="Times New Roman" w:cs="Times New Roman"/>
                <w:sz w:val="24"/>
                <w:szCs w:val="24"/>
              </w:rPr>
              <w:t>b</w:t>
            </w:r>
            <w:proofErr w:type="gramEnd"/>
          </w:p>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(SE)</w:t>
            </w:r>
          </w:p>
        </w:tc>
        <w:tc>
          <w:tcPr>
            <w:tcW w:w="27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
        </w:tc>
        <w:tc>
          <w:tcPr>
            <w:tcW w:w="72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roofErr w:type="gramStart"/>
            <w:r w:rsidRPr="00677EFF">
              <w:rPr>
                <w:rFonts w:ascii="Times New Roman" w:hAnsi="Times New Roman" w:cs="Times New Roman"/>
                <w:sz w:val="24"/>
                <w:szCs w:val="24"/>
              </w:rPr>
              <w:t>b</w:t>
            </w:r>
            <w:proofErr w:type="gramEnd"/>
          </w:p>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(SE)</w:t>
            </w:r>
          </w:p>
        </w:tc>
        <w:tc>
          <w:tcPr>
            <w:tcW w:w="27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
        </w:tc>
        <w:tc>
          <w:tcPr>
            <w:tcW w:w="72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roofErr w:type="gramStart"/>
            <w:r w:rsidRPr="00677EFF">
              <w:rPr>
                <w:rFonts w:ascii="Times New Roman" w:hAnsi="Times New Roman" w:cs="Times New Roman"/>
                <w:sz w:val="24"/>
                <w:szCs w:val="24"/>
              </w:rPr>
              <w:t>b</w:t>
            </w:r>
            <w:proofErr w:type="gramEnd"/>
          </w:p>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(SE)</w:t>
            </w:r>
          </w:p>
        </w:tc>
        <w:tc>
          <w:tcPr>
            <w:tcW w:w="270" w:type="dxa"/>
            <w:tcBorders>
              <w:top w:val="single" w:sz="4" w:space="0" w:color="auto"/>
              <w:bottom w:val="single" w:sz="4" w:space="0" w:color="auto"/>
            </w:tcBorders>
          </w:tcPr>
          <w:p w:rsidR="000957C2" w:rsidRPr="00677EFF" w:rsidRDefault="000957C2" w:rsidP="000957C2">
            <w:pPr>
              <w:adjustRightInd w:val="0"/>
              <w:snapToGrid w:val="0"/>
              <w:spacing w:after="0" w:line="0" w:lineRule="atLeast"/>
              <w:jc w:val="center"/>
              <w:rPr>
                <w:rFonts w:ascii="Times New Roman" w:hAnsi="Times New Roman" w:cs="Times New Roman"/>
                <w:sz w:val="24"/>
                <w:szCs w:val="24"/>
              </w:rPr>
            </w:pPr>
          </w:p>
        </w:tc>
      </w:tr>
      <w:tr w:rsidR="000957C2" w:rsidRPr="00677EFF" w:rsidTr="000957C2">
        <w:tc>
          <w:tcPr>
            <w:tcW w:w="2430" w:type="dxa"/>
            <w:tcBorders>
              <w:top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CD4+ T cells</w:t>
            </w:r>
          </w:p>
        </w:tc>
        <w:tc>
          <w:tcPr>
            <w:tcW w:w="720" w:type="dxa"/>
            <w:tcBorders>
              <w:top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1.080</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(.356)</w:t>
            </w:r>
          </w:p>
        </w:tc>
        <w:tc>
          <w:tcPr>
            <w:tcW w:w="270" w:type="dxa"/>
            <w:tcBorders>
              <w:top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Borders>
              <w:top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-.463</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(.405)</w:t>
            </w:r>
          </w:p>
        </w:tc>
        <w:tc>
          <w:tcPr>
            <w:tcW w:w="270" w:type="dxa"/>
            <w:tcBorders>
              <w:top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Borders>
              <w:top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-.468</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(.351)</w:t>
            </w:r>
          </w:p>
        </w:tc>
        <w:tc>
          <w:tcPr>
            <w:tcW w:w="270" w:type="dxa"/>
            <w:tcBorders>
              <w:top w:val="single" w:sz="4" w:space="0" w:color="auto"/>
            </w:tcBorders>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Borders>
              <w:top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.155</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(.247)</w:t>
            </w:r>
          </w:p>
        </w:tc>
        <w:tc>
          <w:tcPr>
            <w:tcW w:w="270" w:type="dxa"/>
            <w:tcBorders>
              <w:top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r>
      <w:tr w:rsidR="000957C2" w:rsidRPr="00677EFF" w:rsidTr="000957C2">
        <w:tc>
          <w:tcPr>
            <w:tcW w:w="243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CD8+ T cells</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.625</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(.266)</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.329</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(.570)</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.047</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(.495)</w:t>
            </w:r>
          </w:p>
        </w:tc>
        <w:tc>
          <w:tcPr>
            <w:tcW w:w="270" w:type="dxa"/>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.518</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(.347)</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r>
      <w:tr w:rsidR="000957C2" w:rsidRPr="00677EFF" w:rsidTr="000957C2">
        <w:tc>
          <w:tcPr>
            <w:tcW w:w="243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CD14+ monocytes</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-.599</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(.394)</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-1.028</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(.448)</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1.846</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(.389)</w:t>
            </w:r>
          </w:p>
        </w:tc>
        <w:tc>
          <w:tcPr>
            <w:tcW w:w="270" w:type="dxa"/>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-.743</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(.273)</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r>
      <w:tr w:rsidR="000957C2" w:rsidRPr="00677EFF" w:rsidTr="000957C2">
        <w:tc>
          <w:tcPr>
            <w:tcW w:w="2430" w:type="dxa"/>
          </w:tcPr>
          <w:p w:rsidR="000957C2" w:rsidRPr="00677EFF" w:rsidRDefault="000957C2" w:rsidP="000957C2">
            <w:pPr>
              <w:adjustRightInd w:val="0"/>
              <w:snapToGrid w:val="0"/>
              <w:spacing w:after="0" w:line="0" w:lineRule="atLeast"/>
              <w:ind w:left="180" w:hanging="180"/>
              <w:rPr>
                <w:rFonts w:ascii="Times New Roman" w:hAnsi="Times New Roman" w:cs="Times New Roman"/>
                <w:sz w:val="24"/>
                <w:szCs w:val="24"/>
              </w:rPr>
            </w:pPr>
            <w:r w:rsidRPr="00677EFF">
              <w:rPr>
                <w:rFonts w:ascii="Times New Roman" w:hAnsi="Times New Roman" w:cs="Times New Roman"/>
                <w:sz w:val="24"/>
                <w:szCs w:val="24"/>
              </w:rPr>
              <w:t>CD19+ B cells</w:t>
            </w:r>
          </w:p>
          <w:p w:rsidR="000957C2" w:rsidRPr="00677EFF" w:rsidRDefault="000957C2" w:rsidP="000957C2">
            <w:pPr>
              <w:adjustRightInd w:val="0"/>
              <w:snapToGrid w:val="0"/>
              <w:spacing w:after="0" w:line="0" w:lineRule="atLeast"/>
              <w:ind w:left="180" w:hanging="180"/>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1.102</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(.390)</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.887</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(.443)</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-1.357</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(.385)</w:t>
            </w:r>
          </w:p>
        </w:tc>
        <w:tc>
          <w:tcPr>
            <w:tcW w:w="270" w:type="dxa"/>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.820</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(.270)</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r>
      <w:tr w:rsidR="000957C2" w:rsidRPr="00677EFF" w:rsidTr="000957C2">
        <w:tc>
          <w:tcPr>
            <w:tcW w:w="2430" w:type="dxa"/>
          </w:tcPr>
          <w:p w:rsidR="000957C2" w:rsidRPr="00677EFF" w:rsidRDefault="000957C2" w:rsidP="000957C2">
            <w:pPr>
              <w:adjustRightInd w:val="0"/>
              <w:snapToGrid w:val="0"/>
              <w:spacing w:after="0" w:line="0" w:lineRule="atLeast"/>
              <w:ind w:left="180" w:hanging="180"/>
              <w:rPr>
                <w:rFonts w:ascii="Times New Roman" w:hAnsi="Times New Roman" w:cs="Times New Roman"/>
                <w:sz w:val="24"/>
                <w:szCs w:val="24"/>
              </w:rPr>
            </w:pPr>
            <w:r w:rsidRPr="00677EFF">
              <w:rPr>
                <w:rFonts w:ascii="Times New Roman" w:hAnsi="Times New Roman" w:cs="Times New Roman"/>
                <w:sz w:val="24"/>
                <w:szCs w:val="24"/>
              </w:rPr>
              <w:t>CD56+ Natural Killer cells</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-2.472</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(.422)</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-.411</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(.480)</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-.097</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(.417)</w:t>
            </w:r>
          </w:p>
        </w:tc>
        <w:tc>
          <w:tcPr>
            <w:tcW w:w="270" w:type="dxa"/>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-.098</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(.293)</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r>
      <w:tr w:rsidR="000957C2" w:rsidRPr="00677EFF" w:rsidTr="000957C2">
        <w:tc>
          <w:tcPr>
            <w:tcW w:w="243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Constant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.084</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(.054)</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.480</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(.062)</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.134</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(.054)</w:t>
            </w:r>
          </w:p>
        </w:tc>
        <w:tc>
          <w:tcPr>
            <w:tcW w:w="270" w:type="dxa"/>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720" w:type="dxa"/>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-.226</w:t>
            </w:r>
          </w:p>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(.038)</w:t>
            </w:r>
          </w:p>
        </w:tc>
        <w:tc>
          <w:tcPr>
            <w:tcW w:w="270" w:type="dxa"/>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r>
      <w:tr w:rsidR="000957C2" w:rsidRPr="00677EFF" w:rsidTr="000957C2">
        <w:tc>
          <w:tcPr>
            <w:tcW w:w="2430" w:type="dxa"/>
            <w:tcBorders>
              <w:bottom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R</w:t>
            </w:r>
            <w:r w:rsidRPr="00677EFF">
              <w:rPr>
                <w:rFonts w:ascii="Times New Roman" w:hAnsi="Times New Roman" w:cs="Times New Roman"/>
                <w:sz w:val="24"/>
                <w:szCs w:val="24"/>
                <w:vertAlign w:val="superscript"/>
              </w:rPr>
              <w:t>2</w:t>
            </w:r>
          </w:p>
        </w:tc>
        <w:tc>
          <w:tcPr>
            <w:tcW w:w="720" w:type="dxa"/>
            <w:tcBorders>
              <w:bottom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.876</w:t>
            </w:r>
          </w:p>
        </w:tc>
        <w:tc>
          <w:tcPr>
            <w:tcW w:w="270" w:type="dxa"/>
            <w:tcBorders>
              <w:bottom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Borders>
              <w:bottom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.380</w:t>
            </w:r>
          </w:p>
        </w:tc>
        <w:tc>
          <w:tcPr>
            <w:tcW w:w="270" w:type="dxa"/>
            <w:tcBorders>
              <w:bottom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Borders>
              <w:bottom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.247</w:t>
            </w:r>
          </w:p>
        </w:tc>
        <w:tc>
          <w:tcPr>
            <w:tcW w:w="270" w:type="dxa"/>
            <w:tcBorders>
              <w:bottom w:val="single" w:sz="4" w:space="0" w:color="auto"/>
            </w:tcBorders>
            <w:noWrap/>
            <w:tcMar>
              <w:top w:w="0" w:type="dxa"/>
              <w:left w:w="0" w:type="dxa"/>
              <w:bottom w:w="0" w:type="dxa"/>
              <w:right w:w="0" w:type="dxa"/>
            </w:tcMar>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c>
          <w:tcPr>
            <w:tcW w:w="720" w:type="dxa"/>
            <w:tcBorders>
              <w:bottom w:val="single" w:sz="4" w:space="0" w:color="auto"/>
            </w:tcBorders>
          </w:tcPr>
          <w:p w:rsidR="000957C2" w:rsidRPr="00677EFF" w:rsidRDefault="000957C2" w:rsidP="000957C2">
            <w:pPr>
              <w:adjustRightInd w:val="0"/>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.555</w:t>
            </w:r>
          </w:p>
        </w:tc>
        <w:tc>
          <w:tcPr>
            <w:tcW w:w="270" w:type="dxa"/>
            <w:tcBorders>
              <w:bottom w:val="single" w:sz="4" w:space="0" w:color="auto"/>
            </w:tcBorders>
          </w:tcPr>
          <w:p w:rsidR="000957C2" w:rsidRPr="00677EFF" w:rsidRDefault="000957C2" w:rsidP="000957C2">
            <w:pPr>
              <w:adjustRightInd w:val="0"/>
              <w:snapToGrid w:val="0"/>
              <w:spacing w:after="0" w:line="0" w:lineRule="atLeast"/>
              <w:rPr>
                <w:rFonts w:ascii="Times New Roman" w:hAnsi="Times New Roman" w:cs="Times New Roman"/>
                <w:sz w:val="24"/>
                <w:szCs w:val="24"/>
              </w:rPr>
            </w:pPr>
          </w:p>
        </w:tc>
      </w:tr>
    </w:tbl>
    <w:p w:rsidR="000957C2" w:rsidRPr="00677EFF" w:rsidRDefault="000957C2" w:rsidP="000957C2">
      <w:pPr>
        <w:spacing w:after="0" w:line="240" w:lineRule="atLeast"/>
        <w:rPr>
          <w:rFonts w:ascii="Times New Roman" w:hAnsi="Times New Roman" w:cs="Times New Roman"/>
          <w:sz w:val="24"/>
          <w:szCs w:val="24"/>
        </w:rPr>
      </w:pPr>
      <w:r w:rsidRPr="00677EFF">
        <w:rPr>
          <w:rFonts w:ascii="Times New Roman" w:hAnsi="Times New Roman" w:cs="Times New Roman"/>
          <w:i/>
          <w:sz w:val="24"/>
          <w:szCs w:val="24"/>
        </w:rPr>
        <w:t>Note</w:t>
      </w:r>
      <w:r w:rsidRPr="00677EFF">
        <w:rPr>
          <w:rFonts w:ascii="Times New Roman" w:hAnsi="Times New Roman" w:cs="Times New Roman"/>
          <w:sz w:val="24"/>
          <w:szCs w:val="24"/>
        </w:rPr>
        <w:t xml:space="preserve">: OLS regression model with standard errors.  </w:t>
      </w:r>
      <w:r w:rsidRPr="00677EFF">
        <w:rPr>
          <w:rFonts w:ascii="Times New Roman" w:eastAsia="PMingLiU" w:hAnsi="Times New Roman" w:cs="Times New Roman"/>
          <w:i/>
          <w:sz w:val="24"/>
          <w:szCs w:val="24"/>
        </w:rPr>
        <w:t>N</w:t>
      </w:r>
      <w:r w:rsidRPr="00677EFF">
        <w:rPr>
          <w:rFonts w:ascii="Times New Roman" w:eastAsia="PMingLiU" w:hAnsi="Times New Roman" w:cs="Times New Roman"/>
          <w:sz w:val="24"/>
          <w:szCs w:val="24"/>
        </w:rPr>
        <w:t xml:space="preserve"> = </w:t>
      </w:r>
      <w:r w:rsidRPr="00677EFF">
        <w:rPr>
          <w:rFonts w:ascii="Times New Roman" w:hAnsi="Times New Roman" w:cs="Times New Roman"/>
          <w:sz w:val="24"/>
          <w:szCs w:val="24"/>
        </w:rPr>
        <w:t>399.</w:t>
      </w:r>
    </w:p>
    <w:p w:rsidR="000957C2" w:rsidRPr="00677EFF" w:rsidRDefault="000957C2" w:rsidP="000957C2">
      <w:pPr>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roofErr w:type="gramStart"/>
      <w:r w:rsidRPr="00677EFF">
        <w:rPr>
          <w:rFonts w:ascii="Times New Roman" w:hAnsi="Times New Roman" w:cs="Times New Roman"/>
          <w:i/>
          <w:sz w:val="24"/>
          <w:szCs w:val="24"/>
        </w:rPr>
        <w:t>p</w:t>
      </w:r>
      <w:proofErr w:type="gramEnd"/>
      <w:r w:rsidRPr="00677EFF">
        <w:rPr>
          <w:rFonts w:ascii="Times New Roman" w:hAnsi="Times New Roman" w:cs="Times New Roman"/>
          <w:sz w:val="24"/>
          <w:szCs w:val="24"/>
        </w:rPr>
        <w:t xml:space="preserve"> ≤ .05, two-tailed.  **</w:t>
      </w:r>
      <w:proofErr w:type="gramStart"/>
      <w:r w:rsidRPr="00677EFF">
        <w:rPr>
          <w:rFonts w:ascii="Times New Roman" w:hAnsi="Times New Roman" w:cs="Times New Roman"/>
          <w:i/>
          <w:sz w:val="24"/>
          <w:szCs w:val="24"/>
        </w:rPr>
        <w:t>p</w:t>
      </w:r>
      <w:proofErr w:type="gramEnd"/>
      <w:r w:rsidRPr="00677EFF">
        <w:rPr>
          <w:rFonts w:ascii="Times New Roman" w:hAnsi="Times New Roman" w:cs="Times New Roman"/>
          <w:i/>
          <w:sz w:val="24"/>
          <w:szCs w:val="24"/>
        </w:rPr>
        <w:t xml:space="preserve"> </w:t>
      </w:r>
      <w:r w:rsidRPr="00677EFF">
        <w:rPr>
          <w:rFonts w:ascii="Times New Roman" w:hAnsi="Times New Roman" w:cs="Times New Roman"/>
          <w:sz w:val="24"/>
          <w:szCs w:val="24"/>
        </w:rPr>
        <w:t>≤ .01, two-tailed.</w:t>
      </w:r>
    </w:p>
    <w:p w:rsidR="000957C2" w:rsidRDefault="000957C2" w:rsidP="000957C2">
      <w:pPr>
        <w:spacing w:after="160" w:line="259" w:lineRule="auto"/>
        <w:rPr>
          <w:rFonts w:ascii="Times New Roman" w:eastAsia="MS Gothic" w:hAnsi="Times New Roman" w:cs="Times New Roman"/>
          <w:sz w:val="24"/>
          <w:szCs w:val="24"/>
        </w:rPr>
      </w:pPr>
    </w:p>
    <w:p w:rsidR="000957C2" w:rsidRPr="000957C2" w:rsidRDefault="000957C2" w:rsidP="000957C2">
      <w:pPr>
        <w:spacing w:after="160" w:line="259" w:lineRule="auto"/>
        <w:rPr>
          <w:rFonts w:ascii="Times New Roman" w:eastAsia="MS Gothic" w:hAnsi="Times New Roman" w:cs="Times New Roman"/>
          <w:sz w:val="24"/>
          <w:szCs w:val="24"/>
        </w:rPr>
      </w:pPr>
      <w:r w:rsidRPr="00677EFF">
        <w:rPr>
          <w:rFonts w:ascii="Times New Roman" w:hAnsi="Times New Roman" w:cs="Times New Roman"/>
          <w:b/>
          <w:bCs/>
          <w:color w:val="000000"/>
          <w:sz w:val="24"/>
          <w:szCs w:val="24"/>
        </w:rPr>
        <w:t>Table S.2</w:t>
      </w:r>
      <w:r w:rsidRPr="00677EFF">
        <w:rPr>
          <w:rFonts w:ascii="Times New Roman" w:hAnsi="Times New Roman" w:cs="Times New Roman"/>
          <w:bCs/>
          <w:color w:val="000000"/>
          <w:sz w:val="24"/>
          <w:szCs w:val="24"/>
        </w:rPr>
        <w:t>.</w:t>
      </w:r>
      <w:r w:rsidRPr="00677EFF">
        <w:rPr>
          <w:rFonts w:ascii="Times New Roman" w:hAnsi="Times New Roman" w:cs="Times New Roman"/>
          <w:sz w:val="24"/>
          <w:szCs w:val="24"/>
        </w:rPr>
        <w:t xml:space="preserve"> </w:t>
      </w:r>
      <w:r w:rsidRPr="00677EFF">
        <w:rPr>
          <w:rFonts w:ascii="Times New Roman" w:hAnsi="Times New Roman" w:cs="Times New Roman"/>
          <w:i/>
          <w:sz w:val="24"/>
          <w:szCs w:val="24"/>
        </w:rPr>
        <w:t xml:space="preserve">Descriptive statistics for level of methylation at the eight </w:t>
      </w:r>
      <w:proofErr w:type="spellStart"/>
      <w:r w:rsidRPr="00677EFF">
        <w:rPr>
          <w:rFonts w:ascii="Times New Roman" w:hAnsi="Times New Roman" w:cs="Times New Roman"/>
          <w:i/>
          <w:sz w:val="24"/>
          <w:szCs w:val="24"/>
        </w:rPr>
        <w:t>CpG</w:t>
      </w:r>
      <w:proofErr w:type="spellEnd"/>
      <w:r w:rsidRPr="00677EFF">
        <w:rPr>
          <w:rFonts w:ascii="Times New Roman" w:hAnsi="Times New Roman" w:cs="Times New Roman"/>
          <w:i/>
          <w:sz w:val="24"/>
          <w:szCs w:val="24"/>
        </w:rPr>
        <w:t xml:space="preserve"> sites indexed by the </w:t>
      </w:r>
      <w:proofErr w:type="spellStart"/>
      <w:r w:rsidRPr="00677EFF">
        <w:rPr>
          <w:rFonts w:ascii="Times New Roman" w:hAnsi="Times New Roman" w:cs="Times New Roman"/>
          <w:i/>
          <w:sz w:val="24"/>
          <w:szCs w:val="24"/>
        </w:rPr>
        <w:t>Illumina</w:t>
      </w:r>
      <w:proofErr w:type="spellEnd"/>
      <w:r w:rsidRPr="00677EFF">
        <w:rPr>
          <w:rFonts w:ascii="Times New Roman" w:hAnsi="Times New Roman" w:cs="Times New Roman"/>
          <w:i/>
          <w:sz w:val="24"/>
          <w:szCs w:val="24"/>
        </w:rPr>
        <w:t xml:space="preserve"> array in the region of the first exon of TNF as well as the resulting index comprised of all eight.</w:t>
      </w:r>
    </w:p>
    <w:tbl>
      <w:tblPr>
        <w:tblW w:w="5580" w:type="dxa"/>
        <w:tblLayout w:type="fixed"/>
        <w:tblCellMar>
          <w:left w:w="115" w:type="dxa"/>
          <w:right w:w="115" w:type="dxa"/>
        </w:tblCellMar>
        <w:tblLook w:val="00A0" w:firstRow="1" w:lastRow="0" w:firstColumn="1" w:lastColumn="0" w:noHBand="0" w:noVBand="0"/>
      </w:tblPr>
      <w:tblGrid>
        <w:gridCol w:w="2610"/>
        <w:gridCol w:w="810"/>
        <w:gridCol w:w="810"/>
        <w:gridCol w:w="1350"/>
      </w:tblGrid>
      <w:tr w:rsidR="000957C2" w:rsidRPr="00677EFF" w:rsidTr="000957C2">
        <w:trPr>
          <w:trHeight w:val="215"/>
        </w:trPr>
        <w:tc>
          <w:tcPr>
            <w:tcW w:w="2610" w:type="dxa"/>
            <w:tcBorders>
              <w:top w:val="single" w:sz="4" w:space="0" w:color="auto"/>
              <w:bottom w:val="single" w:sz="4" w:space="0" w:color="auto"/>
            </w:tcBorders>
            <w:noWrap/>
            <w:tcMar>
              <w:left w:w="0" w:type="dxa"/>
              <w:right w:w="0"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roofErr w:type="spellStart"/>
            <w:r w:rsidRPr="00677EFF">
              <w:rPr>
                <w:rFonts w:ascii="Times New Roman" w:hAnsi="Times New Roman" w:cs="Times New Roman"/>
                <w:sz w:val="24"/>
                <w:szCs w:val="24"/>
              </w:rPr>
              <w:t>CpGs</w:t>
            </w:r>
            <w:proofErr w:type="spellEnd"/>
            <w:r w:rsidRPr="00677EFF">
              <w:rPr>
                <w:rFonts w:ascii="Times New Roman" w:hAnsi="Times New Roman" w:cs="Times New Roman"/>
                <w:sz w:val="24"/>
                <w:szCs w:val="24"/>
              </w:rPr>
              <w:t xml:space="preserve">: </w:t>
            </w:r>
            <w:proofErr w:type="spellStart"/>
            <w:r w:rsidRPr="00677EFF">
              <w:rPr>
                <w:rFonts w:ascii="Times New Roman" w:hAnsi="Times New Roman" w:cs="Times New Roman"/>
                <w:sz w:val="24"/>
                <w:szCs w:val="24"/>
              </w:rPr>
              <w:t>Illumina</w:t>
            </w:r>
            <w:proofErr w:type="spellEnd"/>
            <w:r w:rsidRPr="00677EFF">
              <w:rPr>
                <w:rFonts w:ascii="Times New Roman" w:hAnsi="Times New Roman" w:cs="Times New Roman"/>
                <w:sz w:val="24"/>
                <w:szCs w:val="24"/>
              </w:rPr>
              <w:t xml:space="preserve"> ID</w:t>
            </w:r>
          </w:p>
        </w:tc>
        <w:tc>
          <w:tcPr>
            <w:tcW w:w="810" w:type="dxa"/>
            <w:tcBorders>
              <w:top w:val="single" w:sz="4" w:space="0" w:color="auto"/>
              <w:bottom w:val="single" w:sz="4" w:space="0" w:color="auto"/>
            </w:tcBorders>
            <w:noWrap/>
            <w:tcMar>
              <w:left w:w="0" w:type="dxa"/>
              <w:right w:w="0"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r w:rsidRPr="00677EFF">
              <w:rPr>
                <w:rFonts w:ascii="Times New Roman" w:hAnsi="Times New Roman" w:cs="Times New Roman"/>
                <w:sz w:val="24"/>
                <w:szCs w:val="24"/>
              </w:rPr>
              <w:t>Mean</w:t>
            </w:r>
          </w:p>
        </w:tc>
        <w:tc>
          <w:tcPr>
            <w:tcW w:w="810" w:type="dxa"/>
            <w:tcBorders>
              <w:top w:val="single" w:sz="4" w:space="0" w:color="auto"/>
              <w:bottom w:val="single" w:sz="4" w:space="0" w:color="auto"/>
            </w:tcBorders>
            <w:noWrap/>
            <w:tcMar>
              <w:left w:w="0" w:type="dxa"/>
              <w:right w:w="0"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r w:rsidRPr="00677EFF">
              <w:rPr>
                <w:rFonts w:ascii="Times New Roman" w:hAnsi="Times New Roman" w:cs="Times New Roman"/>
                <w:i/>
                <w:sz w:val="24"/>
                <w:szCs w:val="24"/>
              </w:rPr>
              <w:t>SD</w:t>
            </w:r>
          </w:p>
        </w:tc>
        <w:tc>
          <w:tcPr>
            <w:tcW w:w="1350" w:type="dxa"/>
            <w:tcBorders>
              <w:top w:val="single" w:sz="4" w:space="0" w:color="auto"/>
              <w:bottom w:val="single" w:sz="4" w:space="0" w:color="auto"/>
            </w:tcBorders>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r w:rsidRPr="00677EFF">
              <w:rPr>
                <w:rFonts w:ascii="Times New Roman" w:hAnsi="Times New Roman" w:cs="Times New Roman"/>
                <w:sz w:val="24"/>
                <w:szCs w:val="24"/>
              </w:rPr>
              <w:t>Range</w:t>
            </w:r>
          </w:p>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i/>
                <w:sz w:val="24"/>
                <w:szCs w:val="24"/>
              </w:rPr>
            </w:pPr>
            <w:r w:rsidRPr="00677EFF">
              <w:rPr>
                <w:rFonts w:ascii="Times New Roman" w:hAnsi="Times New Roman" w:cs="Times New Roman"/>
                <w:sz w:val="24"/>
                <w:szCs w:val="24"/>
              </w:rPr>
              <w:t>(Min., Max.)</w:t>
            </w:r>
          </w:p>
        </w:tc>
      </w:tr>
      <w:tr w:rsidR="000957C2" w:rsidRPr="00677EFF" w:rsidTr="000957C2">
        <w:trPr>
          <w:trHeight w:val="251"/>
        </w:trPr>
        <w:tc>
          <w:tcPr>
            <w:tcW w:w="2610" w:type="dxa"/>
            <w:tcBorders>
              <w:top w:val="single" w:sz="4" w:space="0" w:color="auto"/>
            </w:tcBorders>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cg04425624</w:t>
            </w:r>
            <w:proofErr w:type="gramEnd"/>
          </w:p>
        </w:tc>
        <w:tc>
          <w:tcPr>
            <w:tcW w:w="810" w:type="dxa"/>
            <w:tcBorders>
              <w:top w:val="single" w:sz="4" w:space="0" w:color="auto"/>
            </w:tcBorders>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.325</w:t>
            </w:r>
          </w:p>
        </w:tc>
        <w:tc>
          <w:tcPr>
            <w:tcW w:w="810" w:type="dxa"/>
            <w:tcBorders>
              <w:top w:val="single" w:sz="4" w:space="0" w:color="auto"/>
            </w:tcBorders>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.047</w:t>
            </w:r>
          </w:p>
        </w:tc>
        <w:tc>
          <w:tcPr>
            <w:tcW w:w="1350" w:type="dxa"/>
            <w:tcBorders>
              <w:top w:val="single" w:sz="4" w:space="0" w:color="auto"/>
            </w:tcBorders>
            <w:vAlign w:val="bottom"/>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.17, .46</w:t>
            </w:r>
          </w:p>
        </w:tc>
      </w:tr>
      <w:tr w:rsidR="000957C2" w:rsidRPr="00677EFF" w:rsidTr="000957C2">
        <w:tc>
          <w:tcPr>
            <w:tcW w:w="2610" w:type="dxa"/>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cg08553327</w:t>
            </w:r>
            <w:proofErr w:type="gramEnd"/>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.356</w:t>
            </w:r>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.052</w:t>
            </w:r>
          </w:p>
        </w:tc>
        <w:tc>
          <w:tcPr>
            <w:tcW w:w="1350" w:type="dxa"/>
            <w:vAlign w:val="bottom"/>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.18, .49</w:t>
            </w:r>
          </w:p>
        </w:tc>
      </w:tr>
      <w:tr w:rsidR="000957C2" w:rsidRPr="00677EFF" w:rsidTr="000957C2">
        <w:tc>
          <w:tcPr>
            <w:tcW w:w="2610" w:type="dxa"/>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cg10650821</w:t>
            </w:r>
            <w:proofErr w:type="gramEnd"/>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.219</w:t>
            </w:r>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.045</w:t>
            </w:r>
          </w:p>
        </w:tc>
        <w:tc>
          <w:tcPr>
            <w:tcW w:w="1350" w:type="dxa"/>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.12, .41</w:t>
            </w:r>
          </w:p>
        </w:tc>
      </w:tr>
      <w:tr w:rsidR="000957C2" w:rsidRPr="00677EFF" w:rsidTr="000957C2">
        <w:trPr>
          <w:trHeight w:val="252"/>
        </w:trPr>
        <w:tc>
          <w:tcPr>
            <w:tcW w:w="2610" w:type="dxa"/>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cg10717214</w:t>
            </w:r>
            <w:proofErr w:type="gramEnd"/>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.238</w:t>
            </w:r>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.042</w:t>
            </w:r>
          </w:p>
        </w:tc>
        <w:tc>
          <w:tcPr>
            <w:tcW w:w="1350" w:type="dxa"/>
            <w:vAlign w:val="bottom"/>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.13, .40</w:t>
            </w:r>
          </w:p>
        </w:tc>
      </w:tr>
      <w:tr w:rsidR="000957C2" w:rsidRPr="00677EFF" w:rsidTr="000957C2">
        <w:tc>
          <w:tcPr>
            <w:tcW w:w="2610" w:type="dxa"/>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cg12681001</w:t>
            </w:r>
            <w:proofErr w:type="gramEnd"/>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.215</w:t>
            </w:r>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.041</w:t>
            </w:r>
          </w:p>
        </w:tc>
        <w:tc>
          <w:tcPr>
            <w:tcW w:w="1350" w:type="dxa"/>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.12, .40</w:t>
            </w:r>
          </w:p>
        </w:tc>
      </w:tr>
      <w:tr w:rsidR="000957C2" w:rsidRPr="00677EFF" w:rsidTr="000957C2">
        <w:tc>
          <w:tcPr>
            <w:tcW w:w="2610" w:type="dxa"/>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cg21222743</w:t>
            </w:r>
            <w:proofErr w:type="gramEnd"/>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.215</w:t>
            </w:r>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.044</w:t>
            </w:r>
          </w:p>
        </w:tc>
        <w:tc>
          <w:tcPr>
            <w:tcW w:w="1350" w:type="dxa"/>
            <w:vAlign w:val="bottom"/>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.09, .40</w:t>
            </w:r>
          </w:p>
        </w:tc>
      </w:tr>
      <w:tr w:rsidR="000957C2" w:rsidRPr="00677EFF" w:rsidTr="000957C2">
        <w:tc>
          <w:tcPr>
            <w:tcW w:w="2610" w:type="dxa"/>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cg21467614</w:t>
            </w:r>
            <w:proofErr w:type="gramEnd"/>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.258</w:t>
            </w:r>
          </w:p>
        </w:tc>
        <w:tc>
          <w:tcPr>
            <w:tcW w:w="810" w:type="dxa"/>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.048</w:t>
            </w:r>
          </w:p>
        </w:tc>
        <w:tc>
          <w:tcPr>
            <w:tcW w:w="1350" w:type="dxa"/>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.13, 41</w:t>
            </w:r>
          </w:p>
        </w:tc>
      </w:tr>
      <w:tr w:rsidR="000957C2" w:rsidRPr="00677EFF" w:rsidTr="000957C2">
        <w:tc>
          <w:tcPr>
            <w:tcW w:w="2610" w:type="dxa"/>
            <w:tcBorders>
              <w:bottom w:val="single" w:sz="4" w:space="0" w:color="auto"/>
            </w:tcBorders>
            <w:noWrap/>
            <w:tcMar>
              <w:left w:w="0" w:type="dxa"/>
              <w:right w:w="0" w:type="dxa"/>
            </w:tcMar>
          </w:tcPr>
          <w:p w:rsidR="000957C2" w:rsidRPr="00677EFF" w:rsidRDefault="000957C2" w:rsidP="000957C2">
            <w:pPr>
              <w:spacing w:after="0"/>
              <w:jc w:val="center"/>
              <w:rPr>
                <w:rFonts w:ascii="Times New Roman" w:hAnsi="Times New Roman" w:cs="Times New Roman"/>
                <w:color w:val="000000"/>
                <w:sz w:val="24"/>
                <w:szCs w:val="24"/>
              </w:rPr>
            </w:pPr>
            <w:proofErr w:type="gramStart"/>
            <w:r w:rsidRPr="00677EFF">
              <w:rPr>
                <w:rFonts w:ascii="Times New Roman" w:hAnsi="Times New Roman" w:cs="Times New Roman"/>
                <w:color w:val="000000"/>
                <w:sz w:val="24"/>
                <w:szCs w:val="24"/>
              </w:rPr>
              <w:t>cg26729380</w:t>
            </w:r>
            <w:proofErr w:type="gramEnd"/>
          </w:p>
        </w:tc>
        <w:tc>
          <w:tcPr>
            <w:tcW w:w="810" w:type="dxa"/>
            <w:tcBorders>
              <w:bottom w:val="single" w:sz="4" w:space="0" w:color="auto"/>
            </w:tcBorders>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.292</w:t>
            </w:r>
          </w:p>
        </w:tc>
        <w:tc>
          <w:tcPr>
            <w:tcW w:w="810" w:type="dxa"/>
            <w:tcBorders>
              <w:bottom w:val="single" w:sz="4" w:space="0" w:color="auto"/>
            </w:tcBorders>
            <w:noWrap/>
            <w:tcMar>
              <w:left w:w="0" w:type="dxa"/>
              <w:right w:w="0" w:type="dxa"/>
            </w:tcMar>
            <w:vAlign w:val="center"/>
          </w:tcPr>
          <w:p w:rsidR="000957C2" w:rsidRPr="00677EFF" w:rsidRDefault="000957C2" w:rsidP="000957C2">
            <w:pPr>
              <w:spacing w:after="0"/>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.063</w:t>
            </w:r>
          </w:p>
        </w:tc>
        <w:tc>
          <w:tcPr>
            <w:tcW w:w="1350" w:type="dxa"/>
            <w:tcBorders>
              <w:bottom w:val="single" w:sz="4" w:space="0" w:color="auto"/>
            </w:tcBorders>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.14, .47</w:t>
            </w:r>
          </w:p>
        </w:tc>
      </w:tr>
      <w:tr w:rsidR="000957C2" w:rsidRPr="00677EFF" w:rsidTr="000957C2">
        <w:tc>
          <w:tcPr>
            <w:tcW w:w="2610" w:type="dxa"/>
            <w:tcBorders>
              <w:top w:val="single" w:sz="4" w:space="0" w:color="auto"/>
              <w:bottom w:val="single" w:sz="4" w:space="0" w:color="auto"/>
            </w:tcBorders>
            <w:noWrap/>
            <w:tcMar>
              <w:left w:w="0" w:type="dxa"/>
              <w:right w:w="0" w:type="dxa"/>
            </w:tcMar>
            <w:vAlign w:val="cente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i/>
                <w:sz w:val="24"/>
                <w:szCs w:val="24"/>
              </w:rPr>
              <w:t>TNF</w:t>
            </w:r>
            <w:r w:rsidRPr="00677EFF">
              <w:rPr>
                <w:rFonts w:ascii="Times New Roman" w:hAnsi="Times New Roman" w:cs="Times New Roman"/>
                <w:sz w:val="24"/>
                <w:szCs w:val="24"/>
              </w:rPr>
              <w:t xml:space="preserve"> methylation index</w:t>
            </w:r>
          </w:p>
        </w:tc>
        <w:tc>
          <w:tcPr>
            <w:tcW w:w="810" w:type="dxa"/>
            <w:tcBorders>
              <w:top w:val="single" w:sz="4" w:space="0" w:color="auto"/>
              <w:bottom w:val="single" w:sz="4" w:space="0" w:color="auto"/>
            </w:tcBorders>
            <w:noWrap/>
            <w:tcMar>
              <w:left w:w="0" w:type="dxa"/>
              <w:right w:w="0"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r w:rsidRPr="00677EFF">
              <w:rPr>
                <w:rFonts w:ascii="Times New Roman" w:hAnsi="Times New Roman" w:cs="Times New Roman"/>
                <w:sz w:val="24"/>
                <w:szCs w:val="24"/>
              </w:rPr>
              <w:t>.265</w:t>
            </w:r>
          </w:p>
        </w:tc>
        <w:tc>
          <w:tcPr>
            <w:tcW w:w="810" w:type="dxa"/>
            <w:tcBorders>
              <w:top w:val="single" w:sz="4" w:space="0" w:color="auto"/>
              <w:bottom w:val="single" w:sz="4" w:space="0" w:color="auto"/>
            </w:tcBorders>
            <w:noWrap/>
            <w:tcMar>
              <w:left w:w="0" w:type="dxa"/>
              <w:right w:w="0" w:type="dxa"/>
            </w:tcMar>
            <w:vAlign w:val="bottom"/>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.045</w:t>
            </w:r>
          </w:p>
        </w:tc>
        <w:tc>
          <w:tcPr>
            <w:tcW w:w="1350" w:type="dxa"/>
            <w:tcBorders>
              <w:top w:val="single" w:sz="4" w:space="0" w:color="auto"/>
              <w:bottom w:val="single" w:sz="4" w:space="0" w:color="auto"/>
            </w:tcBorders>
          </w:tcPr>
          <w:p w:rsidR="000957C2" w:rsidRPr="00677EFF" w:rsidRDefault="000957C2" w:rsidP="000957C2">
            <w:pPr>
              <w:widowControl w:val="0"/>
              <w:autoSpaceDE w:val="0"/>
              <w:autoSpaceDN w:val="0"/>
              <w:spacing w:after="0" w:line="240" w:lineRule="atLeast"/>
              <w:jc w:val="center"/>
              <w:rPr>
                <w:rFonts w:ascii="Times New Roman" w:hAnsi="Times New Roman" w:cs="Times New Roman"/>
                <w:color w:val="000000"/>
                <w:sz w:val="24"/>
                <w:szCs w:val="24"/>
              </w:rPr>
            </w:pPr>
            <w:r w:rsidRPr="00677EFF">
              <w:rPr>
                <w:rFonts w:ascii="Times New Roman" w:hAnsi="Times New Roman" w:cs="Times New Roman"/>
                <w:color w:val="000000"/>
                <w:sz w:val="24"/>
                <w:szCs w:val="24"/>
              </w:rPr>
              <w:t>.14, .43</w:t>
            </w:r>
          </w:p>
        </w:tc>
      </w:tr>
    </w:tbl>
    <w:p w:rsidR="000957C2" w:rsidRPr="00677EFF" w:rsidRDefault="000957C2" w:rsidP="000957C2">
      <w:pPr>
        <w:spacing w:after="0" w:line="240" w:lineRule="atLeast"/>
        <w:rPr>
          <w:rFonts w:ascii="Times New Roman" w:eastAsia="MS Gothic" w:hAnsi="Times New Roman" w:cs="Times New Roman"/>
          <w:sz w:val="24"/>
          <w:szCs w:val="24"/>
        </w:rPr>
      </w:pPr>
    </w:p>
    <w:p w:rsidR="000957C2" w:rsidRPr="00677EFF" w:rsidRDefault="000957C2" w:rsidP="000957C2">
      <w:pPr>
        <w:spacing w:after="160" w:line="259" w:lineRule="auto"/>
        <w:rPr>
          <w:rFonts w:ascii="Times New Roman" w:hAnsi="Times New Roman" w:cs="Times New Roman"/>
          <w:b/>
          <w:sz w:val="24"/>
          <w:szCs w:val="24"/>
        </w:rPr>
      </w:pPr>
      <w:r w:rsidRPr="00677EFF">
        <w:rPr>
          <w:rFonts w:ascii="Times New Roman" w:hAnsi="Times New Roman" w:cs="Times New Roman"/>
          <w:b/>
          <w:sz w:val="24"/>
          <w:szCs w:val="24"/>
        </w:rPr>
        <w:br w:type="page"/>
      </w:r>
    </w:p>
    <w:p w:rsidR="000957C2" w:rsidRPr="00677EFF" w:rsidRDefault="000957C2" w:rsidP="000957C2">
      <w:pPr>
        <w:spacing w:after="160" w:line="259" w:lineRule="auto"/>
        <w:rPr>
          <w:rFonts w:ascii="Times New Roman" w:hAnsi="Times New Roman" w:cs="Times New Roman"/>
          <w:b/>
          <w:sz w:val="24"/>
          <w:szCs w:val="24"/>
        </w:rPr>
      </w:pPr>
    </w:p>
    <w:p w:rsidR="000957C2" w:rsidRPr="00677EFF" w:rsidRDefault="000957C2" w:rsidP="000957C2">
      <w:pPr>
        <w:spacing w:after="0" w:line="259" w:lineRule="auto"/>
        <w:rPr>
          <w:rFonts w:ascii="Times New Roman" w:hAnsi="Times New Roman" w:cs="Times New Roman"/>
          <w:sz w:val="24"/>
          <w:szCs w:val="24"/>
        </w:rPr>
      </w:pPr>
      <w:r w:rsidRPr="00677EFF">
        <w:rPr>
          <w:rFonts w:ascii="Times New Roman" w:hAnsi="Times New Roman" w:cs="Times New Roman"/>
          <w:b/>
          <w:bCs/>
          <w:color w:val="000000"/>
          <w:sz w:val="24"/>
          <w:szCs w:val="24"/>
        </w:rPr>
        <w:t>Table S.3</w:t>
      </w:r>
      <w:r w:rsidRPr="00677EFF">
        <w:rPr>
          <w:rFonts w:ascii="Times New Roman" w:hAnsi="Times New Roman" w:cs="Times New Roman"/>
          <w:bCs/>
          <w:color w:val="000000"/>
          <w:sz w:val="24"/>
          <w:szCs w:val="24"/>
        </w:rPr>
        <w:t>.</w:t>
      </w:r>
      <w:r w:rsidRPr="00677EFF">
        <w:rPr>
          <w:rFonts w:ascii="Times New Roman" w:hAnsi="Times New Roman" w:cs="Times New Roman"/>
          <w:sz w:val="24"/>
          <w:szCs w:val="24"/>
        </w:rPr>
        <w:t xml:space="preserve"> </w:t>
      </w:r>
      <w:r w:rsidRPr="00677EFF">
        <w:rPr>
          <w:rFonts w:ascii="Times New Roman" w:hAnsi="Times New Roman" w:cs="Times New Roman"/>
          <w:i/>
          <w:sz w:val="24"/>
          <w:szCs w:val="24"/>
          <w:lang w:val="en"/>
        </w:rPr>
        <w:t>Model selection for count data using the ‘counfit” procedure in STATA</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890"/>
        <w:gridCol w:w="1596"/>
        <w:gridCol w:w="1914"/>
        <w:gridCol w:w="1350"/>
      </w:tblGrid>
      <w:tr w:rsidR="000957C2" w:rsidRPr="00677EFF" w:rsidTr="000957C2">
        <w:tc>
          <w:tcPr>
            <w:tcW w:w="3438"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Models</w:t>
            </w:r>
          </w:p>
        </w:tc>
        <w:tc>
          <w:tcPr>
            <w:tcW w:w="1890"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BIC</w:t>
            </w:r>
          </w:p>
        </w:tc>
        <w:tc>
          <w:tcPr>
            <w:tcW w:w="1596"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Difference</w:t>
            </w:r>
          </w:p>
        </w:tc>
        <w:tc>
          <w:tcPr>
            <w:tcW w:w="1914"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Prefer</w:t>
            </w:r>
          </w:p>
        </w:tc>
        <w:tc>
          <w:tcPr>
            <w:tcW w:w="1350"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Evidence</w:t>
            </w:r>
          </w:p>
        </w:tc>
      </w:tr>
      <w:tr w:rsidR="000957C2" w:rsidRPr="00677EFF" w:rsidTr="000957C2">
        <w:tc>
          <w:tcPr>
            <w:tcW w:w="3438" w:type="dxa"/>
            <w:tcBorders>
              <w:top w:val="single" w:sz="4" w:space="0" w:color="auto"/>
            </w:tcBorders>
          </w:tcPr>
          <w:p w:rsidR="000957C2" w:rsidRPr="00677EFF" w:rsidRDefault="000957C2" w:rsidP="000957C2">
            <w:pPr>
              <w:spacing w:after="0"/>
              <w:ind w:hanging="90"/>
              <w:rPr>
                <w:rFonts w:ascii="Times New Roman" w:hAnsi="Times New Roman" w:cs="Times New Roman"/>
                <w:i/>
                <w:sz w:val="24"/>
                <w:szCs w:val="24"/>
              </w:rPr>
            </w:pPr>
            <w:r w:rsidRPr="00677EFF">
              <w:rPr>
                <w:rFonts w:ascii="Times New Roman" w:hAnsi="Times New Roman" w:cs="Times New Roman"/>
                <w:i/>
                <w:sz w:val="24"/>
                <w:szCs w:val="24"/>
              </w:rPr>
              <w:t xml:space="preserve">Negative binomial </w:t>
            </w:r>
          </w:p>
        </w:tc>
        <w:tc>
          <w:tcPr>
            <w:tcW w:w="1890" w:type="dxa"/>
            <w:tcBorders>
              <w:top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685.983</w:t>
            </w:r>
          </w:p>
        </w:tc>
        <w:tc>
          <w:tcPr>
            <w:tcW w:w="1596" w:type="dxa"/>
            <w:tcBorders>
              <w:top w:val="single" w:sz="4" w:space="0" w:color="auto"/>
            </w:tcBorders>
          </w:tcPr>
          <w:p w:rsidR="000957C2" w:rsidRPr="00677EFF" w:rsidRDefault="000957C2" w:rsidP="000957C2">
            <w:pPr>
              <w:spacing w:after="0"/>
              <w:jc w:val="center"/>
              <w:rPr>
                <w:rFonts w:ascii="Times New Roman" w:hAnsi="Times New Roman" w:cs="Times New Roman"/>
                <w:sz w:val="24"/>
                <w:szCs w:val="24"/>
              </w:rPr>
            </w:pPr>
          </w:p>
        </w:tc>
        <w:tc>
          <w:tcPr>
            <w:tcW w:w="1914" w:type="dxa"/>
            <w:tcBorders>
              <w:top w:val="single" w:sz="4" w:space="0" w:color="auto"/>
            </w:tcBorders>
          </w:tcPr>
          <w:p w:rsidR="000957C2" w:rsidRPr="00677EFF" w:rsidRDefault="000957C2" w:rsidP="000957C2">
            <w:pPr>
              <w:spacing w:after="0"/>
              <w:rPr>
                <w:rFonts w:ascii="Times New Roman" w:hAnsi="Times New Roman" w:cs="Times New Roman"/>
                <w:sz w:val="24"/>
                <w:szCs w:val="24"/>
              </w:rPr>
            </w:pPr>
          </w:p>
        </w:tc>
        <w:tc>
          <w:tcPr>
            <w:tcW w:w="1350" w:type="dxa"/>
            <w:tcBorders>
              <w:top w:val="single" w:sz="4" w:space="0" w:color="auto"/>
            </w:tcBorders>
          </w:tcPr>
          <w:p w:rsidR="000957C2" w:rsidRPr="00677EFF" w:rsidRDefault="000957C2" w:rsidP="000957C2">
            <w:pPr>
              <w:spacing w:after="0"/>
              <w:rPr>
                <w:rFonts w:ascii="Times New Roman" w:hAnsi="Times New Roman" w:cs="Times New Roman"/>
                <w:sz w:val="24"/>
                <w:szCs w:val="24"/>
              </w:rPr>
            </w:pPr>
          </w:p>
        </w:tc>
      </w:tr>
      <w:tr w:rsidR="000957C2" w:rsidRPr="00677EFF" w:rsidTr="000957C2">
        <w:tc>
          <w:tcPr>
            <w:tcW w:w="3438" w:type="dxa"/>
          </w:tcPr>
          <w:p w:rsidR="000957C2" w:rsidRPr="00677EFF" w:rsidRDefault="000957C2" w:rsidP="000957C2">
            <w:pPr>
              <w:spacing w:after="0"/>
              <w:rPr>
                <w:rFonts w:ascii="Times New Roman" w:hAnsi="Times New Roman" w:cs="Times New Roman"/>
                <w:i/>
                <w:sz w:val="24"/>
                <w:szCs w:val="24"/>
              </w:rPr>
            </w:pPr>
            <w:proofErr w:type="spellStart"/>
            <w:proofErr w:type="gramStart"/>
            <w:r w:rsidRPr="00677EFF">
              <w:rPr>
                <w:rFonts w:ascii="Times New Roman" w:hAnsi="Times New Roman" w:cs="Times New Roman"/>
                <w:i/>
                <w:sz w:val="24"/>
                <w:szCs w:val="24"/>
              </w:rPr>
              <w:t>vs</w:t>
            </w:r>
            <w:proofErr w:type="spellEnd"/>
            <w:proofErr w:type="gramEnd"/>
            <w:r w:rsidRPr="00677EFF">
              <w:rPr>
                <w:rFonts w:ascii="Times New Roman" w:hAnsi="Times New Roman" w:cs="Times New Roman"/>
                <w:i/>
                <w:sz w:val="24"/>
                <w:szCs w:val="24"/>
              </w:rPr>
              <w:t xml:space="preserve"> Poisson</w:t>
            </w:r>
          </w:p>
        </w:tc>
        <w:tc>
          <w:tcPr>
            <w:tcW w:w="1890" w:type="dxa"/>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772.799</w:t>
            </w:r>
          </w:p>
        </w:tc>
        <w:tc>
          <w:tcPr>
            <w:tcW w:w="1596" w:type="dxa"/>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86.816</w:t>
            </w:r>
          </w:p>
        </w:tc>
        <w:tc>
          <w:tcPr>
            <w:tcW w:w="1914"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Negative binomial</w:t>
            </w:r>
          </w:p>
        </w:tc>
        <w:tc>
          <w:tcPr>
            <w:tcW w:w="1350"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Very strong</w:t>
            </w:r>
          </w:p>
        </w:tc>
      </w:tr>
      <w:tr w:rsidR="000957C2" w:rsidRPr="00677EFF" w:rsidTr="000957C2">
        <w:tc>
          <w:tcPr>
            <w:tcW w:w="3438" w:type="dxa"/>
          </w:tcPr>
          <w:p w:rsidR="000957C2" w:rsidRPr="00677EFF" w:rsidRDefault="000957C2" w:rsidP="000957C2">
            <w:pPr>
              <w:spacing w:after="0"/>
              <w:rPr>
                <w:rFonts w:ascii="Times New Roman" w:hAnsi="Times New Roman" w:cs="Times New Roman"/>
                <w:sz w:val="24"/>
                <w:szCs w:val="24"/>
              </w:rPr>
            </w:pPr>
            <w:proofErr w:type="spellStart"/>
            <w:proofErr w:type="gramStart"/>
            <w:r w:rsidRPr="00677EFF">
              <w:rPr>
                <w:rFonts w:ascii="Times New Roman" w:hAnsi="Times New Roman" w:cs="Times New Roman"/>
                <w:i/>
                <w:sz w:val="24"/>
                <w:szCs w:val="24"/>
              </w:rPr>
              <w:t>vs</w:t>
            </w:r>
            <w:proofErr w:type="spellEnd"/>
            <w:proofErr w:type="gramEnd"/>
            <w:r w:rsidRPr="00677EFF">
              <w:rPr>
                <w:rFonts w:ascii="Times New Roman" w:hAnsi="Times New Roman" w:cs="Times New Roman"/>
                <w:i/>
                <w:sz w:val="24"/>
                <w:szCs w:val="24"/>
              </w:rPr>
              <w:t xml:space="preserve"> a zero-inflated negative binomial</w:t>
            </w:r>
          </w:p>
        </w:tc>
        <w:tc>
          <w:tcPr>
            <w:tcW w:w="1890" w:type="dxa"/>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707.772</w:t>
            </w:r>
          </w:p>
        </w:tc>
        <w:tc>
          <w:tcPr>
            <w:tcW w:w="1596" w:type="dxa"/>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21.789</w:t>
            </w:r>
          </w:p>
        </w:tc>
        <w:tc>
          <w:tcPr>
            <w:tcW w:w="1914"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Negative binomial</w:t>
            </w:r>
          </w:p>
        </w:tc>
        <w:tc>
          <w:tcPr>
            <w:tcW w:w="1350"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Very strong</w:t>
            </w:r>
          </w:p>
        </w:tc>
      </w:tr>
      <w:tr w:rsidR="000957C2" w:rsidRPr="00677EFF" w:rsidTr="000957C2">
        <w:trPr>
          <w:trHeight w:val="162"/>
        </w:trPr>
        <w:tc>
          <w:tcPr>
            <w:tcW w:w="3438" w:type="dxa"/>
            <w:tcBorders>
              <w:bottom w:val="single" w:sz="4" w:space="0" w:color="auto"/>
            </w:tcBorders>
          </w:tcPr>
          <w:p w:rsidR="000957C2" w:rsidRPr="00677EFF" w:rsidRDefault="000957C2" w:rsidP="000957C2">
            <w:pPr>
              <w:spacing w:after="0"/>
              <w:rPr>
                <w:rFonts w:ascii="Times New Roman" w:hAnsi="Times New Roman" w:cs="Times New Roman"/>
                <w:sz w:val="24"/>
                <w:szCs w:val="24"/>
              </w:rPr>
            </w:pPr>
            <w:proofErr w:type="spellStart"/>
            <w:proofErr w:type="gramStart"/>
            <w:r w:rsidRPr="00677EFF">
              <w:rPr>
                <w:rFonts w:ascii="Times New Roman" w:hAnsi="Times New Roman" w:cs="Times New Roman"/>
                <w:i/>
                <w:sz w:val="24"/>
                <w:szCs w:val="24"/>
              </w:rPr>
              <w:t>vs</w:t>
            </w:r>
            <w:proofErr w:type="spellEnd"/>
            <w:proofErr w:type="gramEnd"/>
            <w:r w:rsidRPr="00677EFF">
              <w:rPr>
                <w:rFonts w:ascii="Times New Roman" w:hAnsi="Times New Roman" w:cs="Times New Roman"/>
                <w:i/>
                <w:sz w:val="24"/>
                <w:szCs w:val="24"/>
              </w:rPr>
              <w:t xml:space="preserve"> a zero-inflated Poisson</w:t>
            </w:r>
          </w:p>
        </w:tc>
        <w:tc>
          <w:tcPr>
            <w:tcW w:w="1890" w:type="dxa"/>
            <w:tcBorders>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701.826</w:t>
            </w:r>
          </w:p>
        </w:tc>
        <w:tc>
          <w:tcPr>
            <w:tcW w:w="1596" w:type="dxa"/>
            <w:tcBorders>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15.843</w:t>
            </w:r>
          </w:p>
        </w:tc>
        <w:tc>
          <w:tcPr>
            <w:tcW w:w="1914" w:type="dxa"/>
            <w:tcBorders>
              <w:bottom w:val="single" w:sz="4" w:space="0" w:color="auto"/>
            </w:tcBorders>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Negative binomial</w:t>
            </w:r>
          </w:p>
        </w:tc>
        <w:tc>
          <w:tcPr>
            <w:tcW w:w="1350" w:type="dxa"/>
            <w:tcBorders>
              <w:bottom w:val="single" w:sz="4" w:space="0" w:color="auto"/>
            </w:tcBorders>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Very strong</w:t>
            </w:r>
          </w:p>
        </w:tc>
      </w:tr>
    </w:tbl>
    <w:p w:rsidR="000957C2" w:rsidRPr="00677EFF" w:rsidRDefault="000957C2" w:rsidP="000957C2">
      <w:pPr>
        <w:spacing w:after="0"/>
        <w:rPr>
          <w:rFonts w:ascii="Times New Roman" w:hAnsi="Times New Roman" w:cs="Times New Roman"/>
          <w:sz w:val="24"/>
          <w:szCs w:val="24"/>
          <w:lang w:val="en"/>
        </w:rPr>
      </w:pPr>
    </w:p>
    <w:p w:rsidR="000957C2" w:rsidRPr="00677EFF" w:rsidRDefault="000957C2" w:rsidP="004829F2">
      <w:pPr>
        <w:widowControl w:val="0"/>
        <w:autoSpaceDE w:val="0"/>
        <w:autoSpaceDN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The cigarette consumption variable was count, positively skewed, and over-dispersed. We used the “</w:t>
      </w:r>
      <w:proofErr w:type="spellStart"/>
      <w:r w:rsidRPr="00677EFF">
        <w:rPr>
          <w:rFonts w:ascii="Times New Roman" w:hAnsi="Times New Roman" w:cs="Times New Roman"/>
          <w:sz w:val="24"/>
          <w:szCs w:val="24"/>
        </w:rPr>
        <w:t>countfit</w:t>
      </w:r>
      <w:proofErr w:type="spellEnd"/>
      <w:r w:rsidRPr="00677EFF">
        <w:rPr>
          <w:rFonts w:ascii="Times New Roman" w:hAnsi="Times New Roman" w:cs="Times New Roman"/>
          <w:sz w:val="24"/>
          <w:szCs w:val="24"/>
        </w:rPr>
        <w:t xml:space="preserve">” procedure in </w:t>
      </w:r>
      <w:proofErr w:type="spellStart"/>
      <w:r w:rsidRPr="00677EFF">
        <w:rPr>
          <w:rFonts w:ascii="Times New Roman" w:hAnsi="Times New Roman" w:cs="Times New Roman"/>
          <w:sz w:val="24"/>
          <w:szCs w:val="24"/>
        </w:rPr>
        <w:t>Stata</w:t>
      </w:r>
      <w:proofErr w:type="spellEnd"/>
      <w:r w:rsidRPr="00677EFF">
        <w:rPr>
          <w:rFonts w:ascii="Times New Roman" w:hAnsi="Times New Roman" w:cs="Times New Roman"/>
          <w:sz w:val="24"/>
          <w:szCs w:val="24"/>
        </w:rPr>
        <w:t xml:space="preserve"> (Long &amp; </w:t>
      </w:r>
      <w:proofErr w:type="spellStart"/>
      <w:r w:rsidRPr="00677EFF">
        <w:rPr>
          <w:rFonts w:ascii="Times New Roman" w:hAnsi="Times New Roman" w:cs="Times New Roman"/>
          <w:sz w:val="24"/>
          <w:szCs w:val="24"/>
        </w:rPr>
        <w:t>Freese</w:t>
      </w:r>
      <w:proofErr w:type="spellEnd"/>
      <w:r w:rsidRPr="00677EFF">
        <w:rPr>
          <w:rFonts w:ascii="Times New Roman" w:hAnsi="Times New Roman" w:cs="Times New Roman"/>
          <w:sz w:val="24"/>
          <w:szCs w:val="24"/>
        </w:rPr>
        <w:t>, 2006) to compare the relative fit of Poisson, zero-inflated Poisson (ZIP), negative binomial, and zero-inflated negative binomial regression models. Among the four model types, the residuals for the negative binomial regressions were the smallest and therefore were preferred over the other three models.</w:t>
      </w:r>
      <w:r w:rsidR="004829F2">
        <w:rPr>
          <w:rFonts w:ascii="Times New Roman" w:hAnsi="Times New Roman" w:cs="Times New Roman"/>
          <w:sz w:val="24"/>
          <w:szCs w:val="24"/>
        </w:rPr>
        <w:t xml:space="preserve"> </w:t>
      </w:r>
      <w:proofErr w:type="gramStart"/>
      <w:r w:rsidRPr="00677EFF">
        <w:rPr>
          <w:rFonts w:ascii="Times New Roman" w:hAnsi="Times New Roman" w:cs="Times New Roman"/>
          <w:sz w:val="24"/>
          <w:szCs w:val="24"/>
        </w:rPr>
        <w:t xml:space="preserve">Long, J. S., &amp; </w:t>
      </w:r>
      <w:proofErr w:type="spellStart"/>
      <w:r w:rsidRPr="00677EFF">
        <w:rPr>
          <w:rFonts w:ascii="Times New Roman" w:hAnsi="Times New Roman" w:cs="Times New Roman"/>
          <w:sz w:val="24"/>
          <w:szCs w:val="24"/>
        </w:rPr>
        <w:t>Freese</w:t>
      </w:r>
      <w:proofErr w:type="spellEnd"/>
      <w:r w:rsidRPr="00677EFF">
        <w:rPr>
          <w:rFonts w:ascii="Times New Roman" w:hAnsi="Times New Roman" w:cs="Times New Roman"/>
          <w:sz w:val="24"/>
          <w:szCs w:val="24"/>
        </w:rPr>
        <w:t>, J. (2006).</w:t>
      </w:r>
      <w:proofErr w:type="gramEnd"/>
      <w:r w:rsidRPr="00677EFF">
        <w:rPr>
          <w:rFonts w:ascii="Times New Roman" w:hAnsi="Times New Roman" w:cs="Times New Roman"/>
          <w:sz w:val="24"/>
          <w:szCs w:val="24"/>
        </w:rPr>
        <w:t xml:space="preserve"> </w:t>
      </w:r>
      <w:r w:rsidRPr="00677EFF">
        <w:rPr>
          <w:rFonts w:ascii="Times New Roman" w:hAnsi="Times New Roman" w:cs="Times New Roman"/>
          <w:i/>
          <w:sz w:val="24"/>
          <w:szCs w:val="24"/>
        </w:rPr>
        <w:t xml:space="preserve">Regression models for categorical dependent variables using </w:t>
      </w:r>
      <w:proofErr w:type="spellStart"/>
      <w:r w:rsidRPr="00677EFF">
        <w:rPr>
          <w:rFonts w:ascii="Times New Roman" w:hAnsi="Times New Roman" w:cs="Times New Roman"/>
          <w:i/>
          <w:sz w:val="24"/>
          <w:szCs w:val="24"/>
        </w:rPr>
        <w:t>Stata</w:t>
      </w:r>
      <w:proofErr w:type="spellEnd"/>
      <w:r w:rsidRPr="00677EFF">
        <w:rPr>
          <w:rFonts w:ascii="Times New Roman" w:hAnsi="Times New Roman" w:cs="Times New Roman"/>
          <w:sz w:val="24"/>
          <w:szCs w:val="24"/>
        </w:rPr>
        <w:t xml:space="preserve">. </w:t>
      </w:r>
      <w:proofErr w:type="spellStart"/>
      <w:r w:rsidRPr="00677EFF">
        <w:rPr>
          <w:rFonts w:ascii="Times New Roman" w:hAnsi="Times New Roman" w:cs="Times New Roman"/>
          <w:sz w:val="24"/>
          <w:szCs w:val="24"/>
        </w:rPr>
        <w:t>Stata</w:t>
      </w:r>
      <w:proofErr w:type="spellEnd"/>
      <w:r w:rsidRPr="00677EFF">
        <w:rPr>
          <w:rFonts w:ascii="Times New Roman" w:hAnsi="Times New Roman" w:cs="Times New Roman"/>
          <w:sz w:val="24"/>
          <w:szCs w:val="24"/>
        </w:rPr>
        <w:t xml:space="preserve"> press.</w:t>
      </w:r>
    </w:p>
    <w:p w:rsidR="000957C2" w:rsidRPr="00677EFF" w:rsidRDefault="000957C2" w:rsidP="000957C2">
      <w:pPr>
        <w:widowControl w:val="0"/>
        <w:autoSpaceDE w:val="0"/>
        <w:autoSpaceDN w:val="0"/>
        <w:spacing w:after="0"/>
        <w:rPr>
          <w:rFonts w:ascii="Times New Roman" w:hAnsi="Times New Roman" w:cs="Times New Roman"/>
          <w:sz w:val="24"/>
          <w:szCs w:val="24"/>
        </w:rPr>
      </w:pPr>
    </w:p>
    <w:p w:rsidR="000957C2" w:rsidRPr="00677EFF" w:rsidRDefault="000957C2" w:rsidP="000957C2">
      <w:pPr>
        <w:spacing w:after="0"/>
        <w:rPr>
          <w:rFonts w:ascii="Times New Roman" w:hAnsi="Times New Roman" w:cs="Times New Roman"/>
          <w:sz w:val="24"/>
          <w:szCs w:val="24"/>
        </w:rPr>
      </w:pPr>
    </w:p>
    <w:p w:rsidR="000957C2" w:rsidRPr="000957C2" w:rsidRDefault="000957C2" w:rsidP="000957C2">
      <w:pPr>
        <w:spacing w:after="160" w:line="259" w:lineRule="auto"/>
        <w:rPr>
          <w:rFonts w:ascii="Times New Roman" w:hAnsi="Times New Roman" w:cs="Times New Roman"/>
          <w:b/>
          <w:sz w:val="24"/>
          <w:szCs w:val="24"/>
        </w:rPr>
      </w:pPr>
      <w:r w:rsidRPr="00677EFF">
        <w:rPr>
          <w:rFonts w:ascii="Times New Roman" w:hAnsi="Times New Roman" w:cs="Times New Roman"/>
          <w:b/>
          <w:sz w:val="24"/>
          <w:szCs w:val="24"/>
        </w:rPr>
        <w:t>Table S.4.</w:t>
      </w:r>
      <w:r w:rsidRPr="00677EFF">
        <w:rPr>
          <w:rFonts w:ascii="Times New Roman" w:hAnsi="Times New Roman" w:cs="Times New Roman"/>
          <w:sz w:val="24"/>
          <w:szCs w:val="24"/>
        </w:rPr>
        <w:t xml:space="preserve"> </w:t>
      </w:r>
      <w:r w:rsidRPr="00677EFF">
        <w:rPr>
          <w:rFonts w:ascii="Times New Roman" w:hAnsi="Times New Roman" w:cs="Times New Roman"/>
          <w:i/>
          <w:sz w:val="24"/>
          <w:szCs w:val="24"/>
        </w:rPr>
        <w:t xml:space="preserve">Negative binomial regression models depicting the effects of perceived stress (ages 17-19) and </w:t>
      </w:r>
      <w:proofErr w:type="spellStart"/>
      <w:r w:rsidRPr="00677EFF">
        <w:rPr>
          <w:rFonts w:ascii="Times New Roman" w:hAnsi="Times New Roman" w:cs="Times New Roman"/>
          <w:i/>
          <w:sz w:val="24"/>
          <w:szCs w:val="24"/>
        </w:rPr>
        <w:t>TNFm</w:t>
      </w:r>
      <w:proofErr w:type="spellEnd"/>
      <w:r w:rsidRPr="00677EFF">
        <w:rPr>
          <w:rFonts w:ascii="Times New Roman" w:hAnsi="Times New Roman" w:cs="Times New Roman"/>
          <w:i/>
          <w:sz w:val="24"/>
          <w:szCs w:val="24"/>
        </w:rPr>
        <w:t xml:space="preserve"> on cigarette consumption (N = 382).</w:t>
      </w:r>
    </w:p>
    <w:tbl>
      <w:tblPr>
        <w:tblW w:w="7366" w:type="dxa"/>
        <w:tblLook w:val="04A0" w:firstRow="1" w:lastRow="0" w:firstColumn="1" w:lastColumn="0" w:noHBand="0" w:noVBand="1"/>
      </w:tblPr>
      <w:tblGrid>
        <w:gridCol w:w="3974"/>
        <w:gridCol w:w="689"/>
        <w:gridCol w:w="330"/>
        <w:gridCol w:w="637"/>
        <w:gridCol w:w="81"/>
        <w:gridCol w:w="689"/>
        <w:gridCol w:w="329"/>
        <w:gridCol w:w="637"/>
      </w:tblGrid>
      <w:tr w:rsidR="000957C2" w:rsidRPr="00677EFF" w:rsidTr="000957C2">
        <w:trPr>
          <w:trHeight w:val="144"/>
        </w:trPr>
        <w:tc>
          <w:tcPr>
            <w:tcW w:w="3974" w:type="dxa"/>
            <w:tcBorders>
              <w:top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3392" w:type="dxa"/>
            <w:gridSpan w:val="7"/>
            <w:tcBorders>
              <w:top w:val="single" w:sz="4" w:space="0" w:color="auto"/>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Cigarette consumption (age 20)</w:t>
            </w:r>
          </w:p>
        </w:tc>
      </w:tr>
      <w:tr w:rsidR="000957C2" w:rsidRPr="00677EFF" w:rsidTr="000957C2">
        <w:trPr>
          <w:trHeight w:val="144"/>
        </w:trPr>
        <w:tc>
          <w:tcPr>
            <w:tcW w:w="3974" w:type="dxa"/>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1656" w:type="dxa"/>
            <w:gridSpan w:val="3"/>
            <w:tcBorders>
              <w:top w:val="single" w:sz="4" w:space="0" w:color="auto"/>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Model 1</w:t>
            </w:r>
          </w:p>
        </w:tc>
        <w:tc>
          <w:tcPr>
            <w:tcW w:w="81" w:type="dxa"/>
            <w:tcBorders>
              <w:top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1655" w:type="dxa"/>
            <w:gridSpan w:val="3"/>
            <w:tcBorders>
              <w:top w:val="single" w:sz="4" w:space="0" w:color="auto"/>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Model 2</w:t>
            </w:r>
          </w:p>
        </w:tc>
      </w:tr>
      <w:tr w:rsidR="000957C2" w:rsidRPr="00677EFF" w:rsidTr="000957C2">
        <w:trPr>
          <w:trHeight w:val="144"/>
        </w:trPr>
        <w:tc>
          <w:tcPr>
            <w:tcW w:w="3974"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689" w:type="dxa"/>
            <w:tcBorders>
              <w:top w:val="single" w:sz="4" w:space="0" w:color="auto"/>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roofErr w:type="gramStart"/>
            <w:r w:rsidRPr="00677EFF">
              <w:rPr>
                <w:rFonts w:ascii="Times New Roman" w:hAnsi="Times New Roman" w:cs="Times New Roman"/>
                <w:i/>
                <w:sz w:val="24"/>
                <w:szCs w:val="24"/>
              </w:rPr>
              <w:t>b</w:t>
            </w:r>
            <w:proofErr w:type="gramEnd"/>
          </w:p>
        </w:tc>
        <w:tc>
          <w:tcPr>
            <w:tcW w:w="330" w:type="dxa"/>
            <w:tcBorders>
              <w:top w:val="single" w:sz="4" w:space="0" w:color="auto"/>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
        </w:tc>
        <w:tc>
          <w:tcPr>
            <w:tcW w:w="637" w:type="dxa"/>
            <w:tcBorders>
              <w:top w:val="single" w:sz="4" w:space="0" w:color="auto"/>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i/>
                <w:sz w:val="24"/>
                <w:szCs w:val="24"/>
              </w:rPr>
            </w:pPr>
            <w:r w:rsidRPr="00677EFF">
              <w:rPr>
                <w:rFonts w:ascii="Times New Roman" w:hAnsi="Times New Roman" w:cs="Times New Roman"/>
                <w:sz w:val="24"/>
                <w:szCs w:val="24"/>
              </w:rPr>
              <w:t>IRR</w:t>
            </w:r>
          </w:p>
        </w:tc>
        <w:tc>
          <w:tcPr>
            <w:tcW w:w="81"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689" w:type="dxa"/>
            <w:tcBorders>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roofErr w:type="gramStart"/>
            <w:r w:rsidRPr="00677EFF">
              <w:rPr>
                <w:rFonts w:ascii="Times New Roman" w:hAnsi="Times New Roman" w:cs="Times New Roman"/>
                <w:i/>
                <w:sz w:val="24"/>
                <w:szCs w:val="24"/>
              </w:rPr>
              <w:t>b</w:t>
            </w:r>
            <w:proofErr w:type="gramEnd"/>
          </w:p>
        </w:tc>
        <w:tc>
          <w:tcPr>
            <w:tcW w:w="329" w:type="dxa"/>
            <w:tcBorders>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
        </w:tc>
        <w:tc>
          <w:tcPr>
            <w:tcW w:w="637" w:type="dxa"/>
            <w:tcBorders>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i/>
                <w:sz w:val="24"/>
                <w:szCs w:val="24"/>
              </w:rPr>
            </w:pPr>
            <w:r w:rsidRPr="00677EFF">
              <w:rPr>
                <w:rFonts w:ascii="Times New Roman" w:hAnsi="Times New Roman" w:cs="Times New Roman"/>
                <w:sz w:val="24"/>
                <w:szCs w:val="24"/>
              </w:rPr>
              <w:t>IRR</w:t>
            </w:r>
          </w:p>
        </w:tc>
      </w:tr>
      <w:tr w:rsidR="000957C2" w:rsidRPr="00677EFF" w:rsidTr="000957C2">
        <w:trPr>
          <w:trHeight w:val="144"/>
        </w:trPr>
        <w:tc>
          <w:tcPr>
            <w:tcW w:w="3974" w:type="dxa"/>
            <w:tcBorders>
              <w:top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Perceived stress (ages 17-19)</w:t>
            </w:r>
          </w:p>
        </w:tc>
        <w:tc>
          <w:tcPr>
            <w:tcW w:w="689" w:type="dxa"/>
            <w:tcBorders>
              <w:top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.411</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(.107)</w:t>
            </w:r>
          </w:p>
        </w:tc>
        <w:tc>
          <w:tcPr>
            <w:tcW w:w="330" w:type="dxa"/>
            <w:tcBorders>
              <w:top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Borders>
              <w:top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1.508</w:t>
            </w:r>
          </w:p>
        </w:tc>
        <w:tc>
          <w:tcPr>
            <w:tcW w:w="81" w:type="dxa"/>
            <w:tcBorders>
              <w:top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Borders>
              <w:top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.371</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(.107)</w:t>
            </w:r>
          </w:p>
        </w:tc>
        <w:tc>
          <w:tcPr>
            <w:tcW w:w="329" w:type="dxa"/>
            <w:tcBorders>
              <w:top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Borders>
              <w:top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1.450</w:t>
            </w:r>
          </w:p>
        </w:tc>
      </w:tr>
      <w:tr w:rsidR="000957C2" w:rsidRPr="00677EFF" w:rsidTr="000957C2">
        <w:trPr>
          <w:trHeight w:val="144"/>
        </w:trPr>
        <w:tc>
          <w:tcPr>
            <w:tcW w:w="3974" w:type="dxa"/>
            <w:tcMar>
              <w:left w:w="14" w:type="dxa"/>
              <w:right w:w="14" w:type="dxa"/>
            </w:tcMar>
            <w:vAlign w:val="cente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roofErr w:type="spellStart"/>
            <w:r w:rsidRPr="00677EFF">
              <w:rPr>
                <w:rFonts w:ascii="Times New Roman" w:hAnsi="Times New Roman" w:cs="Times New Roman"/>
                <w:i/>
                <w:sz w:val="24"/>
                <w:szCs w:val="24"/>
              </w:rPr>
              <w:t>TNF</w:t>
            </w:r>
            <w:r w:rsidRPr="00677EFF">
              <w:rPr>
                <w:rFonts w:ascii="Times New Roman" w:hAnsi="Times New Roman" w:cs="Times New Roman"/>
                <w:sz w:val="24"/>
                <w:szCs w:val="24"/>
              </w:rPr>
              <w:t>m</w:t>
            </w:r>
            <w:proofErr w:type="spellEnd"/>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-.222</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(.216)</w:t>
            </w:r>
          </w:p>
        </w:tc>
        <w:tc>
          <w:tcPr>
            <w:tcW w:w="329"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.801</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Perceived stress (ages 17-19) ×</w:t>
            </w:r>
            <w:r w:rsidRPr="00677EFF">
              <w:rPr>
                <w:rFonts w:ascii="Times New Roman" w:hAnsi="Times New Roman" w:cs="Times New Roman"/>
                <w:i/>
                <w:sz w:val="24"/>
                <w:szCs w:val="24"/>
              </w:rPr>
              <w:t xml:space="preserve"> </w:t>
            </w:r>
            <w:proofErr w:type="spellStart"/>
            <w:r w:rsidRPr="00677EFF">
              <w:rPr>
                <w:rFonts w:ascii="Times New Roman" w:hAnsi="Times New Roman" w:cs="Times New Roman"/>
                <w:i/>
                <w:sz w:val="24"/>
                <w:szCs w:val="24"/>
              </w:rPr>
              <w:t>TNF</w:t>
            </w:r>
            <w:r w:rsidRPr="00677EFF">
              <w:rPr>
                <w:rFonts w:ascii="Times New Roman" w:hAnsi="Times New Roman" w:cs="Times New Roman"/>
                <w:sz w:val="24"/>
                <w:szCs w:val="24"/>
              </w:rPr>
              <w:t>m</w:t>
            </w:r>
            <w:proofErr w:type="spellEnd"/>
            <w:r w:rsidRPr="00677EFF">
              <w:rPr>
                <w:rFonts w:ascii="Times New Roman" w:hAnsi="Times New Roman" w:cs="Times New Roman"/>
                <w:sz w:val="24"/>
                <w:szCs w:val="24"/>
              </w:rPr>
              <w:t xml:space="preserve"> </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-.288</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(.099)</w:t>
            </w:r>
          </w:p>
        </w:tc>
        <w:tc>
          <w:tcPr>
            <w:tcW w:w="329"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.749</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Supportive parenting (ages 11-13)</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-.078</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(.107)</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.925</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-.088</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(.104)</w:t>
            </w:r>
          </w:p>
        </w:tc>
        <w:tc>
          <w:tcPr>
            <w:tcW w:w="329"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.916</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Sex (1 = males)</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1.682</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(.278)</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5.378</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1.605</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(.276)</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4.980</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SES-risk  (ages 11-13)</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.146</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(.118)</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1.157</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.146</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(.110)</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1.157</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Cigarette consumption (ages 11-14)</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.107</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(.171)</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1.112</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.136</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(.191)</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1.146</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Factor 1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.164</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(.108)</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1.178</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.337</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(.156)</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1.401</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Factor 2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-.019</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(.107)</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.981</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.160</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(.159)</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1.174</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lastRenderedPageBreak/>
              <w:t>Factor 3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.063</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(.094)</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1.065</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.004</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(.094)</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1.004</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Factor 4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.046</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(.095)</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1.048</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-.011</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(.109)</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.989</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Log of CRP</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.173</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(.106)</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1.189</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.121</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(.107)</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1.128</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Constant</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-1.907</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(.239)</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-1.939</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(.237)</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-2LL</w:t>
            </w:r>
          </w:p>
        </w:tc>
        <w:tc>
          <w:tcPr>
            <w:tcW w:w="1656" w:type="dxa"/>
            <w:gridSpan w:val="3"/>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611.235</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1655" w:type="dxa"/>
            <w:gridSpan w:val="3"/>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605.022</w:t>
            </w:r>
          </w:p>
        </w:tc>
      </w:tr>
      <w:tr w:rsidR="000957C2" w:rsidRPr="00677EFF" w:rsidTr="000957C2">
        <w:trPr>
          <w:trHeight w:val="144"/>
        </w:trPr>
        <w:tc>
          <w:tcPr>
            <w:tcW w:w="3974" w:type="dxa"/>
            <w:tcBorders>
              <w:bottom w:val="single" w:sz="4" w:space="0" w:color="auto"/>
            </w:tcBorders>
            <w:tcMar>
              <w:left w:w="14" w:type="dxa"/>
              <w:right w:w="14" w:type="dxa"/>
            </w:tcMar>
            <w:vAlign w:val="cente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 Chi-square (</w:t>
            </w:r>
            <w:proofErr w:type="spellStart"/>
            <w:r w:rsidRPr="00677EFF">
              <w:rPr>
                <w:rFonts w:ascii="Times New Roman" w:hAnsi="Times New Roman" w:cs="Times New Roman"/>
                <w:i/>
                <w:sz w:val="24"/>
                <w:szCs w:val="24"/>
              </w:rPr>
              <w:t>df</w:t>
            </w:r>
            <w:proofErr w:type="spellEnd"/>
            <w:r w:rsidRPr="00677EFF">
              <w:rPr>
                <w:rFonts w:ascii="Times New Roman" w:hAnsi="Times New Roman" w:cs="Times New Roman"/>
                <w:sz w:val="24"/>
                <w:szCs w:val="24"/>
              </w:rPr>
              <w:t xml:space="preserve"> = 1)</w:t>
            </w:r>
          </w:p>
        </w:tc>
        <w:tc>
          <w:tcPr>
            <w:tcW w:w="689"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330" w:type="dxa"/>
            <w:tcBorders>
              <w:bottom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81" w:type="dxa"/>
            <w:tcBorders>
              <w:bottom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1655" w:type="dxa"/>
            <w:gridSpan w:val="3"/>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6.213*</w:t>
            </w:r>
          </w:p>
        </w:tc>
      </w:tr>
    </w:tbl>
    <w:p w:rsidR="000957C2" w:rsidRPr="00677EFF" w:rsidRDefault="000957C2" w:rsidP="000957C2">
      <w:pPr>
        <w:widowControl w:val="0"/>
        <w:autoSpaceDE w:val="0"/>
        <w:autoSpaceDN w:val="0"/>
        <w:spacing w:after="0" w:line="240" w:lineRule="atLeast"/>
        <w:rPr>
          <w:rFonts w:ascii="Times New Roman" w:hAnsi="Times New Roman" w:cs="Times New Roman"/>
          <w:sz w:val="24"/>
          <w:szCs w:val="24"/>
        </w:rPr>
      </w:pPr>
      <w:r w:rsidRPr="00677EFF">
        <w:rPr>
          <w:rFonts w:ascii="Times New Roman" w:hAnsi="Times New Roman" w:cs="Times New Roman"/>
          <w:i/>
          <w:sz w:val="24"/>
          <w:szCs w:val="24"/>
        </w:rPr>
        <w:t>Notes</w:t>
      </w:r>
      <w:r w:rsidRPr="00677EFF">
        <w:rPr>
          <w:rFonts w:ascii="Times New Roman" w:hAnsi="Times New Roman" w:cs="Times New Roman"/>
          <w:sz w:val="24"/>
          <w:szCs w:val="24"/>
        </w:rPr>
        <w:t>: Unstandardized (</w:t>
      </w:r>
      <w:r w:rsidRPr="00677EFF">
        <w:rPr>
          <w:rFonts w:ascii="Times New Roman" w:hAnsi="Times New Roman" w:cs="Times New Roman"/>
          <w:i/>
          <w:sz w:val="24"/>
          <w:szCs w:val="24"/>
        </w:rPr>
        <w:t>b</w:t>
      </w:r>
      <w:r w:rsidRPr="00677EFF">
        <w:rPr>
          <w:rFonts w:ascii="Times New Roman" w:hAnsi="Times New Roman" w:cs="Times New Roman"/>
          <w:sz w:val="24"/>
          <w:szCs w:val="24"/>
        </w:rPr>
        <w:t xml:space="preserve">) shown with robust standard errors in parentheses; IRR = incident rate ratio; supportive parenting (ages 11-13), SES-risk (ages 11-13), cigarette consumption (ages 11-14), factors cell-type, and CRP are standardized by z-transformation (mean = 0 and SD = 1). Using KHB methods (Breen, </w:t>
      </w:r>
      <w:proofErr w:type="spellStart"/>
      <w:r w:rsidRPr="00677EFF">
        <w:rPr>
          <w:rFonts w:ascii="Times New Roman" w:hAnsi="Times New Roman" w:cs="Times New Roman"/>
          <w:sz w:val="24"/>
          <w:szCs w:val="24"/>
        </w:rPr>
        <w:t>Karlson</w:t>
      </w:r>
      <w:proofErr w:type="spellEnd"/>
      <w:r w:rsidRPr="00677EFF">
        <w:rPr>
          <w:rFonts w:ascii="Times New Roman" w:hAnsi="Times New Roman" w:cs="Times New Roman"/>
          <w:sz w:val="24"/>
          <w:szCs w:val="24"/>
        </w:rPr>
        <w:t>, &amp; Holm, 2013), the test of the indirect effect of supportive parenting (ages 11-13) on cigarette consumption (age 20) through perceived stress (age 19) is significant [indirect effect = -.078, 95%(-.138, -.018)].</w:t>
      </w:r>
    </w:p>
    <w:p w:rsidR="000957C2" w:rsidRPr="00677EFF" w:rsidRDefault="000957C2" w:rsidP="000957C2">
      <w:pPr>
        <w:widowControl w:val="0"/>
        <w:autoSpaceDE w:val="0"/>
        <w:autoSpaceDN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roofErr w:type="gramStart"/>
      <w:r w:rsidRPr="00677EFF">
        <w:rPr>
          <w:rFonts w:ascii="Times New Roman" w:hAnsi="Times New Roman" w:cs="Times New Roman"/>
          <w:i/>
          <w:sz w:val="24"/>
          <w:szCs w:val="24"/>
        </w:rPr>
        <w:t>p</w:t>
      </w:r>
      <w:proofErr w:type="gramEnd"/>
      <w:r w:rsidRPr="00677EFF">
        <w:rPr>
          <w:rFonts w:ascii="Times New Roman" w:hAnsi="Times New Roman" w:cs="Times New Roman"/>
          <w:i/>
          <w:sz w:val="24"/>
          <w:szCs w:val="24"/>
        </w:rPr>
        <w:t xml:space="preserve"> </w:t>
      </w:r>
      <w:r w:rsidRPr="00677EFF">
        <w:rPr>
          <w:rFonts w:ascii="Times New Roman" w:hAnsi="Times New Roman" w:cs="Times New Roman"/>
          <w:sz w:val="24"/>
          <w:szCs w:val="24"/>
        </w:rPr>
        <w:t>≤ .10, *</w:t>
      </w:r>
      <w:r w:rsidRPr="00677EFF">
        <w:rPr>
          <w:rFonts w:ascii="Times New Roman" w:hAnsi="Times New Roman" w:cs="Times New Roman"/>
          <w:i/>
          <w:sz w:val="24"/>
          <w:szCs w:val="24"/>
        </w:rPr>
        <w:t>p</w:t>
      </w:r>
      <w:r w:rsidRPr="00677EFF">
        <w:rPr>
          <w:rFonts w:ascii="Times New Roman" w:hAnsi="Times New Roman" w:cs="Times New Roman"/>
          <w:sz w:val="24"/>
          <w:szCs w:val="24"/>
        </w:rPr>
        <w:t xml:space="preserve"> ≤ .05, **</w:t>
      </w:r>
      <w:r w:rsidRPr="00677EFF">
        <w:rPr>
          <w:rFonts w:ascii="Times New Roman" w:hAnsi="Times New Roman" w:cs="Times New Roman"/>
          <w:i/>
          <w:sz w:val="24"/>
          <w:szCs w:val="24"/>
        </w:rPr>
        <w:t xml:space="preserve">p </w:t>
      </w:r>
      <w:r w:rsidRPr="00677EFF">
        <w:rPr>
          <w:rFonts w:ascii="Times New Roman" w:hAnsi="Times New Roman" w:cs="Times New Roman"/>
          <w:sz w:val="24"/>
          <w:szCs w:val="24"/>
        </w:rPr>
        <w:t xml:space="preserve">≤ .01 (two-tailed tests). </w:t>
      </w:r>
    </w:p>
    <w:p w:rsidR="000957C2" w:rsidRPr="004829F2" w:rsidRDefault="000957C2" w:rsidP="004829F2">
      <w:pPr>
        <w:rPr>
          <w:rFonts w:ascii="Times New Roman" w:hAnsi="Times New Roman" w:cs="Times New Roman"/>
          <w:sz w:val="24"/>
          <w:szCs w:val="24"/>
        </w:rPr>
      </w:pPr>
    </w:p>
    <w:p w:rsidR="000957C2" w:rsidRPr="00677EFF" w:rsidRDefault="000957C2" w:rsidP="000957C2">
      <w:pPr>
        <w:spacing w:after="160" w:line="259" w:lineRule="auto"/>
        <w:rPr>
          <w:rFonts w:ascii="Times New Roman" w:eastAsia="MS Gothic" w:hAnsi="Times New Roman" w:cs="Times New Roman"/>
        </w:rPr>
      </w:pPr>
      <w:r w:rsidRPr="00677EFF">
        <w:rPr>
          <w:rFonts w:ascii="Times New Roman" w:eastAsia="MS Gothic" w:hAnsi="Times New Roman" w:cs="Times New Roman"/>
        </w:rPr>
        <w:t xml:space="preserve">Table S.5. </w:t>
      </w:r>
      <w:r w:rsidRPr="00677EFF">
        <w:rPr>
          <w:rFonts w:ascii="Times New Roman" w:eastAsia="MS Gothic" w:hAnsi="Times New Roman" w:cs="Times New Roman"/>
          <w:i/>
        </w:rPr>
        <w:t xml:space="preserve">Controlling for alcohol and marijuana use does not change the observed pattern of main or interactive effects in the </w:t>
      </w:r>
      <w:r w:rsidRPr="00677EFF">
        <w:rPr>
          <w:rFonts w:ascii="Times New Roman" w:hAnsi="Times New Roman" w:cs="Times New Roman"/>
          <w:i/>
          <w:sz w:val="24"/>
          <w:szCs w:val="24"/>
        </w:rPr>
        <w:t xml:space="preserve">negative binomial regression models depicting the effects of perceived stress (ages 17-19) and </w:t>
      </w:r>
      <w:proofErr w:type="spellStart"/>
      <w:r w:rsidRPr="00677EFF">
        <w:rPr>
          <w:rFonts w:ascii="Times New Roman" w:hAnsi="Times New Roman" w:cs="Times New Roman"/>
          <w:i/>
          <w:sz w:val="24"/>
          <w:szCs w:val="24"/>
        </w:rPr>
        <w:t>TNFm</w:t>
      </w:r>
      <w:proofErr w:type="spellEnd"/>
      <w:r w:rsidRPr="00677EFF">
        <w:rPr>
          <w:rFonts w:ascii="Times New Roman" w:hAnsi="Times New Roman" w:cs="Times New Roman"/>
          <w:i/>
          <w:sz w:val="24"/>
          <w:szCs w:val="24"/>
        </w:rPr>
        <w:t xml:space="preserve"> on cigarette consumption (N = 382).</w:t>
      </w:r>
    </w:p>
    <w:tbl>
      <w:tblPr>
        <w:tblW w:w="7366" w:type="dxa"/>
        <w:tblLook w:val="04A0" w:firstRow="1" w:lastRow="0" w:firstColumn="1" w:lastColumn="0" w:noHBand="0" w:noVBand="1"/>
      </w:tblPr>
      <w:tblGrid>
        <w:gridCol w:w="3974"/>
        <w:gridCol w:w="689"/>
        <w:gridCol w:w="330"/>
        <w:gridCol w:w="637"/>
        <w:gridCol w:w="81"/>
        <w:gridCol w:w="689"/>
        <w:gridCol w:w="329"/>
        <w:gridCol w:w="637"/>
      </w:tblGrid>
      <w:tr w:rsidR="000957C2" w:rsidRPr="00677EFF" w:rsidTr="000957C2">
        <w:trPr>
          <w:trHeight w:val="144"/>
        </w:trPr>
        <w:tc>
          <w:tcPr>
            <w:tcW w:w="3974" w:type="dxa"/>
            <w:tcBorders>
              <w:top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3392" w:type="dxa"/>
            <w:gridSpan w:val="7"/>
            <w:tcBorders>
              <w:top w:val="single" w:sz="4" w:space="0" w:color="auto"/>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Cigarette consumption (age 20)</w:t>
            </w:r>
          </w:p>
        </w:tc>
      </w:tr>
      <w:tr w:rsidR="000957C2" w:rsidRPr="00677EFF" w:rsidTr="000957C2">
        <w:trPr>
          <w:trHeight w:val="144"/>
        </w:trPr>
        <w:tc>
          <w:tcPr>
            <w:tcW w:w="3974" w:type="dxa"/>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1656" w:type="dxa"/>
            <w:gridSpan w:val="3"/>
            <w:tcBorders>
              <w:top w:val="single" w:sz="4" w:space="0" w:color="auto"/>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Model 1</w:t>
            </w:r>
          </w:p>
        </w:tc>
        <w:tc>
          <w:tcPr>
            <w:tcW w:w="81" w:type="dxa"/>
            <w:tcBorders>
              <w:top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1655" w:type="dxa"/>
            <w:gridSpan w:val="3"/>
            <w:tcBorders>
              <w:top w:val="single" w:sz="4" w:space="0" w:color="auto"/>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Model 2</w:t>
            </w:r>
          </w:p>
        </w:tc>
      </w:tr>
      <w:tr w:rsidR="000957C2" w:rsidRPr="00677EFF" w:rsidTr="000957C2">
        <w:trPr>
          <w:trHeight w:val="144"/>
        </w:trPr>
        <w:tc>
          <w:tcPr>
            <w:tcW w:w="3974"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689" w:type="dxa"/>
            <w:tcBorders>
              <w:top w:val="single" w:sz="4" w:space="0" w:color="auto"/>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roofErr w:type="gramStart"/>
            <w:r w:rsidRPr="00677EFF">
              <w:rPr>
                <w:rFonts w:ascii="Times New Roman" w:hAnsi="Times New Roman" w:cs="Times New Roman"/>
                <w:i/>
                <w:sz w:val="24"/>
                <w:szCs w:val="24"/>
              </w:rPr>
              <w:t>b</w:t>
            </w:r>
            <w:proofErr w:type="gramEnd"/>
          </w:p>
        </w:tc>
        <w:tc>
          <w:tcPr>
            <w:tcW w:w="330" w:type="dxa"/>
            <w:tcBorders>
              <w:top w:val="single" w:sz="4" w:space="0" w:color="auto"/>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
        </w:tc>
        <w:tc>
          <w:tcPr>
            <w:tcW w:w="637" w:type="dxa"/>
            <w:tcBorders>
              <w:top w:val="single" w:sz="4" w:space="0" w:color="auto"/>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i/>
                <w:sz w:val="24"/>
                <w:szCs w:val="24"/>
              </w:rPr>
            </w:pPr>
            <w:r w:rsidRPr="00677EFF">
              <w:rPr>
                <w:rFonts w:ascii="Times New Roman" w:hAnsi="Times New Roman" w:cs="Times New Roman"/>
                <w:sz w:val="24"/>
                <w:szCs w:val="24"/>
              </w:rPr>
              <w:t>IRR</w:t>
            </w:r>
          </w:p>
        </w:tc>
        <w:tc>
          <w:tcPr>
            <w:tcW w:w="81"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689" w:type="dxa"/>
            <w:tcBorders>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roofErr w:type="gramStart"/>
            <w:r w:rsidRPr="00677EFF">
              <w:rPr>
                <w:rFonts w:ascii="Times New Roman" w:hAnsi="Times New Roman" w:cs="Times New Roman"/>
                <w:i/>
                <w:sz w:val="24"/>
                <w:szCs w:val="24"/>
              </w:rPr>
              <w:t>b</w:t>
            </w:r>
            <w:proofErr w:type="gramEnd"/>
          </w:p>
        </w:tc>
        <w:tc>
          <w:tcPr>
            <w:tcW w:w="329" w:type="dxa"/>
            <w:tcBorders>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sz w:val="24"/>
                <w:szCs w:val="24"/>
              </w:rPr>
            </w:pPr>
          </w:p>
        </w:tc>
        <w:tc>
          <w:tcPr>
            <w:tcW w:w="637" w:type="dxa"/>
            <w:tcBorders>
              <w:bottom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center"/>
              <w:rPr>
                <w:rFonts w:ascii="Times New Roman" w:hAnsi="Times New Roman" w:cs="Times New Roman"/>
                <w:i/>
                <w:sz w:val="24"/>
                <w:szCs w:val="24"/>
              </w:rPr>
            </w:pPr>
            <w:r w:rsidRPr="00677EFF">
              <w:rPr>
                <w:rFonts w:ascii="Times New Roman" w:hAnsi="Times New Roman" w:cs="Times New Roman"/>
                <w:sz w:val="24"/>
                <w:szCs w:val="24"/>
              </w:rPr>
              <w:t>IRR</w:t>
            </w:r>
          </w:p>
        </w:tc>
      </w:tr>
      <w:tr w:rsidR="000957C2" w:rsidRPr="00677EFF" w:rsidTr="000957C2">
        <w:trPr>
          <w:trHeight w:val="144"/>
        </w:trPr>
        <w:tc>
          <w:tcPr>
            <w:tcW w:w="3974" w:type="dxa"/>
            <w:tcBorders>
              <w:top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Perceived stress (ages 17-19)</w:t>
            </w:r>
          </w:p>
        </w:tc>
        <w:tc>
          <w:tcPr>
            <w:tcW w:w="689" w:type="dxa"/>
            <w:tcBorders>
              <w:top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.299</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(.121)</w:t>
            </w:r>
          </w:p>
        </w:tc>
        <w:tc>
          <w:tcPr>
            <w:tcW w:w="330" w:type="dxa"/>
            <w:tcBorders>
              <w:top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Borders>
              <w:top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1.348</w:t>
            </w:r>
          </w:p>
        </w:tc>
        <w:tc>
          <w:tcPr>
            <w:tcW w:w="81" w:type="dxa"/>
            <w:tcBorders>
              <w:top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Borders>
              <w:top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.202</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(.114)</w:t>
            </w:r>
          </w:p>
        </w:tc>
        <w:tc>
          <w:tcPr>
            <w:tcW w:w="329" w:type="dxa"/>
            <w:tcBorders>
              <w:top w:val="single" w:sz="4" w:space="0" w:color="auto"/>
            </w:tcBorders>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Borders>
              <w:top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1.224</w:t>
            </w:r>
          </w:p>
        </w:tc>
      </w:tr>
      <w:tr w:rsidR="000957C2" w:rsidRPr="00677EFF" w:rsidTr="000957C2">
        <w:trPr>
          <w:trHeight w:val="144"/>
        </w:trPr>
        <w:tc>
          <w:tcPr>
            <w:tcW w:w="3974" w:type="dxa"/>
            <w:tcMar>
              <w:left w:w="14" w:type="dxa"/>
              <w:right w:w="14" w:type="dxa"/>
            </w:tcMar>
            <w:vAlign w:val="cente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roofErr w:type="spellStart"/>
            <w:r w:rsidRPr="00677EFF">
              <w:rPr>
                <w:rFonts w:ascii="Times New Roman" w:hAnsi="Times New Roman" w:cs="Times New Roman"/>
                <w:i/>
                <w:sz w:val="24"/>
                <w:szCs w:val="24"/>
              </w:rPr>
              <w:t>TNF</w:t>
            </w:r>
            <w:r w:rsidRPr="00677EFF">
              <w:rPr>
                <w:rFonts w:ascii="Times New Roman" w:hAnsi="Times New Roman" w:cs="Times New Roman"/>
                <w:sz w:val="24"/>
                <w:szCs w:val="24"/>
              </w:rPr>
              <w:t>m</w:t>
            </w:r>
            <w:proofErr w:type="spellEnd"/>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-.371</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(.233)</w:t>
            </w:r>
          </w:p>
        </w:tc>
        <w:tc>
          <w:tcPr>
            <w:tcW w:w="329"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.690</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Perceived stress (ages 17-19) ×</w:t>
            </w:r>
            <w:r w:rsidRPr="00677EFF">
              <w:rPr>
                <w:rFonts w:ascii="Times New Roman" w:hAnsi="Times New Roman" w:cs="Times New Roman"/>
                <w:i/>
                <w:sz w:val="24"/>
                <w:szCs w:val="24"/>
              </w:rPr>
              <w:t xml:space="preserve"> </w:t>
            </w:r>
            <w:proofErr w:type="spellStart"/>
            <w:r w:rsidRPr="00677EFF">
              <w:rPr>
                <w:rFonts w:ascii="Times New Roman" w:hAnsi="Times New Roman" w:cs="Times New Roman"/>
                <w:i/>
                <w:sz w:val="24"/>
                <w:szCs w:val="24"/>
              </w:rPr>
              <w:t>TNF</w:t>
            </w:r>
            <w:r w:rsidRPr="00677EFF">
              <w:rPr>
                <w:rFonts w:ascii="Times New Roman" w:hAnsi="Times New Roman" w:cs="Times New Roman"/>
                <w:sz w:val="24"/>
                <w:szCs w:val="24"/>
              </w:rPr>
              <w:t>m</w:t>
            </w:r>
            <w:proofErr w:type="spellEnd"/>
            <w:r w:rsidRPr="00677EFF">
              <w:rPr>
                <w:rFonts w:ascii="Times New Roman" w:hAnsi="Times New Roman" w:cs="Times New Roman"/>
                <w:sz w:val="24"/>
                <w:szCs w:val="24"/>
              </w:rPr>
              <w:t xml:space="preserve"> </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-.409</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(.096)</w:t>
            </w:r>
          </w:p>
        </w:tc>
        <w:tc>
          <w:tcPr>
            <w:tcW w:w="329"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.665</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Supportive parenting (ages 11-13)</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-.085</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(.108)</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.919</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-.091</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(.101)</w:t>
            </w:r>
          </w:p>
        </w:tc>
        <w:tc>
          <w:tcPr>
            <w:tcW w:w="329"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.913</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Sex (1 = males)</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1.523</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(.263)</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4.585</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1.400</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(.256)</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4.056</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SES-risk  (ages 11-13)</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.216</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(.126)</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1.241</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.245</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(.110)</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1.278</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Cigarette consumption (ages 11-14)</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.024</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(.109)</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1.024</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.053</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(.121)</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1.054</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Alcohol consumption (age 20)</w:t>
            </w:r>
          </w:p>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.246</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(.131)</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1.280</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.318</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(.133)</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1.374</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Marijuana use (age 20)</w:t>
            </w:r>
          </w:p>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.292</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(.064)</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1.339</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.317</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(.062)</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1.373</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Factor 1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.163</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(.101)</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1.176</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.442</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(.157)</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1.556</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lastRenderedPageBreak/>
              <w:t>Factor 2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-.004</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(.103)</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.996</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.259</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(.157)</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1.296</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Factor 3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.053</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(.095)</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1.055</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-.043</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(.092)</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.958</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Factor 4 cell-type</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.053</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(.097)</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1.054</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-.020</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(.110)</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.981</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Log of CRP</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.207</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(.112)</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1.230</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.133</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(.113)</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1.142</w:t>
            </w: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Constant</w:t>
            </w:r>
          </w:p>
        </w:tc>
        <w:tc>
          <w:tcPr>
            <w:tcW w:w="689"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-2.705</w:t>
            </w:r>
          </w:p>
          <w:p w:rsidR="000957C2" w:rsidRPr="00677EFF" w:rsidRDefault="000957C2" w:rsidP="000957C2">
            <w:pPr>
              <w:snapToGrid w:val="0"/>
              <w:spacing w:after="0" w:line="0" w:lineRule="atLeast"/>
              <w:jc w:val="right"/>
              <w:rPr>
                <w:rFonts w:ascii="Times New Roman" w:hAnsi="Times New Roman" w:cs="Times New Roman"/>
                <w:sz w:val="24"/>
                <w:szCs w:val="24"/>
              </w:rPr>
            </w:pPr>
            <w:r w:rsidRPr="00677EFF">
              <w:rPr>
                <w:rFonts w:ascii="Times New Roman" w:hAnsi="Times New Roman" w:cs="Times New Roman"/>
                <w:sz w:val="24"/>
                <w:szCs w:val="24"/>
              </w:rPr>
              <w:t>(.297)</w:t>
            </w:r>
          </w:p>
        </w:tc>
        <w:tc>
          <w:tcPr>
            <w:tcW w:w="330"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89" w:type="dxa"/>
            <w:tcMar>
              <w:left w:w="14" w:type="dxa"/>
              <w:right w:w="14" w:type="dxa"/>
            </w:tcMar>
          </w:tcPr>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-2.900</w:t>
            </w:r>
          </w:p>
          <w:p w:rsidR="000957C2" w:rsidRPr="00677EFF" w:rsidRDefault="000957C2" w:rsidP="000957C2">
            <w:pPr>
              <w:widowControl w:val="0"/>
              <w:autoSpaceDE w:val="0"/>
              <w:autoSpaceDN w:val="0"/>
              <w:snapToGrid w:val="0"/>
              <w:spacing w:after="0" w:line="240" w:lineRule="atLeast"/>
              <w:jc w:val="right"/>
              <w:rPr>
                <w:rFonts w:ascii="Times New Roman" w:hAnsi="Times New Roman" w:cs="Times New Roman"/>
                <w:sz w:val="24"/>
                <w:szCs w:val="24"/>
              </w:rPr>
            </w:pPr>
            <w:r w:rsidRPr="00677EFF">
              <w:rPr>
                <w:rFonts w:ascii="Times New Roman" w:hAnsi="Times New Roman" w:cs="Times New Roman"/>
                <w:sz w:val="24"/>
                <w:szCs w:val="24"/>
              </w:rPr>
              <w:t>(.307)</w:t>
            </w:r>
          </w:p>
        </w:tc>
        <w:tc>
          <w:tcPr>
            <w:tcW w:w="329"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w:t>
            </w:r>
          </w:p>
        </w:tc>
        <w:tc>
          <w:tcPr>
            <w:tcW w:w="637" w:type="dxa"/>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r>
      <w:tr w:rsidR="000957C2" w:rsidRPr="00677EFF" w:rsidTr="000957C2">
        <w:trPr>
          <w:trHeight w:val="144"/>
        </w:trPr>
        <w:tc>
          <w:tcPr>
            <w:tcW w:w="3974" w:type="dxa"/>
            <w:tcMar>
              <w:left w:w="14" w:type="dxa"/>
              <w:right w:w="14" w:type="dxa"/>
            </w:tcMa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-2LL</w:t>
            </w:r>
          </w:p>
        </w:tc>
        <w:tc>
          <w:tcPr>
            <w:tcW w:w="1656" w:type="dxa"/>
            <w:gridSpan w:val="3"/>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587.985</w:t>
            </w:r>
          </w:p>
        </w:tc>
        <w:tc>
          <w:tcPr>
            <w:tcW w:w="81" w:type="dxa"/>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1655" w:type="dxa"/>
            <w:gridSpan w:val="3"/>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573.685</w:t>
            </w:r>
          </w:p>
        </w:tc>
      </w:tr>
      <w:tr w:rsidR="000957C2" w:rsidRPr="00677EFF" w:rsidTr="000957C2">
        <w:trPr>
          <w:trHeight w:val="144"/>
        </w:trPr>
        <w:tc>
          <w:tcPr>
            <w:tcW w:w="3974" w:type="dxa"/>
            <w:tcBorders>
              <w:bottom w:val="single" w:sz="4" w:space="0" w:color="auto"/>
            </w:tcBorders>
            <w:tcMar>
              <w:left w:w="14" w:type="dxa"/>
              <w:right w:w="14" w:type="dxa"/>
            </w:tcMar>
            <w:vAlign w:val="center"/>
          </w:tcPr>
          <w:p w:rsidR="000957C2" w:rsidRPr="00677EFF" w:rsidRDefault="000957C2" w:rsidP="000957C2">
            <w:pPr>
              <w:widowControl w:val="0"/>
              <w:autoSpaceDE w:val="0"/>
              <w:autoSpaceDN w:val="0"/>
              <w:snapToGrid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 Chi-square (</w:t>
            </w:r>
            <w:proofErr w:type="spellStart"/>
            <w:r w:rsidRPr="00677EFF">
              <w:rPr>
                <w:rFonts w:ascii="Times New Roman" w:hAnsi="Times New Roman" w:cs="Times New Roman"/>
                <w:i/>
                <w:sz w:val="24"/>
                <w:szCs w:val="24"/>
              </w:rPr>
              <w:t>df</w:t>
            </w:r>
            <w:proofErr w:type="spellEnd"/>
            <w:r w:rsidRPr="00677EFF">
              <w:rPr>
                <w:rFonts w:ascii="Times New Roman" w:hAnsi="Times New Roman" w:cs="Times New Roman"/>
                <w:sz w:val="24"/>
                <w:szCs w:val="24"/>
              </w:rPr>
              <w:t xml:space="preserve"> = 1)</w:t>
            </w:r>
          </w:p>
        </w:tc>
        <w:tc>
          <w:tcPr>
            <w:tcW w:w="689"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right"/>
              <w:rPr>
                <w:rFonts w:ascii="Times New Roman" w:hAnsi="Times New Roman" w:cs="Times New Roman"/>
                <w:sz w:val="24"/>
                <w:szCs w:val="24"/>
              </w:rPr>
            </w:pPr>
          </w:p>
        </w:tc>
        <w:tc>
          <w:tcPr>
            <w:tcW w:w="330" w:type="dxa"/>
            <w:tcBorders>
              <w:bottom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637" w:type="dxa"/>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p>
        </w:tc>
        <w:tc>
          <w:tcPr>
            <w:tcW w:w="81" w:type="dxa"/>
            <w:tcBorders>
              <w:bottom w:val="single" w:sz="4" w:space="0" w:color="auto"/>
            </w:tcBorders>
            <w:tcMar>
              <w:left w:w="14" w:type="dxa"/>
              <w:right w:w="14" w:type="dxa"/>
            </w:tcMar>
          </w:tcPr>
          <w:p w:rsidR="000957C2" w:rsidRPr="00677EFF" w:rsidRDefault="000957C2" w:rsidP="000957C2">
            <w:pPr>
              <w:snapToGrid w:val="0"/>
              <w:spacing w:after="0" w:line="0" w:lineRule="atLeast"/>
              <w:rPr>
                <w:rFonts w:ascii="Times New Roman" w:hAnsi="Times New Roman" w:cs="Times New Roman"/>
                <w:sz w:val="24"/>
                <w:szCs w:val="24"/>
              </w:rPr>
            </w:pPr>
          </w:p>
        </w:tc>
        <w:tc>
          <w:tcPr>
            <w:tcW w:w="1655" w:type="dxa"/>
            <w:gridSpan w:val="3"/>
            <w:tcBorders>
              <w:bottom w:val="single" w:sz="4" w:space="0" w:color="auto"/>
            </w:tcBorders>
            <w:tcMar>
              <w:left w:w="14" w:type="dxa"/>
              <w:right w:w="14" w:type="dxa"/>
            </w:tcMar>
          </w:tcPr>
          <w:p w:rsidR="000957C2" w:rsidRPr="00677EFF" w:rsidRDefault="000957C2" w:rsidP="000957C2">
            <w:pPr>
              <w:snapToGrid w:val="0"/>
              <w:spacing w:after="0" w:line="0" w:lineRule="atLeast"/>
              <w:jc w:val="center"/>
              <w:rPr>
                <w:rFonts w:ascii="Times New Roman" w:hAnsi="Times New Roman" w:cs="Times New Roman"/>
                <w:sz w:val="24"/>
                <w:szCs w:val="24"/>
              </w:rPr>
            </w:pPr>
            <w:r w:rsidRPr="00677EFF">
              <w:rPr>
                <w:rFonts w:ascii="Times New Roman" w:hAnsi="Times New Roman" w:cs="Times New Roman"/>
                <w:sz w:val="24"/>
                <w:szCs w:val="24"/>
              </w:rPr>
              <w:t>14.3**</w:t>
            </w:r>
          </w:p>
        </w:tc>
      </w:tr>
    </w:tbl>
    <w:p w:rsidR="000957C2" w:rsidRPr="00677EFF" w:rsidRDefault="000957C2" w:rsidP="000957C2">
      <w:pPr>
        <w:widowControl w:val="0"/>
        <w:autoSpaceDE w:val="0"/>
        <w:autoSpaceDN w:val="0"/>
        <w:spacing w:after="0" w:line="240" w:lineRule="atLeast"/>
        <w:rPr>
          <w:rFonts w:ascii="Times New Roman" w:hAnsi="Times New Roman" w:cs="Times New Roman"/>
          <w:sz w:val="24"/>
          <w:szCs w:val="24"/>
        </w:rPr>
      </w:pPr>
      <w:r w:rsidRPr="00677EFF">
        <w:rPr>
          <w:rFonts w:ascii="Times New Roman" w:hAnsi="Times New Roman" w:cs="Times New Roman"/>
          <w:i/>
          <w:sz w:val="24"/>
          <w:szCs w:val="24"/>
        </w:rPr>
        <w:t>Notes</w:t>
      </w:r>
      <w:r w:rsidRPr="00677EFF">
        <w:rPr>
          <w:rFonts w:ascii="Times New Roman" w:hAnsi="Times New Roman" w:cs="Times New Roman"/>
          <w:sz w:val="24"/>
          <w:szCs w:val="24"/>
        </w:rPr>
        <w:t>: Unstandardized (</w:t>
      </w:r>
      <w:r w:rsidRPr="00677EFF">
        <w:rPr>
          <w:rFonts w:ascii="Times New Roman" w:hAnsi="Times New Roman" w:cs="Times New Roman"/>
          <w:i/>
          <w:sz w:val="24"/>
          <w:szCs w:val="24"/>
        </w:rPr>
        <w:t>b</w:t>
      </w:r>
      <w:r w:rsidRPr="00677EFF">
        <w:rPr>
          <w:rFonts w:ascii="Times New Roman" w:hAnsi="Times New Roman" w:cs="Times New Roman"/>
          <w:sz w:val="24"/>
          <w:szCs w:val="24"/>
        </w:rPr>
        <w:t>) shown with robust standard errors in parentheses; IRR = incident rate ratio; perceived stress (ages 17-19), supportive parenting (ages 11-13), SES-risk (ages 11-13), cigarette consumption (ages 11-14), factors cell-type, and CRP are standardized by z-transformation (mean = 0 and SD = 1).</w:t>
      </w:r>
    </w:p>
    <w:p w:rsidR="000957C2" w:rsidRPr="00677EFF" w:rsidRDefault="000957C2" w:rsidP="000957C2">
      <w:pPr>
        <w:widowControl w:val="0"/>
        <w:autoSpaceDE w:val="0"/>
        <w:autoSpaceDN w:val="0"/>
        <w:spacing w:after="0" w:line="240" w:lineRule="atLeast"/>
        <w:rPr>
          <w:rFonts w:ascii="Times New Roman" w:hAnsi="Times New Roman" w:cs="Times New Roman"/>
          <w:sz w:val="24"/>
          <w:szCs w:val="24"/>
        </w:rPr>
      </w:pPr>
      <w:r w:rsidRPr="00677EFF">
        <w:rPr>
          <w:rFonts w:ascii="Times New Roman" w:hAnsi="Times New Roman" w:cs="Times New Roman"/>
          <w:sz w:val="24"/>
          <w:szCs w:val="24"/>
        </w:rPr>
        <w:t xml:space="preserve"> †</w:t>
      </w:r>
      <w:proofErr w:type="gramStart"/>
      <w:r w:rsidRPr="00677EFF">
        <w:rPr>
          <w:rFonts w:ascii="Times New Roman" w:hAnsi="Times New Roman" w:cs="Times New Roman"/>
          <w:i/>
          <w:sz w:val="24"/>
          <w:szCs w:val="24"/>
        </w:rPr>
        <w:t>p</w:t>
      </w:r>
      <w:proofErr w:type="gramEnd"/>
      <w:r w:rsidRPr="00677EFF">
        <w:rPr>
          <w:rFonts w:ascii="Times New Roman" w:hAnsi="Times New Roman" w:cs="Times New Roman"/>
          <w:i/>
          <w:sz w:val="24"/>
          <w:szCs w:val="24"/>
        </w:rPr>
        <w:t xml:space="preserve"> </w:t>
      </w:r>
      <w:r w:rsidRPr="00677EFF">
        <w:rPr>
          <w:rFonts w:ascii="Times New Roman" w:hAnsi="Times New Roman" w:cs="Times New Roman"/>
          <w:sz w:val="24"/>
          <w:szCs w:val="24"/>
        </w:rPr>
        <w:t>≤ .10, *</w:t>
      </w:r>
      <w:r w:rsidRPr="00677EFF">
        <w:rPr>
          <w:rFonts w:ascii="Times New Roman" w:hAnsi="Times New Roman" w:cs="Times New Roman"/>
          <w:i/>
          <w:sz w:val="24"/>
          <w:szCs w:val="24"/>
        </w:rPr>
        <w:t>p</w:t>
      </w:r>
      <w:r w:rsidRPr="00677EFF">
        <w:rPr>
          <w:rFonts w:ascii="Times New Roman" w:hAnsi="Times New Roman" w:cs="Times New Roman"/>
          <w:sz w:val="24"/>
          <w:szCs w:val="24"/>
        </w:rPr>
        <w:t xml:space="preserve"> ≤ .05, **</w:t>
      </w:r>
      <w:r w:rsidRPr="00677EFF">
        <w:rPr>
          <w:rFonts w:ascii="Times New Roman" w:hAnsi="Times New Roman" w:cs="Times New Roman"/>
          <w:i/>
          <w:sz w:val="24"/>
          <w:szCs w:val="24"/>
        </w:rPr>
        <w:t xml:space="preserve">p </w:t>
      </w:r>
      <w:r w:rsidRPr="00677EFF">
        <w:rPr>
          <w:rFonts w:ascii="Times New Roman" w:hAnsi="Times New Roman" w:cs="Times New Roman"/>
          <w:sz w:val="24"/>
          <w:szCs w:val="24"/>
        </w:rPr>
        <w:t xml:space="preserve">≤ .01 (two-tailed tests). </w:t>
      </w:r>
    </w:p>
    <w:p w:rsidR="000957C2" w:rsidRPr="00677EFF" w:rsidRDefault="000957C2" w:rsidP="000957C2">
      <w:pPr>
        <w:spacing w:after="160" w:line="259" w:lineRule="auto"/>
        <w:rPr>
          <w:rFonts w:ascii="Times New Roman" w:eastAsia="MS Gothic" w:hAnsi="Times New Roman" w:cs="Times New Roman"/>
        </w:rPr>
      </w:pPr>
    </w:p>
    <w:p w:rsidR="000957C2" w:rsidRPr="00677EFF" w:rsidRDefault="000957C2" w:rsidP="000957C2">
      <w:pPr>
        <w:spacing w:after="160" w:line="259" w:lineRule="auto"/>
        <w:rPr>
          <w:rFonts w:ascii="Times New Roman" w:eastAsia="MS Gothic" w:hAnsi="Times New Roman" w:cs="Times New Roman"/>
        </w:rPr>
      </w:pPr>
    </w:p>
    <w:p w:rsidR="000957C2" w:rsidRPr="00677EFF" w:rsidRDefault="000957C2" w:rsidP="000957C2">
      <w:pPr>
        <w:spacing w:after="160" w:line="259" w:lineRule="auto"/>
        <w:rPr>
          <w:rFonts w:ascii="Times New Roman" w:hAnsi="Times New Roman" w:cs="Times New Roman"/>
          <w:sz w:val="24"/>
          <w:szCs w:val="24"/>
        </w:rPr>
      </w:pPr>
      <w:r w:rsidRPr="00677EFF">
        <w:rPr>
          <w:rFonts w:ascii="Times New Roman" w:hAnsi="Times New Roman" w:cs="Times New Roman"/>
          <w:b/>
          <w:sz w:val="24"/>
          <w:szCs w:val="24"/>
        </w:rPr>
        <w:t>Table S.6.</w:t>
      </w:r>
      <w:r w:rsidRPr="00677EFF">
        <w:rPr>
          <w:rFonts w:ascii="Times New Roman" w:hAnsi="Times New Roman" w:cs="Times New Roman"/>
          <w:sz w:val="24"/>
          <w:szCs w:val="24"/>
        </w:rPr>
        <w:t xml:space="preserve"> </w:t>
      </w:r>
      <w:r w:rsidRPr="00677EFF">
        <w:rPr>
          <w:rFonts w:ascii="Times New Roman" w:hAnsi="Times New Roman" w:cs="Times New Roman"/>
          <w:i/>
          <w:sz w:val="24"/>
          <w:szCs w:val="24"/>
        </w:rPr>
        <w:t xml:space="preserve">The Top 10 most differentially regulated gene ontology pathways for loci annotated as being on the first exon and associated significantly (p &lt; 10e-7) related to </w:t>
      </w:r>
      <w:proofErr w:type="spellStart"/>
      <w:r w:rsidRPr="00677EFF">
        <w:rPr>
          <w:rFonts w:ascii="Times New Roman" w:hAnsi="Times New Roman" w:cs="Times New Roman"/>
          <w:i/>
          <w:sz w:val="24"/>
          <w:szCs w:val="24"/>
        </w:rPr>
        <w:t>TNFm</w:t>
      </w:r>
      <w:proofErr w:type="spellEnd"/>
      <w:r w:rsidRPr="00677EFF">
        <w:rPr>
          <w:rFonts w:ascii="Times New Roman" w:hAnsi="Times New Roman" w:cs="Times New Roman"/>
          <w:i/>
          <w:sz w:val="24"/>
          <w:szCs w:val="24"/>
        </w:rPr>
        <w:t>.</w:t>
      </w:r>
    </w:p>
    <w:p w:rsidR="000957C2" w:rsidRPr="00677EFF" w:rsidRDefault="000957C2" w:rsidP="000957C2">
      <w:pPr>
        <w:rPr>
          <w:rFonts w:ascii="Times New Roman" w:hAnsi="Times New Roman" w:cs="Times New Roman"/>
          <w:sz w:val="24"/>
          <w:szCs w:val="24"/>
        </w:rPr>
      </w:pPr>
      <w:r w:rsidRPr="00677EFF">
        <w:rPr>
          <w:rFonts w:ascii="Times New Roman" w:hAnsi="Times New Roman" w:cs="Times New Roman"/>
          <w:sz w:val="24"/>
          <w:szCs w:val="24"/>
        </w:rPr>
        <w:t>Pathway name</w:t>
      </w:r>
    </w:p>
    <w:tbl>
      <w:tblPr>
        <w:tblStyle w:val="TableGrid"/>
        <w:tblW w:w="8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68"/>
        <w:gridCol w:w="3937"/>
        <w:gridCol w:w="810"/>
        <w:gridCol w:w="1010"/>
        <w:gridCol w:w="1001"/>
        <w:gridCol w:w="579"/>
      </w:tblGrid>
      <w:tr w:rsidR="000957C2" w:rsidRPr="00677EFF" w:rsidTr="000957C2">
        <w:tc>
          <w:tcPr>
            <w:tcW w:w="1468" w:type="dxa"/>
            <w:tcBorders>
              <w:top w:val="single" w:sz="4" w:space="0" w:color="auto"/>
            </w:tcBorders>
          </w:tcPr>
          <w:p w:rsidR="000957C2" w:rsidRPr="00677EFF" w:rsidRDefault="000957C2" w:rsidP="000957C2">
            <w:pPr>
              <w:spacing w:after="0"/>
              <w:rPr>
                <w:rFonts w:ascii="Times New Roman" w:hAnsi="Times New Roman" w:cs="Times New Roman"/>
                <w:sz w:val="24"/>
                <w:szCs w:val="24"/>
              </w:rPr>
            </w:pPr>
          </w:p>
        </w:tc>
        <w:tc>
          <w:tcPr>
            <w:tcW w:w="3937" w:type="dxa"/>
            <w:tcBorders>
              <w:top w:val="single" w:sz="4" w:space="0" w:color="auto"/>
            </w:tcBorders>
          </w:tcPr>
          <w:p w:rsidR="000957C2" w:rsidRPr="00677EFF" w:rsidRDefault="000957C2" w:rsidP="000957C2">
            <w:pPr>
              <w:spacing w:after="0"/>
              <w:rPr>
                <w:rFonts w:ascii="Times New Roman" w:hAnsi="Times New Roman" w:cs="Times New Roman"/>
                <w:sz w:val="24"/>
                <w:szCs w:val="24"/>
              </w:rPr>
            </w:pPr>
          </w:p>
        </w:tc>
        <w:tc>
          <w:tcPr>
            <w:tcW w:w="3400" w:type="dxa"/>
            <w:gridSpan w:val="4"/>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Genes</w:t>
            </w:r>
          </w:p>
        </w:tc>
      </w:tr>
      <w:tr w:rsidR="000957C2" w:rsidRPr="00677EFF" w:rsidTr="000957C2">
        <w:tc>
          <w:tcPr>
            <w:tcW w:w="1468" w:type="dxa"/>
            <w:tcBorders>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GO Category</w:t>
            </w:r>
          </w:p>
        </w:tc>
        <w:tc>
          <w:tcPr>
            <w:tcW w:w="3937" w:type="dxa"/>
            <w:tcBorders>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Category Name</w:t>
            </w:r>
          </w:p>
        </w:tc>
        <w:tc>
          <w:tcPr>
            <w:tcW w:w="810"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Total</w:t>
            </w:r>
          </w:p>
        </w:tc>
        <w:tc>
          <w:tcPr>
            <w:tcW w:w="1010"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Changed</w:t>
            </w:r>
          </w:p>
        </w:tc>
        <w:tc>
          <w:tcPr>
            <w:tcW w:w="1001"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oMath>
            <w:r w:rsidRPr="00677EFF">
              <w:rPr>
                <w:rFonts w:ascii="Times New Roman" w:hAnsi="Times New Roman" w:cs="Times New Roman"/>
                <w:i/>
                <w:sz w:val="24"/>
                <w:szCs w:val="24"/>
              </w:rPr>
              <w:t>P</w:t>
            </w:r>
          </w:p>
        </w:tc>
        <w:tc>
          <w:tcPr>
            <w:tcW w:w="579" w:type="dxa"/>
            <w:tcBorders>
              <w:top w:val="single" w:sz="4" w:space="0" w:color="auto"/>
              <w:bottom w:val="single" w:sz="4" w:space="0" w:color="auto"/>
            </w:tcBorders>
          </w:tcPr>
          <w:p w:rsidR="000957C2" w:rsidRPr="00677EFF" w:rsidRDefault="000957C2" w:rsidP="000957C2">
            <w:pPr>
              <w:spacing w:after="0"/>
              <w:jc w:val="center"/>
              <w:rPr>
                <w:rFonts w:ascii="Times New Roman" w:hAnsi="Times New Roman" w:cs="Times New Roman"/>
                <w:sz w:val="24"/>
                <w:szCs w:val="24"/>
              </w:rPr>
            </w:pPr>
            <w:r w:rsidRPr="00677EFF">
              <w:rPr>
                <w:rFonts w:ascii="Times New Roman" w:hAnsi="Times New Roman" w:cs="Times New Roman"/>
                <w:sz w:val="24"/>
                <w:szCs w:val="24"/>
              </w:rPr>
              <w:t>FDR</w:t>
            </w:r>
          </w:p>
        </w:tc>
      </w:tr>
      <w:tr w:rsidR="000957C2" w:rsidRPr="00677EFF" w:rsidTr="000957C2">
        <w:tc>
          <w:tcPr>
            <w:tcW w:w="1468" w:type="dxa"/>
            <w:tcBorders>
              <w:top w:val="single" w:sz="4" w:space="0" w:color="auto"/>
            </w:tcBorders>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GO:0006955</w:t>
            </w:r>
          </w:p>
        </w:tc>
        <w:tc>
          <w:tcPr>
            <w:tcW w:w="3937" w:type="dxa"/>
            <w:tcBorders>
              <w:top w:val="single" w:sz="4" w:space="0" w:color="auto"/>
            </w:tcBorders>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Immune response</w:t>
            </w:r>
          </w:p>
        </w:tc>
        <w:tc>
          <w:tcPr>
            <w:tcW w:w="810" w:type="dxa"/>
            <w:tcBorders>
              <w:top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936</w:t>
            </w:r>
          </w:p>
        </w:tc>
        <w:tc>
          <w:tcPr>
            <w:tcW w:w="1010" w:type="dxa"/>
            <w:tcBorders>
              <w:top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25</w:t>
            </w:r>
          </w:p>
        </w:tc>
        <w:tc>
          <w:tcPr>
            <w:tcW w:w="1001" w:type="dxa"/>
            <w:tcBorders>
              <w:top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-10.8323</w:t>
            </w:r>
          </w:p>
        </w:tc>
        <w:tc>
          <w:tcPr>
            <w:tcW w:w="579" w:type="dxa"/>
            <w:tcBorders>
              <w:top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.000</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GO:0002376</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Immune system process</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1426</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29</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-9.75779</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.000</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GO:0006952</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Defense response</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816</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20</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-8.00567</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.000</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GO:0006968</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Cellular defense response</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62</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6</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-6.00786</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.000</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GO:0050776</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Regulation of immune response</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391</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12</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-5.92068</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.000</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GO:0045321</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Leukocyte activation</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414</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11</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-4.87063</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.003</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GO:0046649</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Lymphocyte activation</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354</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10</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-4.69478</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.003</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GO:0002682</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Regulation of immune system process</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623</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13</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-4.55656</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.005</w:t>
            </w:r>
          </w:p>
        </w:tc>
      </w:tr>
      <w:tr w:rsidR="000957C2" w:rsidRPr="00677EFF" w:rsidTr="000957C2">
        <w:tc>
          <w:tcPr>
            <w:tcW w:w="1468"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GO:0001775</w:t>
            </w:r>
          </w:p>
        </w:tc>
        <w:tc>
          <w:tcPr>
            <w:tcW w:w="3937" w:type="dxa"/>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Cell activation</w:t>
            </w:r>
          </w:p>
        </w:tc>
        <w:tc>
          <w:tcPr>
            <w:tcW w:w="8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633</w:t>
            </w:r>
          </w:p>
        </w:tc>
        <w:tc>
          <w:tcPr>
            <w:tcW w:w="1010"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13</w:t>
            </w:r>
          </w:p>
        </w:tc>
        <w:tc>
          <w:tcPr>
            <w:tcW w:w="1001"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-4.48486</w:t>
            </w:r>
          </w:p>
        </w:tc>
        <w:tc>
          <w:tcPr>
            <w:tcW w:w="579" w:type="dxa"/>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.006</w:t>
            </w:r>
          </w:p>
        </w:tc>
      </w:tr>
      <w:tr w:rsidR="000957C2" w:rsidRPr="00677EFF" w:rsidTr="000957C2">
        <w:tc>
          <w:tcPr>
            <w:tcW w:w="1468" w:type="dxa"/>
            <w:tcBorders>
              <w:bottom w:val="single" w:sz="4" w:space="0" w:color="auto"/>
            </w:tcBorders>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GO:0050896</w:t>
            </w:r>
          </w:p>
        </w:tc>
        <w:tc>
          <w:tcPr>
            <w:tcW w:w="3937" w:type="dxa"/>
            <w:tcBorders>
              <w:bottom w:val="single" w:sz="4" w:space="0" w:color="auto"/>
            </w:tcBorders>
          </w:tcPr>
          <w:p w:rsidR="000957C2" w:rsidRPr="00677EFF" w:rsidRDefault="000957C2" w:rsidP="000957C2">
            <w:pPr>
              <w:spacing w:after="0"/>
              <w:rPr>
                <w:rFonts w:ascii="Times New Roman" w:hAnsi="Times New Roman" w:cs="Times New Roman"/>
                <w:sz w:val="24"/>
                <w:szCs w:val="24"/>
              </w:rPr>
            </w:pPr>
            <w:r w:rsidRPr="00677EFF">
              <w:rPr>
                <w:rFonts w:ascii="Times New Roman" w:hAnsi="Times New Roman" w:cs="Times New Roman"/>
                <w:sz w:val="24"/>
                <w:szCs w:val="24"/>
              </w:rPr>
              <w:t>Response to stimulus</w:t>
            </w:r>
          </w:p>
        </w:tc>
        <w:tc>
          <w:tcPr>
            <w:tcW w:w="810" w:type="dxa"/>
            <w:tcBorders>
              <w:bottom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4550</w:t>
            </w:r>
          </w:p>
        </w:tc>
        <w:tc>
          <w:tcPr>
            <w:tcW w:w="1010" w:type="dxa"/>
            <w:tcBorders>
              <w:bottom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42</w:t>
            </w:r>
          </w:p>
        </w:tc>
        <w:tc>
          <w:tcPr>
            <w:tcW w:w="1001" w:type="dxa"/>
            <w:tcBorders>
              <w:bottom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-4.14647</w:t>
            </w:r>
          </w:p>
        </w:tc>
        <w:tc>
          <w:tcPr>
            <w:tcW w:w="579" w:type="dxa"/>
            <w:tcBorders>
              <w:bottom w:val="single" w:sz="4" w:space="0" w:color="auto"/>
            </w:tcBorders>
            <w:vAlign w:val="bottom"/>
          </w:tcPr>
          <w:p w:rsidR="000957C2" w:rsidRPr="00677EFF" w:rsidRDefault="000957C2" w:rsidP="000957C2">
            <w:pPr>
              <w:spacing w:after="0"/>
              <w:jc w:val="right"/>
              <w:rPr>
                <w:rFonts w:ascii="Times New Roman" w:hAnsi="Times New Roman" w:cs="Times New Roman"/>
                <w:sz w:val="24"/>
                <w:szCs w:val="24"/>
              </w:rPr>
            </w:pPr>
            <w:r w:rsidRPr="00677EFF">
              <w:rPr>
                <w:rFonts w:ascii="Times New Roman" w:hAnsi="Times New Roman" w:cs="Times New Roman"/>
                <w:color w:val="000000"/>
                <w:sz w:val="24"/>
                <w:szCs w:val="24"/>
              </w:rPr>
              <w:t>.010</w:t>
            </w:r>
          </w:p>
        </w:tc>
      </w:tr>
    </w:tbl>
    <w:p w:rsidR="000957C2" w:rsidRPr="00677EFF" w:rsidRDefault="000957C2" w:rsidP="000957C2">
      <w:pPr>
        <w:spacing w:after="0"/>
        <w:rPr>
          <w:rFonts w:ascii="Times New Roman" w:hAnsi="Times New Roman" w:cs="Times New Roman"/>
          <w:b/>
          <w:sz w:val="24"/>
          <w:szCs w:val="24"/>
        </w:rPr>
      </w:pPr>
      <w:r w:rsidRPr="00677EFF">
        <w:rPr>
          <w:rFonts w:ascii="Times New Roman" w:hAnsi="Times New Roman" w:cs="Times New Roman"/>
          <w:b/>
          <w:sz w:val="24"/>
          <w:szCs w:val="24"/>
        </w:rPr>
        <w:t xml:space="preserve">                   </w:t>
      </w:r>
    </w:p>
    <w:p w:rsidR="000957C2" w:rsidRPr="00677EFF" w:rsidRDefault="000957C2" w:rsidP="000957C2">
      <w:pPr>
        <w:spacing w:after="160" w:line="259" w:lineRule="auto"/>
        <w:rPr>
          <w:rFonts w:ascii="Times New Roman" w:eastAsia="MS Gothic" w:hAnsi="Times New Roman" w:cs="Times New Roman"/>
        </w:rPr>
      </w:pPr>
    </w:p>
    <w:p w:rsidR="000957C2" w:rsidRDefault="000957C2" w:rsidP="000957C2">
      <w:pPr>
        <w:spacing w:after="160" w:line="259" w:lineRule="auto"/>
        <w:rPr>
          <w:rFonts w:ascii="Times New Roman" w:eastAsia="MS Gothic" w:hAnsi="Times New Roman" w:cs="Times New Roman"/>
        </w:rPr>
      </w:pPr>
    </w:p>
    <w:p w:rsidR="000957C2" w:rsidRDefault="000957C2" w:rsidP="000957C2">
      <w:pPr>
        <w:spacing w:after="160" w:line="259" w:lineRule="auto"/>
        <w:rPr>
          <w:rFonts w:ascii="Times New Roman" w:eastAsia="MS Gothic" w:hAnsi="Times New Roman" w:cs="Times New Roman"/>
        </w:rPr>
      </w:pPr>
    </w:p>
    <w:p w:rsidR="000957C2" w:rsidRDefault="000957C2" w:rsidP="000957C2">
      <w:pPr>
        <w:spacing w:after="160" w:line="259" w:lineRule="auto"/>
        <w:rPr>
          <w:rFonts w:ascii="Times New Roman" w:eastAsia="MS Gothic" w:hAnsi="Times New Roman" w:cs="Times New Roman"/>
        </w:rPr>
      </w:pPr>
    </w:p>
    <w:p w:rsidR="000957C2" w:rsidRDefault="000957C2" w:rsidP="000957C2">
      <w:pPr>
        <w:spacing w:after="160" w:line="259" w:lineRule="auto"/>
        <w:rPr>
          <w:rFonts w:ascii="Times New Roman" w:eastAsia="MS Gothic" w:hAnsi="Times New Roman" w:cs="Times New Roman"/>
        </w:rPr>
      </w:pPr>
    </w:p>
    <w:p w:rsidR="000957C2" w:rsidRDefault="000957C2" w:rsidP="000957C2">
      <w:pPr>
        <w:spacing w:after="160" w:line="259" w:lineRule="auto"/>
        <w:rPr>
          <w:rFonts w:ascii="Times New Roman" w:eastAsia="MS Gothic" w:hAnsi="Times New Roman" w:cs="Times New Roman"/>
        </w:rPr>
      </w:pPr>
    </w:p>
    <w:p w:rsidR="000957C2" w:rsidRPr="00677EFF" w:rsidRDefault="000957C2" w:rsidP="000957C2">
      <w:pPr>
        <w:spacing w:after="160" w:line="259" w:lineRule="auto"/>
        <w:rPr>
          <w:rFonts w:ascii="Times New Roman" w:eastAsia="MS Gothic" w:hAnsi="Times New Roman" w:cs="Times New Roman"/>
        </w:rPr>
      </w:pPr>
      <w:r w:rsidRPr="00677EFF">
        <w:rPr>
          <w:rFonts w:ascii="Times New Roman" w:eastAsia="MS Gothic" w:hAnsi="Times New Roman" w:cs="Times New Roman"/>
        </w:rPr>
        <w:t xml:space="preserve">Figure S.1. </w:t>
      </w:r>
      <w:r w:rsidRPr="00677EFF">
        <w:rPr>
          <w:rFonts w:ascii="Times New Roman" w:eastAsia="MS Gothic" w:hAnsi="Times New Roman" w:cs="Times New Roman"/>
          <w:i/>
        </w:rPr>
        <w:t xml:space="preserve">Stress is associated with increased smoking for African American young adults.  Early supportive parenting has little effect among those with low levels of young adult stress, but more among those with higher stress, and particularly for those with low </w:t>
      </w:r>
      <w:proofErr w:type="spellStart"/>
      <w:r w:rsidRPr="00677EFF">
        <w:rPr>
          <w:rFonts w:ascii="Times New Roman" w:eastAsia="MS Gothic" w:hAnsi="Times New Roman" w:cs="Times New Roman"/>
          <w:i/>
        </w:rPr>
        <w:t>TNFm</w:t>
      </w:r>
      <w:proofErr w:type="spellEnd"/>
      <w:r w:rsidRPr="00677EFF">
        <w:rPr>
          <w:rFonts w:ascii="Times New Roman" w:eastAsia="MS Gothic" w:hAnsi="Times New Roman" w:cs="Times New Roman"/>
          <w:i/>
        </w:rPr>
        <w:t xml:space="preserve"> </w:t>
      </w:r>
    </w:p>
    <w:p w:rsidR="00D848BE" w:rsidRDefault="000957C2">
      <w:r w:rsidRPr="00677EFF">
        <w:rPr>
          <w:rFonts w:ascii="Times New Roman" w:hAnsi="Times New Roman" w:cs="Times New Roman"/>
          <w:noProof/>
          <w:lang w:eastAsia="en-US"/>
        </w:rPr>
        <w:drawing>
          <wp:inline distT="0" distB="0" distL="0" distR="0" wp14:anchorId="3C1A618F" wp14:editId="5B1D8BAE">
            <wp:extent cx="5486400" cy="6390640"/>
            <wp:effectExtent l="0" t="0" r="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sectPr w:rsidR="00D848BE" w:rsidSect="00D848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MS Gothic">
    <w:altName w:val="ＭＳ ゴシック"/>
    <w:charset w:val="80"/>
    <w:family w:val="modern"/>
    <w:pitch w:val="fixed"/>
    <w:sig w:usb0="E00002FF" w:usb1="6AC7FDFB" w:usb2="00000012" w:usb3="00000000" w:csb0="0002009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C2"/>
    <w:rsid w:val="000957C2"/>
    <w:rsid w:val="004829F2"/>
    <w:rsid w:val="00D8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90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C2"/>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7C2"/>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C2"/>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7C2"/>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E:\Beach11\01-04-2016\graph\check.xls"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0114866024522"/>
          <c:y val="0.122447017652205"/>
          <c:w val="0.732394995800606"/>
          <c:h val="0.625993721373064"/>
        </c:manualLayout>
      </c:layout>
      <c:lineChart>
        <c:grouping val="standard"/>
        <c:varyColors val="0"/>
        <c:ser>
          <c:idx val="0"/>
          <c:order val="0"/>
          <c:tx>
            <c:strRef>
              <c:f>'2 way interactions'!$B$34</c:f>
              <c:strCache>
                <c:ptCount val="1"/>
                <c:pt idx="0">
                  <c:v>High stress (+1 SD), High TNFm (+1 SD)</c:v>
                </c:pt>
              </c:strCache>
            </c:strRef>
          </c:tx>
          <c:spPr>
            <a:ln w="12700">
              <a:solidFill>
                <a:srgbClr val="000000"/>
              </a:solidFill>
              <a:prstDash val="sysDot"/>
            </a:ln>
          </c:spPr>
          <c:marker>
            <c:symbol val="none"/>
          </c:marker>
          <c:cat>
            <c:strRef>
              <c:f>'2 way interactions'!$F$32:$G$32</c:f>
              <c:strCache>
                <c:ptCount val="2"/>
                <c:pt idx="0">
                  <c:v>Low (-1 SD)</c:v>
                </c:pt>
                <c:pt idx="1">
                  <c:v>High (+1 SD)</c:v>
                </c:pt>
              </c:strCache>
            </c:strRef>
          </c:cat>
          <c:val>
            <c:numRef>
              <c:f>'2 way interactions'!$F$34:$G$34</c:f>
              <c:numCache>
                <c:formatCode>General</c:formatCode>
                <c:ptCount val="2"/>
                <c:pt idx="0">
                  <c:v>0.901721305037266</c:v>
                </c:pt>
                <c:pt idx="1">
                  <c:v>0.541889766471369</c:v>
                </c:pt>
              </c:numCache>
            </c:numRef>
          </c:val>
          <c:smooth val="1"/>
        </c:ser>
        <c:ser>
          <c:idx val="1"/>
          <c:order val="1"/>
          <c:tx>
            <c:strRef>
              <c:f>'2 way interactions'!$B$35</c:f>
              <c:strCache>
                <c:ptCount val="1"/>
                <c:pt idx="0">
                  <c:v>High stress (+1 SD), Low TNFm (-1 SD)</c:v>
                </c:pt>
              </c:strCache>
            </c:strRef>
          </c:tx>
          <c:spPr>
            <a:ln w="19050">
              <a:solidFill>
                <a:srgbClr val="000000"/>
              </a:solidFill>
              <a:prstDash val="solid"/>
            </a:ln>
          </c:spPr>
          <c:marker>
            <c:symbol val="none"/>
          </c:marker>
          <c:cat>
            <c:strRef>
              <c:f>'2 way interactions'!$F$32:$G$32</c:f>
              <c:strCache>
                <c:ptCount val="2"/>
                <c:pt idx="0">
                  <c:v>Low (-1 SD)</c:v>
                </c:pt>
                <c:pt idx="1">
                  <c:v>High (+1 SD)</c:v>
                </c:pt>
              </c:strCache>
            </c:strRef>
          </c:cat>
          <c:val>
            <c:numRef>
              <c:f>'2 way interactions'!$F$35:$G$35</c:f>
              <c:numCache>
                <c:formatCode>General</c:formatCode>
                <c:ptCount val="2"/>
                <c:pt idx="0">
                  <c:v>2.590071337784452</c:v>
                </c:pt>
                <c:pt idx="1">
                  <c:v>1.556504370625021</c:v>
                </c:pt>
              </c:numCache>
            </c:numRef>
          </c:val>
          <c:smooth val="1"/>
        </c:ser>
        <c:ser>
          <c:idx val="2"/>
          <c:order val="2"/>
          <c:tx>
            <c:strRef>
              <c:f>'2 way interactions'!$B$36</c:f>
              <c:strCache>
                <c:ptCount val="1"/>
                <c:pt idx="0">
                  <c:v>Low stress (-1 SD), High TNFm (+1 SD)</c:v>
                </c:pt>
              </c:strCache>
            </c:strRef>
          </c:tx>
          <c:spPr>
            <a:ln w="12700">
              <a:solidFill>
                <a:srgbClr val="000000"/>
              </a:solidFill>
              <a:prstDash val="dash"/>
            </a:ln>
          </c:spPr>
          <c:marker>
            <c:symbol val="none"/>
          </c:marker>
          <c:cat>
            <c:strRef>
              <c:f>'2 way interactions'!$F$32:$G$32</c:f>
              <c:strCache>
                <c:ptCount val="2"/>
                <c:pt idx="0">
                  <c:v>Low (-1 SD)</c:v>
                </c:pt>
                <c:pt idx="1">
                  <c:v>High (+1 SD)</c:v>
                </c:pt>
              </c:strCache>
            </c:strRef>
          </c:cat>
          <c:val>
            <c:numRef>
              <c:f>'2 way interactions'!$F$36:$G$36</c:f>
              <c:numCache>
                <c:formatCode>General</c:formatCode>
                <c:ptCount val="2"/>
                <c:pt idx="0">
                  <c:v>0.766652212724898</c:v>
                </c:pt>
                <c:pt idx="1">
                  <c:v>0.802518542056729</c:v>
                </c:pt>
              </c:numCache>
            </c:numRef>
          </c:val>
          <c:smooth val="0"/>
        </c:ser>
        <c:ser>
          <c:idx val="3"/>
          <c:order val="3"/>
          <c:tx>
            <c:strRef>
              <c:f>'2 way interactions'!$B$37</c:f>
              <c:strCache>
                <c:ptCount val="1"/>
                <c:pt idx="0">
                  <c:v>Low stress (-1 SD), Low TNFm (-1 SD)</c:v>
                </c:pt>
              </c:strCache>
            </c:strRef>
          </c:tx>
          <c:spPr>
            <a:ln w="12700">
              <a:solidFill>
                <a:srgbClr val="000000"/>
              </a:solidFill>
              <a:prstDash val="sysDash"/>
            </a:ln>
          </c:spPr>
          <c:marker>
            <c:symbol val="none"/>
          </c:marker>
          <c:cat>
            <c:strRef>
              <c:f>'2 way interactions'!$F$32:$G$32</c:f>
              <c:strCache>
                <c:ptCount val="2"/>
                <c:pt idx="0">
                  <c:v>Low (-1 SD)</c:v>
                </c:pt>
                <c:pt idx="1">
                  <c:v>High (+1 SD)</c:v>
                </c:pt>
              </c:strCache>
            </c:strRef>
          </c:cat>
          <c:val>
            <c:numRef>
              <c:f>'2 way interactions'!$F$37:$G$37</c:f>
              <c:numCache>
                <c:formatCode>General</c:formatCode>
                <c:ptCount val="2"/>
                <c:pt idx="0">
                  <c:v>0.887814531366491</c:v>
                </c:pt>
                <c:pt idx="1">
                  <c:v>0.929349203593418</c:v>
                </c:pt>
              </c:numCache>
            </c:numRef>
          </c:val>
          <c:smooth val="0"/>
        </c:ser>
        <c:dLbls>
          <c:showLegendKey val="0"/>
          <c:showVal val="0"/>
          <c:showCatName val="0"/>
          <c:showSerName val="0"/>
          <c:showPercent val="0"/>
          <c:showBubbleSize val="0"/>
        </c:dLbls>
        <c:marker val="1"/>
        <c:smooth val="0"/>
        <c:axId val="369462840"/>
        <c:axId val="879662792"/>
      </c:lineChart>
      <c:catAx>
        <c:axId val="369462840"/>
        <c:scaling>
          <c:orientation val="minMax"/>
        </c:scaling>
        <c:delete val="0"/>
        <c:axPos val="b"/>
        <c:title>
          <c:tx>
            <c:rich>
              <a:bodyPr/>
              <a:lstStyle/>
              <a:p>
                <a:pPr>
                  <a:defRPr sz="1400" b="1" i="0" u="none" strike="noStrike" baseline="0">
                    <a:solidFill>
                      <a:srgbClr val="000000"/>
                    </a:solidFill>
                    <a:latin typeface="+mn-lt"/>
                    <a:ea typeface="Times New Roman"/>
                    <a:cs typeface="Times New Roman"/>
                  </a:defRPr>
                </a:pPr>
                <a:r>
                  <a:rPr lang="en-US" sz="1400">
                    <a:latin typeface="+mn-lt"/>
                  </a:rPr>
                  <a:t>Supportive</a:t>
                </a:r>
                <a:r>
                  <a:rPr lang="en-US" sz="1400" baseline="0">
                    <a:latin typeface="+mn-lt"/>
                  </a:rPr>
                  <a:t> Parenting</a:t>
                </a:r>
                <a:endParaRPr lang="en-US" sz="1400">
                  <a:latin typeface="+mn-lt"/>
                </a:endParaRPr>
              </a:p>
            </c:rich>
          </c:tx>
          <c:layout>
            <c:manualLayout>
              <c:xMode val="edge"/>
              <c:yMode val="edge"/>
              <c:x val="0.427325555597416"/>
              <c:y val="0.810671195512326"/>
            </c:manualLayout>
          </c:layout>
          <c:overlay val="0"/>
          <c:spPr>
            <a:noFill/>
            <a:ln w="25400">
              <a:noFill/>
            </a:ln>
          </c:spPr>
        </c:title>
        <c:numFmt formatCode="General" sourceLinked="1"/>
        <c:majorTickMark val="none"/>
        <c:min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Times New Roman"/>
                <a:cs typeface="Times New Roman"/>
              </a:defRPr>
            </a:pPr>
            <a:endParaRPr lang="en-US"/>
          </a:p>
        </c:txPr>
        <c:crossAx val="879662792"/>
        <c:crosses val="autoZero"/>
        <c:auto val="1"/>
        <c:lblAlgn val="ctr"/>
        <c:lblOffset val="100"/>
        <c:tickLblSkip val="1"/>
        <c:tickMarkSkip val="1"/>
        <c:noMultiLvlLbl val="0"/>
      </c:catAx>
      <c:valAx>
        <c:axId val="879662792"/>
        <c:scaling>
          <c:orientation val="minMax"/>
          <c:max val="3.0"/>
        </c:scaling>
        <c:delete val="0"/>
        <c:axPos val="l"/>
        <c:majorGridlines>
          <c:spPr>
            <a:ln w="3175">
              <a:solidFill>
                <a:schemeClr val="bg1"/>
              </a:solidFill>
              <a:prstDash val="solid"/>
            </a:ln>
          </c:spPr>
        </c:majorGridlines>
        <c:title>
          <c:tx>
            <c:rich>
              <a:bodyPr/>
              <a:lstStyle/>
              <a:p>
                <a:pPr>
                  <a:defRPr sz="1400" b="1" i="0" u="none" strike="noStrike" baseline="0">
                    <a:solidFill>
                      <a:srgbClr val="000000"/>
                    </a:solidFill>
                    <a:latin typeface="+mn-lt"/>
                    <a:ea typeface="Times New Roman"/>
                    <a:cs typeface="Times New Roman"/>
                  </a:defRPr>
                </a:pPr>
                <a:r>
                  <a:rPr lang="en-US" sz="1400">
                    <a:latin typeface="+mn-lt"/>
                  </a:rPr>
                  <a:t>Predicted Value of Cigarette Consumption</a:t>
                </a:r>
                <a:r>
                  <a:rPr lang="en-US" sz="1400" baseline="0">
                    <a:latin typeface="+mn-lt"/>
                  </a:rPr>
                  <a:t> </a:t>
                </a:r>
              </a:p>
              <a:p>
                <a:pPr>
                  <a:defRPr sz="1400" b="1" i="0" u="none" strike="noStrike" baseline="0">
                    <a:solidFill>
                      <a:srgbClr val="000000"/>
                    </a:solidFill>
                    <a:latin typeface="+mn-lt"/>
                    <a:ea typeface="Times New Roman"/>
                    <a:cs typeface="Times New Roman"/>
                  </a:defRPr>
                </a:pPr>
                <a:r>
                  <a:rPr lang="en-US" sz="1400" baseline="0">
                    <a:latin typeface="+mn-lt"/>
                  </a:rPr>
                  <a:t>across Young Adulthood</a:t>
                </a:r>
                <a:endParaRPr lang="en-US" sz="1400">
                  <a:latin typeface="+mn-lt"/>
                </a:endParaRPr>
              </a:p>
            </c:rich>
          </c:tx>
          <c:layout>
            <c:manualLayout>
              <c:xMode val="edge"/>
              <c:yMode val="edge"/>
              <c:x val="0.0540431249921511"/>
              <c:y val="0.1011402398229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mn-lt"/>
                <a:ea typeface="Times New Roman"/>
                <a:cs typeface="Times New Roman"/>
              </a:defRPr>
            </a:pPr>
            <a:endParaRPr lang="en-US"/>
          </a:p>
        </c:txPr>
        <c:crossAx val="369462840"/>
        <c:crosses val="autoZero"/>
        <c:crossBetween val="between"/>
      </c:valAx>
      <c:spPr>
        <a:solidFill>
          <a:srgbClr val="FFFFFF"/>
        </a:solidFill>
        <a:ln w="12700">
          <a:solidFill>
            <a:srgbClr val="FFFFFF"/>
          </a:solidFill>
          <a:prstDash val="solid"/>
        </a:ln>
      </c:spPr>
    </c:plotArea>
    <c:legend>
      <c:legendPos val="r"/>
      <c:layout>
        <c:manualLayout>
          <c:xMode val="edge"/>
          <c:yMode val="edge"/>
          <c:x val="0.154264903489935"/>
          <c:y val="0.842708831738995"/>
          <c:w val="0.831217009332167"/>
          <c:h val="0.12807920854208"/>
        </c:manualLayout>
      </c:layout>
      <c:overlay val="0"/>
      <c:spPr>
        <a:solidFill>
          <a:srgbClr val="FFFFFF"/>
        </a:solidFill>
        <a:ln w="25400">
          <a:noFill/>
        </a:ln>
      </c:spPr>
      <c:txPr>
        <a:bodyPr/>
        <a:lstStyle/>
        <a:p>
          <a:pPr>
            <a:defRPr sz="1000" b="0" i="0" u="none" strike="noStrike" baseline="0">
              <a:solidFill>
                <a:srgbClr val="000000"/>
              </a:solidFill>
              <a:latin typeface="+mn-lt"/>
              <a:ea typeface="Times New Roman"/>
              <a:cs typeface="Times New Roman"/>
            </a:defRPr>
          </a:pPr>
          <a:endParaRPr lang="en-US"/>
        </a:p>
      </c:txPr>
    </c:legend>
    <c:plotVisOnly val="1"/>
    <c:dispBlanksAs val="gap"/>
    <c:showDLblsOverMax val="0"/>
  </c:chart>
  <c:spPr>
    <a:solidFill>
      <a:srgbClr val="FFFFFF"/>
    </a:solidFill>
    <a:ln w="9525">
      <a:noFill/>
    </a:ln>
  </c:spPr>
  <c:txPr>
    <a:bodyPr/>
    <a:lstStyle/>
    <a:p>
      <a:pPr>
        <a:defRPr sz="92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5132" name="Line 12"/>
        <cdr:cNvSpPr>
          <a:spLocks xmlns:a="http://schemas.openxmlformats.org/drawingml/2006/main" noChangeShapeType="1"/>
        </cdr:cNvSpPr>
      </cdr:nvSpPr>
      <cdr:spPr bwMode="auto">
        <a:xfrm xmlns:a="http://schemas.openxmlformats.org/drawingml/2006/main">
          <a:off x="-8982076" y="-258233"/>
          <a:ext cx="0" cy="0"/>
        </a:xfrm>
        <a:prstGeom xmlns:a="http://schemas.openxmlformats.org/drawingml/2006/main" prst="line">
          <a:avLst/>
        </a:prstGeom>
        <a:noFill xmlns:a="http://schemas.openxmlformats.org/drawingml/2006/main"/>
        <a:ln xmlns:a="http://schemas.openxmlformats.org/drawingml/2006/main" w="9525">
          <a:solidFill>
            <a:srgbClr val="000000"/>
          </a:solidFill>
          <a:round/>
          <a:headEnd type="triangle" w="med" len="med"/>
          <a:tailEnd type="triangle" w="med" len="med"/>
        </a:ln>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998</Words>
  <Characters>5694</Characters>
  <Application>Microsoft Macintosh Word</Application>
  <DocSecurity>0</DocSecurity>
  <Lines>47</Lines>
  <Paragraphs>13</Paragraphs>
  <ScaleCrop>false</ScaleCrop>
  <Company>BriggsShearer Editorial Services</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BriggsShearer</dc:creator>
  <cp:keywords/>
  <dc:description/>
  <cp:lastModifiedBy>Nancy BriggsShearer</cp:lastModifiedBy>
  <cp:revision>1</cp:revision>
  <dcterms:created xsi:type="dcterms:W3CDTF">2016-09-26T17:18:00Z</dcterms:created>
  <dcterms:modified xsi:type="dcterms:W3CDTF">2016-09-26T17:20:00Z</dcterms:modified>
</cp:coreProperties>
</file>