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28" w:rsidRPr="00247A38" w:rsidRDefault="006F5628" w:rsidP="00247A38">
      <w:pPr>
        <w:jc w:val="center"/>
        <w:rPr>
          <w:b/>
        </w:rPr>
      </w:pPr>
      <w:r w:rsidRPr="00247A38">
        <w:rPr>
          <w:b/>
        </w:rPr>
        <w:t>Supplementary Material</w:t>
      </w:r>
    </w:p>
    <w:p w:rsidR="006F5628" w:rsidRDefault="006F5628" w:rsidP="008A4D8B"/>
    <w:p w:rsidR="006F5628" w:rsidRPr="00E52105" w:rsidRDefault="006F5628" w:rsidP="008A4D8B">
      <w:pPr>
        <w:rPr>
          <w:b/>
        </w:rPr>
      </w:pPr>
      <w:r w:rsidRPr="00E52105">
        <w:rPr>
          <w:b/>
        </w:rPr>
        <w:t xml:space="preserve">Figure S.1. Correspondence of Pyrosequencing and Array Quantification of </w:t>
      </w:r>
      <w:r w:rsidRPr="00E52105">
        <w:rPr>
          <w:b/>
          <w:i/>
        </w:rPr>
        <w:t>NR3C1</w:t>
      </w:r>
    </w:p>
    <w:p w:rsidR="006F5628" w:rsidRDefault="006F5628" w:rsidP="00E52105">
      <w:pPr>
        <w:outlineLvl w:val="0"/>
        <w:rPr>
          <w:color w:val="222222"/>
        </w:rPr>
      </w:pPr>
    </w:p>
    <w:p w:rsidR="006F5628" w:rsidRPr="0063033B" w:rsidRDefault="006F5628" w:rsidP="00E52105">
      <w:pPr>
        <w:outlineLvl w:val="0"/>
        <w:rPr>
          <w:color w:val="222222"/>
        </w:rPr>
      </w:pPr>
      <w:r>
        <w:rPr>
          <w:color w:val="222222"/>
        </w:rPr>
        <w:t xml:space="preserve">We observed adequate correspondence between values estimated through pyrosequencing and the 450k array, with </w:t>
      </w:r>
      <w:r w:rsidRPr="00E52105">
        <w:rPr>
          <w:color w:val="222222"/>
        </w:rPr>
        <w:t>minimal differences between measurements for each of the three overlapping sites. Given the low variability of the promoter region, and many sites quantified at 0% methylation, the correlations between methods were small. For CpG 3 (</w:t>
      </w:r>
      <w:r w:rsidRPr="00E52105">
        <w:rPr>
          <w:color w:val="000000"/>
        </w:rPr>
        <w:t>cg04111177</w:t>
      </w:r>
      <w:r w:rsidRPr="00E52105">
        <w:rPr>
          <w:color w:val="222222"/>
        </w:rPr>
        <w:t xml:space="preserve">), </w:t>
      </w:r>
      <w:r w:rsidRPr="00E52105">
        <w:t>the correlation was between pyrosequencing and the array values was significant (</w:t>
      </w:r>
      <w:r w:rsidRPr="00E52105">
        <w:rPr>
          <w:i/>
        </w:rPr>
        <w:t>r</w:t>
      </w:r>
      <w:r w:rsidRPr="00E52105">
        <w:t xml:space="preserve"> = 0.26, </w:t>
      </w:r>
      <w:r w:rsidRPr="00E52105">
        <w:rPr>
          <w:i/>
        </w:rPr>
        <w:t>p</w:t>
      </w:r>
      <w:r w:rsidRPr="00E52105">
        <w:t xml:space="preserve"> &lt; 0.05), but for CpG 6 (</w:t>
      </w:r>
      <w:r w:rsidRPr="00E52105">
        <w:rPr>
          <w:color w:val="000000"/>
        </w:rPr>
        <w:t>cg15910486</w:t>
      </w:r>
      <w:r w:rsidRPr="00E52105">
        <w:t>) and CpG 7 (</w:t>
      </w:r>
      <w:r w:rsidRPr="00E52105">
        <w:rPr>
          <w:color w:val="000000"/>
        </w:rPr>
        <w:t>cg15645634</w:t>
      </w:r>
      <w:r w:rsidRPr="00E52105">
        <w:t>) the correlations were nonsignificant (</w:t>
      </w:r>
      <w:r w:rsidRPr="00E52105">
        <w:rPr>
          <w:i/>
        </w:rPr>
        <w:t>r</w:t>
      </w:r>
      <w:r w:rsidRPr="00E52105">
        <w:t xml:space="preserve"> = 0.19, </w:t>
      </w:r>
      <w:r w:rsidRPr="00E52105">
        <w:rPr>
          <w:i/>
        </w:rPr>
        <w:t>p</w:t>
      </w:r>
      <w:r w:rsidRPr="00E52105">
        <w:t xml:space="preserve"> = 0.12; </w:t>
      </w:r>
      <w:r w:rsidRPr="00E52105">
        <w:rPr>
          <w:i/>
        </w:rPr>
        <w:t xml:space="preserve">r </w:t>
      </w:r>
      <w:r w:rsidRPr="00E52105">
        <w:t xml:space="preserve">= -0.09, </w:t>
      </w:r>
      <w:r w:rsidRPr="00E52105">
        <w:rPr>
          <w:i/>
        </w:rPr>
        <w:t>p</w:t>
      </w:r>
      <w:r w:rsidRPr="00E52105">
        <w:t xml:space="preserve"> = 0.45).</w:t>
      </w:r>
      <w:r>
        <w:t xml:space="preserve"> </w:t>
      </w:r>
    </w:p>
    <w:p w:rsidR="006F5628" w:rsidRDefault="006F5628" w:rsidP="00E52105"/>
    <w:p w:rsidR="006F5628" w:rsidRDefault="006F5628" w:rsidP="00E52105"/>
    <w:p w:rsidR="006F5628" w:rsidRDefault="006F5628" w:rsidP="00E5210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6pt;height:309pt;visibility:visible">
            <v:imagedata r:id="rId4" o:title=""/>
            <v:textbox style="mso-rotate-with-shape:t"/>
          </v:shape>
        </w:pict>
      </w:r>
    </w:p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Default="006F5628" w:rsidP="00ED121C">
      <w:pPr>
        <w:rPr>
          <w:b/>
          <w:color w:val="222222"/>
        </w:rPr>
      </w:pPr>
    </w:p>
    <w:p w:rsidR="006F5628" w:rsidRPr="00E52105" w:rsidRDefault="006F5628" w:rsidP="00ED121C">
      <w:pPr>
        <w:rPr>
          <w:b/>
          <w:color w:val="222222"/>
        </w:rPr>
      </w:pPr>
      <w:r>
        <w:rPr>
          <w:b/>
          <w:color w:val="222222"/>
        </w:rPr>
        <w:t>Table S.1</w:t>
      </w:r>
      <w:r w:rsidRPr="00E52105">
        <w:rPr>
          <w:b/>
          <w:color w:val="222222"/>
        </w:rPr>
        <w:t>. Results for Models Testing Interactions Between Genotype and Contact and Infant Distress on DNAm</w:t>
      </w:r>
    </w:p>
    <w:p w:rsidR="006F5628" w:rsidRDefault="006F5628" w:rsidP="00ED121C">
      <w:pPr>
        <w:rPr>
          <w:color w:val="222222"/>
        </w:rPr>
      </w:pPr>
    </w:p>
    <w:tbl>
      <w:tblPr>
        <w:tblW w:w="8620" w:type="dxa"/>
        <w:tblLook w:val="00A0"/>
      </w:tblPr>
      <w:tblGrid>
        <w:gridCol w:w="3420"/>
        <w:gridCol w:w="1300"/>
        <w:gridCol w:w="1300"/>
        <w:gridCol w:w="1300"/>
        <w:gridCol w:w="1300"/>
      </w:tblGrid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Pr="00DF3CEC" w:rsidRDefault="006F5628">
            <w:pPr>
              <w:rPr>
                <w:b/>
                <w:bCs/>
                <w:color w:val="000000"/>
              </w:rPr>
            </w:pPr>
            <w:r w:rsidRPr="00DF3CEC">
              <w:rPr>
                <w:b/>
                <w:bCs/>
                <w:color w:val="000000"/>
              </w:rPr>
              <w:t>BDNF cg07238832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Pr="00DF3CEC" w:rsidRDefault="006F5628">
            <w:pPr>
              <w:jc w:val="center"/>
              <w:rPr>
                <w:color w:val="000000"/>
              </w:rPr>
            </w:pPr>
            <w:r w:rsidRPr="00DF3CEC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Pr="00DF3CEC" w:rsidRDefault="006F5628">
            <w:pPr>
              <w:jc w:val="center"/>
              <w:rPr>
                <w:color w:val="000000"/>
              </w:rPr>
            </w:pPr>
            <w:r w:rsidRPr="00DF3CEC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Pr="00DF3CEC" w:rsidRDefault="006F5628">
            <w:pPr>
              <w:jc w:val="center"/>
              <w:rPr>
                <w:color w:val="000000"/>
              </w:rPr>
            </w:pPr>
            <w:r w:rsidRPr="00DF3CEC">
              <w:rPr>
                <w:color w:val="000000"/>
              </w:rPr>
              <w:t>t value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Pr="00DF3CEC" w:rsidRDefault="006F5628">
            <w:pPr>
              <w:jc w:val="center"/>
              <w:rPr>
                <w:color w:val="000000"/>
              </w:rPr>
            </w:pPr>
            <w:r w:rsidRPr="00DF3CEC">
              <w:rPr>
                <w:color w:val="000000"/>
              </w:rPr>
              <w:t>Pr(&gt;|t|)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0.59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0.89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BDNF cg10635145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OXTR cg17036624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Contact*OXTR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sz w:val="20"/>
              </w:rPr>
            </w:pP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BDNF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0.62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Distress*OXTR A carrier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carrier*Sex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</w:tr>
      <w:tr w:rsidR="006F5628" w:rsidRPr="00195F93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OXTR A carrier*Age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0.79</w:t>
            </w:r>
          </w:p>
        </w:tc>
      </w:tr>
    </w:tbl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bCs/>
          <w:shd w:val="clear" w:color="auto" w:fill="FFFFFF"/>
        </w:rPr>
      </w:pPr>
    </w:p>
    <w:p w:rsidR="006F5628" w:rsidRPr="00E52105" w:rsidRDefault="006F5628" w:rsidP="00ED121C">
      <w:pPr>
        <w:rPr>
          <w:b/>
          <w:bCs/>
          <w:shd w:val="clear" w:color="auto" w:fill="FFFFFF"/>
        </w:rPr>
      </w:pPr>
      <w:r>
        <w:rPr>
          <w:b/>
          <w:color w:val="222222"/>
        </w:rPr>
        <w:t>Table S.2.</w:t>
      </w:r>
      <w:r w:rsidRPr="00E52105">
        <w:rPr>
          <w:b/>
          <w:color w:val="222222"/>
        </w:rPr>
        <w:t xml:space="preserve"> Details on Individual CpGs Found within DMRs </w:t>
      </w:r>
    </w:p>
    <w:tbl>
      <w:tblPr>
        <w:tblW w:w="11724" w:type="dxa"/>
        <w:tblLook w:val="00A0"/>
      </w:tblPr>
      <w:tblGrid>
        <w:gridCol w:w="1403"/>
        <w:gridCol w:w="1241"/>
        <w:gridCol w:w="1277"/>
        <w:gridCol w:w="1287"/>
        <w:gridCol w:w="1202"/>
        <w:gridCol w:w="1510"/>
        <w:gridCol w:w="1271"/>
        <w:gridCol w:w="1287"/>
        <w:gridCol w:w="1246"/>
      </w:tblGrid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CpG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False Discovery 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Pr(&gt;|t|)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Chromosome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Difference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Location Relative to TSS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cg05655707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3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cg06588556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18477299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cg06888460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18477303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cg07915343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8E-13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18477680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cg15463284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4E-13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cg18888461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7E-13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cg23797887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18477753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cg24440827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18478135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cg26740318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LDHAL6A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18477153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cg06080014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84822990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cg06927361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84823224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cg00588198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cg02157626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29648736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cg03198009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cg03449857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cg04071440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cg07134666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cg08022281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29648345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cg08041448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29648901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cg10648573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29648348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cg11383134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cg11747594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cg12644888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cg13835168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29648756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cg15570656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7E-09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29648628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cg15708526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cg16885113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cg19636627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29649084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cg20228636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cg22494932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cg24100841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29649024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cg25699073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29648381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cg25978138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8E-08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29648161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cg01341801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HLA-DRB5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32489203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-0.1352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cg05938207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HLA-DRB5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32489750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cg08188015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HLA-DRB5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3E-05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32489553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cg13972202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HLA-DRB5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2E-04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32489801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cg18816397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HLA-DRB5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3E-05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32489555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cg05779406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5E-06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cg07092213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9E-05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1199455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cg12950816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cg15112475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1E-05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ICshore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cg16145915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6E-06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  <w:tr w:rsidR="006F5628" w:rsidRPr="00195F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cg18765753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Pr="00BD186D" w:rsidRDefault="006F5628">
            <w:pPr>
              <w:jc w:val="center"/>
              <w:rPr>
                <w:i/>
                <w:color w:val="000000"/>
              </w:rPr>
            </w:pPr>
            <w:r w:rsidRPr="00BD186D">
              <w:rPr>
                <w:i/>
                <w:color w:val="000000"/>
              </w:rPr>
              <w:t>ZFAND2A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4E-06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1198926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</w:tr>
    </w:tbl>
    <w:p w:rsidR="006F5628" w:rsidRDefault="006F5628" w:rsidP="00ED121C">
      <w:pPr>
        <w:rPr>
          <w:color w:val="222222"/>
        </w:rPr>
      </w:pPr>
    </w:p>
    <w:p w:rsidR="006F5628" w:rsidRDefault="006F5628" w:rsidP="00ED121C">
      <w:pPr>
        <w:rPr>
          <w:color w:val="222222"/>
        </w:rPr>
      </w:pPr>
      <w:r w:rsidRPr="00BD186D">
        <w:rPr>
          <w:i/>
          <w:color w:val="222222"/>
        </w:rPr>
        <w:t>Note.</w:t>
      </w:r>
      <w:r>
        <w:rPr>
          <w:color w:val="222222"/>
        </w:rPr>
        <w:t xml:space="preserve"> Difference = difference between high and low contact groups.</w:t>
      </w:r>
    </w:p>
    <w:p w:rsidR="006F5628" w:rsidRDefault="006F5628" w:rsidP="00ED121C">
      <w:pPr>
        <w:rPr>
          <w:color w:val="222222"/>
        </w:rPr>
      </w:pPr>
    </w:p>
    <w:p w:rsidR="006F5628" w:rsidRPr="00E52105" w:rsidRDefault="006F5628" w:rsidP="00ED121C">
      <w:pPr>
        <w:rPr>
          <w:b/>
          <w:color w:val="222222"/>
        </w:rPr>
      </w:pPr>
      <w:r w:rsidRPr="00E52105">
        <w:rPr>
          <w:b/>
          <w:color w:val="222222"/>
        </w:rPr>
        <w:t xml:space="preserve">Supplementary Table 3. Results for </w:t>
      </w:r>
      <w:r>
        <w:rPr>
          <w:b/>
          <w:color w:val="222222"/>
        </w:rPr>
        <w:t xml:space="preserve">Main Effects and Interaction </w:t>
      </w:r>
      <w:r w:rsidRPr="00E52105">
        <w:rPr>
          <w:b/>
          <w:color w:val="222222"/>
        </w:rPr>
        <w:t xml:space="preserve">Models Testing Associations Between Contact and </w:t>
      </w:r>
      <w:r>
        <w:rPr>
          <w:b/>
          <w:color w:val="222222"/>
        </w:rPr>
        <w:t>Epigenetic</w:t>
      </w:r>
      <w:bookmarkStart w:id="0" w:name="_GoBack"/>
      <w:bookmarkEnd w:id="0"/>
      <w:r w:rsidRPr="00E52105">
        <w:rPr>
          <w:b/>
          <w:color w:val="222222"/>
        </w:rPr>
        <w:t xml:space="preserve"> Age Deviation.</w:t>
      </w:r>
    </w:p>
    <w:tbl>
      <w:tblPr>
        <w:tblW w:w="7737" w:type="dxa"/>
        <w:tblLook w:val="00A0"/>
      </w:tblPr>
      <w:tblGrid>
        <w:gridCol w:w="2517"/>
        <w:gridCol w:w="1320"/>
        <w:gridCol w:w="1300"/>
        <w:gridCol w:w="1300"/>
        <w:gridCol w:w="1300"/>
      </w:tblGrid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Main Effects Model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t value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Pr(&gt;|t|)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0.78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0.79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0.74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Years Education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</w:tr>
      <w:tr w:rsidR="006F5628" w:rsidRPr="00195F93">
        <w:trPr>
          <w:trHeight w:val="320"/>
        </w:trPr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</w:p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Interaction Model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Years Education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Contact*Distress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Distress*Sex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Contact*Sex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Distress*Race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Contact*Race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Distress*Years Education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</w:tr>
      <w:tr w:rsidR="006F5628" w:rsidRPr="00195F93">
        <w:trPr>
          <w:trHeight w:val="3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5628" w:rsidRDefault="006F5628">
            <w:pPr>
              <w:rPr>
                <w:color w:val="000000"/>
              </w:rPr>
            </w:pPr>
            <w:r>
              <w:rPr>
                <w:color w:val="000000"/>
              </w:rPr>
              <w:t>Contact*Years Education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5628" w:rsidRDefault="006F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</w:tbl>
    <w:p w:rsidR="006F5628" w:rsidRDefault="006F5628" w:rsidP="00ED121C">
      <w:pPr>
        <w:rPr>
          <w:color w:val="222222"/>
        </w:rPr>
      </w:pPr>
    </w:p>
    <w:sectPr w:rsidR="006F5628" w:rsidSect="00BD21F5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F3"/>
    <w:rsid w:val="00024A52"/>
    <w:rsid w:val="00041696"/>
    <w:rsid w:val="000478EC"/>
    <w:rsid w:val="00195F93"/>
    <w:rsid w:val="00247A38"/>
    <w:rsid w:val="003D4049"/>
    <w:rsid w:val="004C73F4"/>
    <w:rsid w:val="00535D4C"/>
    <w:rsid w:val="00552D5C"/>
    <w:rsid w:val="005640C7"/>
    <w:rsid w:val="00572C9D"/>
    <w:rsid w:val="005C48C0"/>
    <w:rsid w:val="0063033B"/>
    <w:rsid w:val="00653AB0"/>
    <w:rsid w:val="0068293F"/>
    <w:rsid w:val="006F5628"/>
    <w:rsid w:val="00706D41"/>
    <w:rsid w:val="007338D0"/>
    <w:rsid w:val="00766CF9"/>
    <w:rsid w:val="00782908"/>
    <w:rsid w:val="007D33F8"/>
    <w:rsid w:val="0089798B"/>
    <w:rsid w:val="008A4D8B"/>
    <w:rsid w:val="008C095C"/>
    <w:rsid w:val="008F7246"/>
    <w:rsid w:val="00966D29"/>
    <w:rsid w:val="00976CA1"/>
    <w:rsid w:val="009C6E8A"/>
    <w:rsid w:val="009D1B4D"/>
    <w:rsid w:val="00A16589"/>
    <w:rsid w:val="00B458CC"/>
    <w:rsid w:val="00B96666"/>
    <w:rsid w:val="00BD186D"/>
    <w:rsid w:val="00BD21F5"/>
    <w:rsid w:val="00BF7AF3"/>
    <w:rsid w:val="00DF3CEC"/>
    <w:rsid w:val="00E36775"/>
    <w:rsid w:val="00E52105"/>
    <w:rsid w:val="00E96B64"/>
    <w:rsid w:val="00EC4EAC"/>
    <w:rsid w:val="00ED121C"/>
    <w:rsid w:val="00FE126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96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829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82908"/>
    <w:rPr>
      <w:rFonts w:ascii="Times New Roman" w:hAnsi="Times New Roman" w:cs="Times New Roman"/>
      <w:b/>
      <w:bCs/>
      <w:sz w:val="27"/>
    </w:rPr>
  </w:style>
  <w:style w:type="character" w:styleId="CommentReference">
    <w:name w:val="annotation reference"/>
    <w:basedOn w:val="DefaultParagraphFont"/>
    <w:uiPriority w:val="99"/>
    <w:semiHidden/>
    <w:rsid w:val="00ED121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ED12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21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12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1C"/>
    <w:rPr>
      <w:rFonts w:ascii="Times New Roman" w:hAnsi="Times New Roman" w:cs="Times New Roman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3D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049"/>
    <w:rPr>
      <w:rFonts w:ascii="Courier New" w:hAnsi="Courier New" w:cs="Courier New"/>
      <w:sz w:val="20"/>
    </w:rPr>
  </w:style>
  <w:style w:type="character" w:customStyle="1" w:styleId="apple-converted-space">
    <w:name w:val="apple-converted-space"/>
    <w:basedOn w:val="DefaultParagraphFont"/>
    <w:uiPriority w:val="99"/>
    <w:rsid w:val="0078290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82908"/>
    <w:rPr>
      <w:rFonts w:cs="Times New Roman"/>
      <w:i/>
      <w:iCs/>
    </w:rPr>
  </w:style>
  <w:style w:type="character" w:customStyle="1" w:styleId="citationref">
    <w:name w:val="citationref"/>
    <w:basedOn w:val="DefaultParagraphFont"/>
    <w:uiPriority w:val="99"/>
    <w:rsid w:val="0078290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82908"/>
    <w:rPr>
      <w:rFonts w:cs="Times New Roman"/>
      <w:color w:val="0000FF"/>
      <w:u w:val="single"/>
    </w:rPr>
  </w:style>
  <w:style w:type="character" w:customStyle="1" w:styleId="internalref">
    <w:name w:val="internalref"/>
    <w:basedOn w:val="DefaultParagraphFont"/>
    <w:uiPriority w:val="99"/>
    <w:rsid w:val="007829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1088</Words>
  <Characters>6206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Sarah Moore</dc:creator>
  <cp:keywords/>
  <cp:lastModifiedBy>Nancy BriggsShearer</cp:lastModifiedBy>
  <cp:revision>3</cp:revision>
  <dcterms:created xsi:type="dcterms:W3CDTF">2017-09-07T15:46:00Z</dcterms:created>
  <dcterms:modified xsi:type="dcterms:W3CDTF">2017-09-07T15:46:00Z</dcterms:modified>
</cp:coreProperties>
</file>