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B4DF" w14:textId="276C2894" w:rsidR="00904A38" w:rsidRDefault="00904A38" w:rsidP="001E407F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Appendix A: Sensitivity Analyses</w:t>
      </w:r>
    </w:p>
    <w:p w14:paraId="1BF10921" w14:textId="6785D16E" w:rsidR="00904A38" w:rsidRDefault="00904A38" w:rsidP="001E407F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In the original BSC work, Boyce and Ellis (2005) hypothesized that approximately 20% of children would display high stress reactivity phenotypes. To replicate Ellis et al. (2005), and to ensure adequate cell sizes in the signal detection analyses, we used a 25% cut off to demarcate high (and low) reactivity. Here we conduct sensitivity analyses to examine the results with a different cut off point: 35%. 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>Following BSC theory, we focused these analyses on high reactivity.</w:t>
      </w:r>
      <w:r w:rsidR="001E407F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 xml:space="preserve">By using a 35% cut off, we are </w:t>
      </w:r>
      <w:r>
        <w:rPr>
          <w:rFonts w:eastAsia="Times New Roman"/>
          <w:bCs/>
          <w:color w:val="000000" w:themeColor="text1"/>
          <w:sz w:val="24"/>
          <w:szCs w:val="24"/>
        </w:rPr>
        <w:t>not so much test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>ing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 xml:space="preserve">here 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for predictors of high reactivity (as per the original theory) 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 xml:space="preserve">as for predictors of reactivity in a range that can be considered somewhat above average. The results shown below, using this 35% cut off, do not </w:t>
      </w:r>
      <w:r w:rsidR="00B523BE">
        <w:rPr>
          <w:rFonts w:eastAsia="Times New Roman"/>
          <w:bCs/>
          <w:color w:val="000000" w:themeColor="text1"/>
          <w:sz w:val="24"/>
          <w:szCs w:val="24"/>
        </w:rPr>
        <w:t xml:space="preserve">generally </w:t>
      </w:r>
      <w:r w:rsidR="00FC4128">
        <w:rPr>
          <w:rFonts w:eastAsia="Times New Roman"/>
          <w:bCs/>
          <w:color w:val="000000" w:themeColor="text1"/>
          <w:sz w:val="24"/>
          <w:szCs w:val="24"/>
        </w:rPr>
        <w:t xml:space="preserve">provide evidence for a U-Shaped curve.  </w:t>
      </w:r>
    </w:p>
    <w:p w14:paraId="4B5AE55B" w14:textId="13C06079" w:rsidR="001174A9" w:rsidRDefault="00F60579" w:rsidP="00531510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High </w:t>
      </w:r>
      <w:r w:rsidR="001174A9" w:rsidRPr="00B46285">
        <w:rPr>
          <w:rFonts w:eastAsia="Times New Roman"/>
          <w:b/>
          <w:bCs/>
          <w:color w:val="000000" w:themeColor="text1"/>
          <w:sz w:val="24"/>
          <w:szCs w:val="24"/>
        </w:rPr>
        <w:t xml:space="preserve">HPA </w:t>
      </w:r>
      <w:r w:rsidR="001174A9" w:rsidRPr="00F36D4B">
        <w:rPr>
          <w:rFonts w:eastAsia="Times New Roman"/>
          <w:b/>
          <w:bCs/>
          <w:color w:val="000000" w:themeColor="text1"/>
          <w:sz w:val="24"/>
          <w:szCs w:val="24"/>
        </w:rPr>
        <w:t>r</w:t>
      </w:r>
      <w:r w:rsidR="001174A9" w:rsidRPr="00B46285">
        <w:rPr>
          <w:rFonts w:eastAsia="Times New Roman"/>
          <w:b/>
          <w:bCs/>
          <w:color w:val="000000" w:themeColor="text1"/>
          <w:sz w:val="24"/>
          <w:szCs w:val="24"/>
        </w:rPr>
        <w:t>eactivity</w:t>
      </w:r>
      <w:r w:rsidR="001174A9" w:rsidRPr="00F36D4B">
        <w:rPr>
          <w:rFonts w:eastAsia="Times New Roman"/>
          <w:bCs/>
          <w:color w:val="000000" w:themeColor="text1"/>
          <w:sz w:val="24"/>
          <w:szCs w:val="24"/>
        </w:rPr>
        <w:t xml:space="preserve">. Figure 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>6</w:t>
      </w:r>
      <w:r w:rsidR="001174A9" w:rsidRPr="00F36D4B">
        <w:rPr>
          <w:rFonts w:eastAsia="Times New Roman"/>
          <w:bCs/>
          <w:color w:val="000000" w:themeColor="text1"/>
          <w:sz w:val="24"/>
          <w:szCs w:val="24"/>
        </w:rPr>
        <w:t xml:space="preserve"> demonstrates the results obtained from the signal detection</w:t>
      </w:r>
      <w:r w:rsidR="001174A9" w:rsidRPr="00FA3584">
        <w:rPr>
          <w:rFonts w:eastAsia="Times New Roman"/>
          <w:bCs/>
          <w:color w:val="000000" w:themeColor="text1"/>
          <w:sz w:val="24"/>
          <w:szCs w:val="24"/>
        </w:rPr>
        <w:t xml:space="preserve"> analysis for prediction of high HPA reactivity (i.e., </w:t>
      </w:r>
      <w:r w:rsidR="001174A9" w:rsidRPr="00B308F4">
        <w:rPr>
          <w:rFonts w:eastAsia="Times New Roman"/>
          <w:bCs/>
          <w:color w:val="000000" w:themeColor="text1"/>
          <w:sz w:val="24"/>
          <w:szCs w:val="24"/>
        </w:rPr>
        <w:t xml:space="preserve">the 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>35%</w:t>
      </w:r>
      <w:r w:rsidR="001174A9" w:rsidRPr="00B63CF7">
        <w:rPr>
          <w:rFonts w:eastAsia="Times New Roman"/>
          <w:bCs/>
          <w:color w:val="000000" w:themeColor="text1"/>
          <w:sz w:val="24"/>
          <w:szCs w:val="24"/>
        </w:rPr>
        <w:t xml:space="preserve"> of sample </w:t>
      </w:r>
      <w:r w:rsidR="001174A9" w:rsidRPr="00FA3584">
        <w:rPr>
          <w:rFonts w:eastAsia="Times New Roman"/>
          <w:bCs/>
          <w:color w:val="000000" w:themeColor="text1"/>
          <w:sz w:val="24"/>
          <w:szCs w:val="24"/>
        </w:rPr>
        <w:t>displaying highest cortisol concentration</w:t>
      </w:r>
      <w:r w:rsidR="001174A9" w:rsidRPr="00B308F4">
        <w:rPr>
          <w:rFonts w:eastAsia="Times New Roman"/>
          <w:bCs/>
          <w:color w:val="000000" w:themeColor="text1"/>
          <w:sz w:val="24"/>
          <w:szCs w:val="24"/>
        </w:rPr>
        <w:t>s</w:t>
      </w:r>
      <w:r w:rsidR="001174A9" w:rsidRPr="00B63CF7">
        <w:rPr>
          <w:rFonts w:eastAsia="Times New Roman"/>
          <w:bCs/>
          <w:color w:val="000000" w:themeColor="text1"/>
          <w:sz w:val="24"/>
          <w:szCs w:val="24"/>
        </w:rPr>
        <w:t xml:space="preserve">, based on </w:t>
      </w:r>
      <w:r w:rsidR="001174A9" w:rsidRPr="00B308F4">
        <w:rPr>
          <w:rFonts w:eastAsia="Times New Roman"/>
          <w:bCs/>
          <w:color w:val="000000" w:themeColor="text1"/>
          <w:sz w:val="24"/>
          <w:szCs w:val="24"/>
        </w:rPr>
        <w:t xml:space="preserve">cortisol </w:t>
      </w:r>
      <w:r w:rsidR="001174A9" w:rsidRPr="00B63CF7">
        <w:rPr>
          <w:rFonts w:eastAsia="Times New Roman"/>
          <w:bCs/>
          <w:color w:val="000000" w:themeColor="text1"/>
          <w:sz w:val="24"/>
          <w:szCs w:val="24"/>
        </w:rPr>
        <w:t>difference scores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 xml:space="preserve"> pre- to post-protocol, </w:t>
      </w:r>
      <w:r w:rsidR="001174A9" w:rsidRPr="00FA3584">
        <w:rPr>
          <w:rFonts w:eastAsia="Times New Roman"/>
          <w:bCs/>
          <w:color w:val="000000" w:themeColor="text1"/>
          <w:sz w:val="24"/>
          <w:szCs w:val="24"/>
        </w:rPr>
        <w:t>residualized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 xml:space="preserve"> on time of data collection</w:t>
      </w:r>
      <w:r w:rsidR="001174A9" w:rsidRPr="00FA3584">
        <w:rPr>
          <w:rFonts w:eastAsia="Times New Roman"/>
          <w:bCs/>
          <w:color w:val="000000" w:themeColor="text1"/>
          <w:sz w:val="24"/>
          <w:szCs w:val="24"/>
        </w:rPr>
        <w:t xml:space="preserve">). 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 xml:space="preserve">Family economic condition with the cut point value of 0.70 </w:t>
      </w:r>
      <w:r w:rsidR="001174A9" w:rsidRPr="006A6F6B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1174A9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1174A9" w:rsidRPr="00FA3584">
        <w:rPr>
          <w:rFonts w:eastAsia="Times New Roman"/>
          <w:bCs/>
          <w:color w:val="000000" w:themeColor="text1"/>
          <w:sz w:val="24"/>
          <w:szCs w:val="24"/>
        </w:rPr>
        <w:t xml:space="preserve">was identified as the first optimal predictor variable that distinguished the heightened HPA reactive children from the rest of the sample </w:t>
      </w:r>
      <w:r w:rsidR="001174A9" w:rsidRPr="00FA3584">
        <w:rPr>
          <w:color w:val="000000" w:themeColor="text1"/>
          <w:sz w:val="24"/>
          <w:szCs w:val="24"/>
        </w:rPr>
        <w:t>(</w:t>
      </w:r>
      <w:r w:rsidR="001174A9" w:rsidRPr="00FA3584">
        <w:rPr>
          <w:i/>
          <w:iCs/>
          <w:color w:val="000000" w:themeColor="text1"/>
          <w:sz w:val="24"/>
          <w:szCs w:val="24"/>
        </w:rPr>
        <w:t>К</w:t>
      </w:r>
      <w:r w:rsidR="001174A9" w:rsidRPr="00FA3584">
        <w:rPr>
          <w:color w:val="000000" w:themeColor="text1"/>
          <w:sz w:val="24"/>
          <w:szCs w:val="24"/>
        </w:rPr>
        <w:t xml:space="preserve"> =</w:t>
      </w:r>
      <w:r w:rsidR="00174BFA">
        <w:rPr>
          <w:color w:val="000000" w:themeColor="text1"/>
          <w:sz w:val="24"/>
          <w:szCs w:val="24"/>
        </w:rPr>
        <w:t>0.15</w:t>
      </w:r>
      <w:r w:rsidR="001174A9" w:rsidRPr="00FA3584">
        <w:rPr>
          <w:color w:val="000000" w:themeColor="text1"/>
          <w:sz w:val="24"/>
          <w:szCs w:val="24"/>
        </w:rPr>
        <w:t xml:space="preserve">, </w:t>
      </w:r>
      <w:r w:rsidR="001174A9" w:rsidRPr="00FA38C9">
        <w:rPr>
          <w:i/>
          <w:iCs/>
          <w:color w:val="000000" w:themeColor="text1"/>
          <w:sz w:val="24"/>
          <w:szCs w:val="24"/>
        </w:rPr>
        <w:t>χ</w:t>
      </w:r>
      <w:r w:rsidR="001174A9" w:rsidRPr="00FA38C9">
        <w:rPr>
          <w:i/>
          <w:iCs/>
          <w:color w:val="000000" w:themeColor="text1"/>
          <w:sz w:val="24"/>
          <w:szCs w:val="24"/>
          <w:vertAlign w:val="superscript"/>
        </w:rPr>
        <w:t>2</w:t>
      </w:r>
      <w:r w:rsidR="001174A9" w:rsidRPr="00FA3584">
        <w:rPr>
          <w:color w:val="000000" w:themeColor="text1"/>
          <w:sz w:val="24"/>
          <w:szCs w:val="24"/>
          <w:vertAlign w:val="superscript"/>
        </w:rPr>
        <w:t xml:space="preserve"> </w:t>
      </w:r>
      <w:r w:rsidR="001174A9" w:rsidRPr="00FA3584">
        <w:rPr>
          <w:color w:val="000000" w:themeColor="text1"/>
          <w:sz w:val="24"/>
          <w:szCs w:val="24"/>
        </w:rPr>
        <w:t>=</w:t>
      </w:r>
      <w:r w:rsidR="00174BFA">
        <w:rPr>
          <w:color w:val="000000" w:themeColor="text1"/>
          <w:sz w:val="24"/>
          <w:szCs w:val="24"/>
        </w:rPr>
        <w:t xml:space="preserve"> 6.30</w:t>
      </w:r>
      <w:r w:rsidR="001174A9" w:rsidRPr="00FA3584">
        <w:rPr>
          <w:color w:val="000000" w:themeColor="text1"/>
          <w:sz w:val="24"/>
          <w:szCs w:val="24"/>
        </w:rPr>
        <w:t xml:space="preserve">, </w:t>
      </w:r>
      <w:r w:rsidR="001174A9" w:rsidRPr="00FA3584">
        <w:rPr>
          <w:i/>
          <w:iCs/>
          <w:color w:val="000000" w:themeColor="text1"/>
          <w:sz w:val="24"/>
          <w:szCs w:val="24"/>
        </w:rPr>
        <w:t xml:space="preserve">p &lt; </w:t>
      </w:r>
      <w:r w:rsidR="001174A9" w:rsidRPr="00FA3584">
        <w:rPr>
          <w:color w:val="000000" w:themeColor="text1"/>
          <w:sz w:val="24"/>
          <w:szCs w:val="24"/>
        </w:rPr>
        <w:t>0</w:t>
      </w:r>
      <w:r w:rsidR="001174A9" w:rsidRPr="00FA3584">
        <w:rPr>
          <w:i/>
          <w:iCs/>
          <w:color w:val="000000" w:themeColor="text1"/>
          <w:sz w:val="24"/>
          <w:szCs w:val="24"/>
        </w:rPr>
        <w:t>.</w:t>
      </w:r>
      <w:r w:rsidR="001174A9" w:rsidRPr="00FA3584">
        <w:rPr>
          <w:color w:val="000000" w:themeColor="text1"/>
          <w:sz w:val="24"/>
          <w:szCs w:val="24"/>
        </w:rPr>
        <w:t xml:space="preserve">05). </w:t>
      </w:r>
      <w:r w:rsidR="001174A9" w:rsidRPr="00B308F4">
        <w:rPr>
          <w:color w:val="000000" w:themeColor="text1"/>
          <w:sz w:val="24"/>
          <w:szCs w:val="24"/>
        </w:rPr>
        <w:t xml:space="preserve">Among children from families with moderate to low </w:t>
      </w:r>
      <w:r w:rsidR="001174A9">
        <w:rPr>
          <w:color w:val="000000" w:themeColor="text1"/>
          <w:sz w:val="24"/>
          <w:szCs w:val="24"/>
        </w:rPr>
        <w:t>family economic condition</w:t>
      </w:r>
      <w:r w:rsidR="001174A9" w:rsidRPr="00B308F4">
        <w:rPr>
          <w:color w:val="000000" w:themeColor="text1"/>
          <w:sz w:val="24"/>
          <w:szCs w:val="24"/>
        </w:rPr>
        <w:t xml:space="preserve"> scores</w:t>
      </w:r>
      <w:r w:rsidR="001174A9">
        <w:rPr>
          <w:color w:val="000000" w:themeColor="text1"/>
          <w:sz w:val="24"/>
          <w:szCs w:val="24"/>
        </w:rPr>
        <w:t xml:space="preserve"> </w:t>
      </w:r>
      <w:proofErr w:type="gramStart"/>
      <w:r w:rsidR="001174A9">
        <w:rPr>
          <w:color w:val="000000" w:themeColor="text1"/>
          <w:sz w:val="24"/>
          <w:szCs w:val="24"/>
        </w:rPr>
        <w:t>( &lt;</w:t>
      </w:r>
      <w:proofErr w:type="gramEnd"/>
      <w:r w:rsidR="001174A9">
        <w:rPr>
          <w:color w:val="000000" w:themeColor="text1"/>
          <w:sz w:val="24"/>
          <w:szCs w:val="24"/>
        </w:rPr>
        <w:t xml:space="preserve"> 0.70 </w:t>
      </w:r>
      <w:r w:rsidR="001174A9" w:rsidRPr="001174A9">
        <w:rPr>
          <w:i/>
          <w:iCs/>
          <w:color w:val="000000" w:themeColor="text1"/>
          <w:sz w:val="24"/>
          <w:szCs w:val="24"/>
        </w:rPr>
        <w:t>SD</w:t>
      </w:r>
      <w:r w:rsidR="001174A9">
        <w:rPr>
          <w:color w:val="000000" w:themeColor="text1"/>
          <w:sz w:val="24"/>
          <w:szCs w:val="24"/>
        </w:rPr>
        <w:t>)</w:t>
      </w:r>
      <w:r w:rsidR="005965CA">
        <w:rPr>
          <w:color w:val="000000" w:themeColor="text1"/>
          <w:sz w:val="24"/>
          <w:szCs w:val="24"/>
        </w:rPr>
        <w:t>,</w:t>
      </w:r>
      <w:r w:rsidR="001174A9" w:rsidRPr="00B308F4">
        <w:rPr>
          <w:color w:val="000000" w:themeColor="text1"/>
          <w:sz w:val="24"/>
          <w:szCs w:val="24"/>
        </w:rPr>
        <w:t xml:space="preserve"> </w:t>
      </w:r>
      <w:r w:rsidR="001174A9">
        <w:rPr>
          <w:color w:val="000000" w:themeColor="text1"/>
          <w:sz w:val="24"/>
          <w:szCs w:val="24"/>
        </w:rPr>
        <w:t xml:space="preserve">31% (59/190) displayed high HPA reactivity. By contrast, in families </w:t>
      </w:r>
      <w:r w:rsidR="001174A9" w:rsidRPr="00B308F4">
        <w:rPr>
          <w:color w:val="000000" w:themeColor="text1"/>
          <w:sz w:val="24"/>
          <w:szCs w:val="24"/>
        </w:rPr>
        <w:t>characterized by relatively stable and better economic conditions (</w:t>
      </w:r>
      <w:r w:rsidR="001174A9">
        <w:rPr>
          <w:color w:val="000000" w:themeColor="text1"/>
          <w:sz w:val="24"/>
          <w:szCs w:val="24"/>
        </w:rPr>
        <w:t>family economic condition</w:t>
      </w:r>
      <w:r w:rsidR="001174A9" w:rsidRPr="00B308F4">
        <w:rPr>
          <w:color w:val="000000" w:themeColor="text1"/>
          <w:sz w:val="24"/>
          <w:szCs w:val="24"/>
        </w:rPr>
        <w:t xml:space="preserve"> </w:t>
      </w:r>
      <w:r w:rsidR="001174A9" w:rsidRPr="005D7FCD">
        <w:rPr>
          <w:color w:val="000000" w:themeColor="text1"/>
          <w:sz w:val="24"/>
          <w:szCs w:val="24"/>
        </w:rPr>
        <w:t>≥ 0</w:t>
      </w:r>
      <w:r w:rsidR="001174A9">
        <w:rPr>
          <w:color w:val="000000" w:themeColor="text1"/>
          <w:sz w:val="24"/>
          <w:szCs w:val="24"/>
        </w:rPr>
        <w:t>.70</w:t>
      </w:r>
      <w:r w:rsidR="00CB1F22">
        <w:rPr>
          <w:color w:val="000000" w:themeColor="text1"/>
          <w:sz w:val="24"/>
          <w:szCs w:val="24"/>
        </w:rPr>
        <w:t xml:space="preserve"> </w:t>
      </w:r>
      <w:r w:rsidR="001174A9" w:rsidRPr="005D7FCD">
        <w:rPr>
          <w:i/>
          <w:iCs/>
          <w:color w:val="000000" w:themeColor="text1"/>
          <w:sz w:val="24"/>
          <w:szCs w:val="24"/>
        </w:rPr>
        <w:t>SD</w:t>
      </w:r>
      <w:r w:rsidR="001174A9" w:rsidRPr="005D7FCD">
        <w:rPr>
          <w:color w:val="000000" w:themeColor="text1"/>
          <w:sz w:val="24"/>
          <w:szCs w:val="24"/>
        </w:rPr>
        <w:t>)</w:t>
      </w:r>
      <w:r w:rsidR="001174A9" w:rsidRPr="00B308F4">
        <w:rPr>
          <w:color w:val="000000" w:themeColor="text1"/>
          <w:sz w:val="24"/>
          <w:szCs w:val="24"/>
        </w:rPr>
        <w:t xml:space="preserve">, about </w:t>
      </w:r>
      <w:r w:rsidR="001174A9">
        <w:rPr>
          <w:color w:val="000000" w:themeColor="text1"/>
          <w:sz w:val="24"/>
          <w:szCs w:val="24"/>
        </w:rPr>
        <w:t>46.6</w:t>
      </w:r>
      <w:r w:rsidR="001174A9" w:rsidRPr="00B308F4">
        <w:rPr>
          <w:color w:val="000000" w:themeColor="text1"/>
          <w:sz w:val="24"/>
          <w:szCs w:val="24"/>
        </w:rPr>
        <w:t>% (</w:t>
      </w:r>
      <w:r w:rsidR="001174A9">
        <w:rPr>
          <w:color w:val="000000" w:themeColor="text1"/>
          <w:sz w:val="24"/>
          <w:szCs w:val="24"/>
        </w:rPr>
        <w:t>41/88</w:t>
      </w:r>
      <w:r w:rsidR="001174A9" w:rsidRPr="00B308F4">
        <w:rPr>
          <w:color w:val="000000" w:themeColor="text1"/>
          <w:sz w:val="24"/>
          <w:szCs w:val="24"/>
        </w:rPr>
        <w:t xml:space="preserve">) </w:t>
      </w:r>
      <w:r w:rsidR="001174A9">
        <w:rPr>
          <w:color w:val="000000" w:themeColor="text1"/>
          <w:sz w:val="24"/>
          <w:szCs w:val="24"/>
        </w:rPr>
        <w:t xml:space="preserve">of </w:t>
      </w:r>
      <w:r w:rsidR="005965CA">
        <w:rPr>
          <w:color w:val="000000" w:themeColor="text1"/>
          <w:sz w:val="24"/>
          <w:szCs w:val="24"/>
        </w:rPr>
        <w:t xml:space="preserve">the </w:t>
      </w:r>
      <w:r w:rsidR="001174A9">
        <w:rPr>
          <w:color w:val="000000" w:themeColor="text1"/>
          <w:sz w:val="24"/>
          <w:szCs w:val="24"/>
        </w:rPr>
        <w:t xml:space="preserve">children </w:t>
      </w:r>
      <w:r w:rsidR="001174A9" w:rsidRPr="00B308F4">
        <w:rPr>
          <w:color w:val="000000" w:themeColor="text1"/>
          <w:sz w:val="24"/>
          <w:szCs w:val="24"/>
        </w:rPr>
        <w:t xml:space="preserve">showed high </w:t>
      </w:r>
      <w:r w:rsidR="001174A9">
        <w:rPr>
          <w:color w:val="000000" w:themeColor="text1"/>
          <w:sz w:val="24"/>
          <w:szCs w:val="24"/>
        </w:rPr>
        <w:t>HPA</w:t>
      </w:r>
      <w:r w:rsidR="001174A9" w:rsidRPr="00B308F4">
        <w:rPr>
          <w:color w:val="000000" w:themeColor="text1"/>
          <w:sz w:val="24"/>
          <w:szCs w:val="24"/>
        </w:rPr>
        <w:t xml:space="preserve"> reactivity to laboratory challenges. </w:t>
      </w:r>
      <w:r w:rsidR="00CB1F22">
        <w:rPr>
          <w:color w:val="000000" w:themeColor="text1"/>
          <w:sz w:val="24"/>
          <w:szCs w:val="24"/>
        </w:rPr>
        <w:t>C</w:t>
      </w:r>
      <w:r w:rsidR="001174A9">
        <w:rPr>
          <w:color w:val="000000" w:themeColor="text1"/>
          <w:sz w:val="24"/>
          <w:szCs w:val="24"/>
        </w:rPr>
        <w:t xml:space="preserve">hild sex </w:t>
      </w:r>
      <w:r w:rsidR="00174BFA" w:rsidRPr="005D7FCD">
        <w:rPr>
          <w:color w:val="000000" w:themeColor="text1"/>
          <w:sz w:val="24"/>
          <w:szCs w:val="24"/>
        </w:rPr>
        <w:t>(</w:t>
      </w:r>
      <w:r w:rsidR="00174BFA" w:rsidRPr="005D7FCD">
        <w:rPr>
          <w:i/>
          <w:iCs/>
          <w:color w:val="000000" w:themeColor="text1"/>
          <w:sz w:val="24"/>
          <w:szCs w:val="24"/>
        </w:rPr>
        <w:t>К</w:t>
      </w:r>
      <w:r w:rsidR="00174BFA" w:rsidRPr="005D7FCD">
        <w:rPr>
          <w:color w:val="000000" w:themeColor="text1"/>
          <w:sz w:val="24"/>
          <w:szCs w:val="24"/>
        </w:rPr>
        <w:t xml:space="preserve"> = </w:t>
      </w:r>
      <w:r w:rsidR="006A6F6B">
        <w:rPr>
          <w:color w:val="000000" w:themeColor="text1"/>
          <w:sz w:val="24"/>
          <w:szCs w:val="24"/>
        </w:rPr>
        <w:t>0.14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FA38C9">
        <w:rPr>
          <w:i/>
          <w:iCs/>
          <w:color w:val="000000" w:themeColor="text1"/>
          <w:sz w:val="24"/>
          <w:szCs w:val="24"/>
        </w:rPr>
        <w:t>χ</w:t>
      </w:r>
      <w:r w:rsidR="00174BFA"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174BFA" w:rsidRPr="005D7FCD">
        <w:rPr>
          <w:color w:val="000000" w:themeColor="text1"/>
          <w:sz w:val="24"/>
          <w:szCs w:val="24"/>
        </w:rPr>
        <w:t xml:space="preserve">= </w:t>
      </w:r>
      <w:r w:rsidR="006A6F6B">
        <w:rPr>
          <w:color w:val="000000" w:themeColor="text1"/>
          <w:sz w:val="24"/>
          <w:szCs w:val="24"/>
        </w:rPr>
        <w:t>4.48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="00174BFA" w:rsidRPr="005D7FCD">
        <w:rPr>
          <w:color w:val="000000" w:themeColor="text1"/>
          <w:sz w:val="24"/>
          <w:szCs w:val="24"/>
        </w:rPr>
        <w:t>0</w:t>
      </w:r>
      <w:r w:rsidR="00174BFA" w:rsidRPr="005D7FCD">
        <w:rPr>
          <w:i/>
          <w:iCs/>
          <w:color w:val="000000" w:themeColor="text1"/>
          <w:sz w:val="24"/>
          <w:szCs w:val="24"/>
        </w:rPr>
        <w:t>.</w:t>
      </w:r>
      <w:r w:rsidR="00174BFA" w:rsidRPr="005D7FCD">
        <w:rPr>
          <w:color w:val="000000" w:themeColor="text1"/>
          <w:sz w:val="24"/>
          <w:szCs w:val="24"/>
        </w:rPr>
        <w:t>05)</w:t>
      </w:r>
      <w:r w:rsidR="00174BFA" w:rsidRPr="005D7FCD" w:rsidDel="00A03052">
        <w:rPr>
          <w:color w:val="000000" w:themeColor="text1"/>
          <w:sz w:val="24"/>
          <w:szCs w:val="24"/>
        </w:rPr>
        <w:t xml:space="preserve"> </w:t>
      </w:r>
      <w:r w:rsidR="001174A9">
        <w:rPr>
          <w:color w:val="000000" w:themeColor="text1"/>
          <w:sz w:val="24"/>
          <w:szCs w:val="24"/>
        </w:rPr>
        <w:t xml:space="preserve">was identified as the second </w:t>
      </w:r>
      <w:r w:rsidR="00CB1F22">
        <w:rPr>
          <w:color w:val="000000" w:themeColor="text1"/>
          <w:sz w:val="24"/>
          <w:szCs w:val="24"/>
        </w:rPr>
        <w:t xml:space="preserve">optimal predictor that </w:t>
      </w:r>
      <w:r w:rsidR="00CB1F22" w:rsidRPr="00B308F4">
        <w:rPr>
          <w:color w:val="000000" w:themeColor="text1"/>
          <w:sz w:val="24"/>
          <w:szCs w:val="24"/>
        </w:rPr>
        <w:t>offered further discrimination within the first (high reactivity) group.</w:t>
      </w:r>
      <w:r w:rsidR="00CB1F22">
        <w:rPr>
          <w:color w:val="000000" w:themeColor="text1"/>
          <w:sz w:val="24"/>
          <w:szCs w:val="24"/>
        </w:rPr>
        <w:t xml:space="preserve"> Together, 38.5% of boys (35/91) from families with moderate to low family economic condition </w:t>
      </w:r>
      <w:proofErr w:type="gramStart"/>
      <w:r w:rsidR="00CB1F22">
        <w:rPr>
          <w:color w:val="000000" w:themeColor="text1"/>
          <w:sz w:val="24"/>
          <w:szCs w:val="24"/>
        </w:rPr>
        <w:t>( &lt;</w:t>
      </w:r>
      <w:proofErr w:type="gramEnd"/>
      <w:r w:rsidR="00CB1F22">
        <w:rPr>
          <w:color w:val="000000" w:themeColor="text1"/>
          <w:sz w:val="24"/>
          <w:szCs w:val="24"/>
        </w:rPr>
        <w:t xml:space="preserve"> 0.70 </w:t>
      </w:r>
      <w:r w:rsidR="00CB1F22" w:rsidRPr="001174A9">
        <w:rPr>
          <w:i/>
          <w:iCs/>
          <w:color w:val="000000" w:themeColor="text1"/>
          <w:sz w:val="24"/>
          <w:szCs w:val="24"/>
        </w:rPr>
        <w:t>SD</w:t>
      </w:r>
      <w:r w:rsidR="00CB1F22">
        <w:rPr>
          <w:color w:val="000000" w:themeColor="text1"/>
          <w:sz w:val="24"/>
          <w:szCs w:val="24"/>
        </w:rPr>
        <w:t xml:space="preserve">) displayed high HPA </w:t>
      </w:r>
      <w:r w:rsidR="00CB1F22">
        <w:rPr>
          <w:color w:val="000000" w:themeColor="text1"/>
          <w:sz w:val="24"/>
          <w:szCs w:val="24"/>
        </w:rPr>
        <w:lastRenderedPageBreak/>
        <w:t xml:space="preserve">reactivity. </w:t>
      </w:r>
      <w:r w:rsidR="00CB1F22" w:rsidRPr="005D7FCD">
        <w:rPr>
          <w:color w:val="000000" w:themeColor="text1"/>
          <w:sz w:val="24"/>
          <w:szCs w:val="24"/>
        </w:rPr>
        <w:t>However, rates of high reactivity decreased significantly (2</w:t>
      </w:r>
      <w:r w:rsidR="00CB1F22">
        <w:rPr>
          <w:color w:val="000000" w:themeColor="text1"/>
          <w:sz w:val="24"/>
          <w:szCs w:val="24"/>
        </w:rPr>
        <w:t>4.2</w:t>
      </w:r>
      <w:r w:rsidR="00CB1F22" w:rsidRPr="005D7FCD">
        <w:rPr>
          <w:color w:val="000000" w:themeColor="text1"/>
          <w:sz w:val="24"/>
          <w:szCs w:val="24"/>
        </w:rPr>
        <w:t xml:space="preserve">%; </w:t>
      </w:r>
      <w:r w:rsidR="00CB1F22">
        <w:rPr>
          <w:color w:val="000000" w:themeColor="text1"/>
          <w:sz w:val="24"/>
          <w:szCs w:val="24"/>
        </w:rPr>
        <w:t>24/99</w:t>
      </w:r>
      <w:r w:rsidR="00CB1F22" w:rsidRPr="005D7FCD">
        <w:rPr>
          <w:color w:val="000000" w:themeColor="text1"/>
          <w:sz w:val="24"/>
          <w:szCs w:val="24"/>
        </w:rPr>
        <w:t xml:space="preserve">) in </w:t>
      </w:r>
      <w:r w:rsidR="00CB1F22">
        <w:rPr>
          <w:color w:val="000000" w:themeColor="text1"/>
          <w:sz w:val="24"/>
          <w:szCs w:val="24"/>
        </w:rPr>
        <w:t xml:space="preserve">girls </w:t>
      </w:r>
      <w:r w:rsidR="00531510">
        <w:rPr>
          <w:color w:val="000000" w:themeColor="text1"/>
          <w:sz w:val="24"/>
          <w:szCs w:val="24"/>
        </w:rPr>
        <w:t xml:space="preserve">with </w:t>
      </w:r>
      <w:r w:rsidR="00CB1F22" w:rsidRPr="005D7FCD">
        <w:rPr>
          <w:color w:val="000000" w:themeColor="text1"/>
          <w:sz w:val="24"/>
          <w:szCs w:val="24"/>
        </w:rPr>
        <w:t xml:space="preserve">comparable </w:t>
      </w:r>
      <w:r w:rsidR="00CB1F22">
        <w:rPr>
          <w:color w:val="000000" w:themeColor="text1"/>
          <w:sz w:val="24"/>
          <w:szCs w:val="24"/>
        </w:rPr>
        <w:t>family economic condition</w:t>
      </w:r>
      <w:r w:rsidR="00CB1F22" w:rsidRPr="005D7FCD">
        <w:rPr>
          <w:color w:val="000000" w:themeColor="text1"/>
          <w:sz w:val="24"/>
          <w:szCs w:val="24"/>
        </w:rPr>
        <w:t xml:space="preserve"> levels</w:t>
      </w:r>
      <w:r w:rsidR="00CB1F22" w:rsidRPr="00B308F4">
        <w:rPr>
          <w:color w:val="000000" w:themeColor="text1"/>
          <w:sz w:val="24"/>
          <w:szCs w:val="24"/>
        </w:rPr>
        <w:t xml:space="preserve"> </w:t>
      </w:r>
      <w:r w:rsidR="00CB1F22">
        <w:rPr>
          <w:color w:val="000000" w:themeColor="text1"/>
          <w:sz w:val="24"/>
          <w:szCs w:val="24"/>
        </w:rPr>
        <w:t xml:space="preserve">(&lt; 0.70 </w:t>
      </w:r>
      <w:r w:rsidR="00CB1F22" w:rsidRPr="001174A9">
        <w:rPr>
          <w:i/>
          <w:iCs/>
          <w:color w:val="000000" w:themeColor="text1"/>
          <w:sz w:val="24"/>
          <w:szCs w:val="24"/>
        </w:rPr>
        <w:t>SD</w:t>
      </w:r>
      <w:r w:rsidR="00CB1F22">
        <w:rPr>
          <w:color w:val="000000" w:themeColor="text1"/>
          <w:sz w:val="24"/>
          <w:szCs w:val="24"/>
        </w:rPr>
        <w:t xml:space="preserve">). On the other hand, </w:t>
      </w:r>
      <w:r w:rsidR="0056310D">
        <w:rPr>
          <w:color w:val="000000" w:themeColor="text1"/>
          <w:sz w:val="24"/>
          <w:szCs w:val="24"/>
        </w:rPr>
        <w:t xml:space="preserve">for children raised </w:t>
      </w:r>
      <w:r w:rsidR="0056310D" w:rsidRPr="005D7FCD">
        <w:rPr>
          <w:color w:val="000000" w:themeColor="text1"/>
          <w:sz w:val="24"/>
          <w:szCs w:val="24"/>
        </w:rPr>
        <w:t>in wealthy families with little perceived financial strain</w:t>
      </w:r>
      <w:r w:rsidR="0056310D">
        <w:rPr>
          <w:color w:val="000000" w:themeColor="text1"/>
          <w:sz w:val="24"/>
          <w:szCs w:val="24"/>
        </w:rPr>
        <w:t xml:space="preserve"> (</w:t>
      </w:r>
      <w:r w:rsidR="0056310D" w:rsidRPr="005D7FCD">
        <w:rPr>
          <w:color w:val="000000" w:themeColor="text1"/>
          <w:sz w:val="24"/>
          <w:szCs w:val="24"/>
        </w:rPr>
        <w:t>≥ 0</w:t>
      </w:r>
      <w:r w:rsidR="0056310D">
        <w:rPr>
          <w:color w:val="000000" w:themeColor="text1"/>
          <w:sz w:val="24"/>
          <w:szCs w:val="24"/>
        </w:rPr>
        <w:t xml:space="preserve">.70 </w:t>
      </w:r>
      <w:r w:rsidR="0056310D" w:rsidRPr="005D7FCD">
        <w:rPr>
          <w:i/>
          <w:iCs/>
          <w:color w:val="000000" w:themeColor="text1"/>
          <w:sz w:val="24"/>
          <w:szCs w:val="24"/>
        </w:rPr>
        <w:t>SD</w:t>
      </w:r>
      <w:r w:rsidR="0056310D">
        <w:rPr>
          <w:color w:val="000000" w:themeColor="text1"/>
          <w:sz w:val="24"/>
          <w:szCs w:val="24"/>
        </w:rPr>
        <w:t xml:space="preserve">), family economic condition </w:t>
      </w:r>
      <w:r w:rsidR="006A6F6B" w:rsidRPr="005D7FCD">
        <w:rPr>
          <w:color w:val="000000" w:themeColor="text1"/>
          <w:sz w:val="24"/>
          <w:szCs w:val="24"/>
        </w:rPr>
        <w:t>(</w:t>
      </w:r>
      <w:r w:rsidR="006A6F6B" w:rsidRPr="005D7FCD">
        <w:rPr>
          <w:i/>
          <w:iCs/>
          <w:color w:val="000000" w:themeColor="text1"/>
          <w:sz w:val="24"/>
          <w:szCs w:val="24"/>
        </w:rPr>
        <w:t>К</w:t>
      </w:r>
      <w:r w:rsidR="006A6F6B" w:rsidRPr="005D7FCD">
        <w:rPr>
          <w:color w:val="000000" w:themeColor="text1"/>
          <w:sz w:val="24"/>
          <w:szCs w:val="24"/>
        </w:rPr>
        <w:t xml:space="preserve"> = </w:t>
      </w:r>
      <w:r w:rsidR="006A6F6B">
        <w:rPr>
          <w:color w:val="000000" w:themeColor="text1"/>
          <w:sz w:val="24"/>
          <w:szCs w:val="24"/>
        </w:rPr>
        <w:t>0.24</w:t>
      </w:r>
      <w:r w:rsidR="006A6F6B" w:rsidRPr="005D7FCD">
        <w:rPr>
          <w:color w:val="000000" w:themeColor="text1"/>
          <w:sz w:val="24"/>
          <w:szCs w:val="24"/>
        </w:rPr>
        <w:t xml:space="preserve">, </w:t>
      </w:r>
      <w:r w:rsidR="006A6F6B" w:rsidRPr="00FA38C9">
        <w:rPr>
          <w:i/>
          <w:iCs/>
          <w:color w:val="000000" w:themeColor="text1"/>
          <w:sz w:val="24"/>
          <w:szCs w:val="24"/>
        </w:rPr>
        <w:t>χ</w:t>
      </w:r>
      <w:r w:rsidR="006A6F6B"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6A6F6B" w:rsidRPr="005D7FCD">
        <w:rPr>
          <w:color w:val="000000" w:themeColor="text1"/>
          <w:sz w:val="24"/>
          <w:szCs w:val="24"/>
        </w:rPr>
        <w:t xml:space="preserve">= </w:t>
      </w:r>
      <w:r w:rsidR="006A6F6B">
        <w:rPr>
          <w:color w:val="000000" w:themeColor="text1"/>
          <w:sz w:val="24"/>
          <w:szCs w:val="24"/>
        </w:rPr>
        <w:t>5.29</w:t>
      </w:r>
      <w:r w:rsidR="006A6F6B" w:rsidRPr="005D7FCD">
        <w:rPr>
          <w:color w:val="000000" w:themeColor="text1"/>
          <w:sz w:val="24"/>
          <w:szCs w:val="24"/>
        </w:rPr>
        <w:t xml:space="preserve">, </w:t>
      </w:r>
      <w:r w:rsidR="006A6F6B"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="006A6F6B" w:rsidRPr="005D7FCD">
        <w:rPr>
          <w:color w:val="000000" w:themeColor="text1"/>
          <w:sz w:val="24"/>
          <w:szCs w:val="24"/>
        </w:rPr>
        <w:t>0</w:t>
      </w:r>
      <w:r w:rsidR="006A6F6B" w:rsidRPr="005D7FCD">
        <w:rPr>
          <w:i/>
          <w:iCs/>
          <w:color w:val="000000" w:themeColor="text1"/>
          <w:sz w:val="24"/>
          <w:szCs w:val="24"/>
        </w:rPr>
        <w:t>.</w:t>
      </w:r>
      <w:r w:rsidR="006A6F6B" w:rsidRPr="005D7FCD">
        <w:rPr>
          <w:color w:val="000000" w:themeColor="text1"/>
          <w:sz w:val="24"/>
          <w:szCs w:val="24"/>
        </w:rPr>
        <w:t>05)</w:t>
      </w:r>
      <w:r w:rsidR="006A6F6B" w:rsidRPr="005D7FCD" w:rsidDel="00A03052">
        <w:rPr>
          <w:color w:val="000000" w:themeColor="text1"/>
          <w:sz w:val="24"/>
          <w:szCs w:val="24"/>
        </w:rPr>
        <w:t xml:space="preserve"> </w:t>
      </w:r>
      <w:r w:rsidR="0056310D" w:rsidRPr="00FA3584">
        <w:rPr>
          <w:color w:val="000000" w:themeColor="text1"/>
          <w:sz w:val="24"/>
          <w:szCs w:val="24"/>
        </w:rPr>
        <w:t xml:space="preserve">provided further discriminations at the cut point value of </w:t>
      </w:r>
      <w:r w:rsidR="0056310D">
        <w:rPr>
          <w:color w:val="000000" w:themeColor="text1"/>
          <w:sz w:val="24"/>
          <w:szCs w:val="24"/>
        </w:rPr>
        <w:t>1.01</w:t>
      </w:r>
      <w:r w:rsidR="0056310D" w:rsidRPr="00FA3584">
        <w:rPr>
          <w:color w:val="000000" w:themeColor="text1"/>
          <w:sz w:val="24"/>
          <w:szCs w:val="24"/>
        </w:rPr>
        <w:t xml:space="preserve"> </w:t>
      </w:r>
      <w:r w:rsidR="0056310D" w:rsidRPr="00FA3584">
        <w:rPr>
          <w:i/>
          <w:iCs/>
          <w:color w:val="000000" w:themeColor="text1"/>
          <w:sz w:val="24"/>
          <w:szCs w:val="24"/>
        </w:rPr>
        <w:t>SD</w:t>
      </w:r>
      <w:r w:rsidR="0056310D" w:rsidRPr="00FA3584">
        <w:rPr>
          <w:color w:val="000000" w:themeColor="text1"/>
          <w:sz w:val="24"/>
          <w:szCs w:val="24"/>
        </w:rPr>
        <w:t xml:space="preserve">, resulting in a curvilinear relationship between </w:t>
      </w:r>
      <w:r w:rsidR="0056310D">
        <w:rPr>
          <w:color w:val="000000" w:themeColor="text1"/>
          <w:sz w:val="24"/>
          <w:szCs w:val="24"/>
        </w:rPr>
        <w:t xml:space="preserve">family economic condition </w:t>
      </w:r>
      <w:r w:rsidR="0056310D" w:rsidRPr="00FA3584">
        <w:rPr>
          <w:color w:val="000000" w:themeColor="text1"/>
          <w:sz w:val="24"/>
          <w:szCs w:val="24"/>
        </w:rPr>
        <w:t>and high HPA reactivity.</w:t>
      </w:r>
      <w:r w:rsidR="0056310D">
        <w:rPr>
          <w:color w:val="000000" w:themeColor="text1"/>
          <w:sz w:val="24"/>
          <w:szCs w:val="24"/>
        </w:rPr>
        <w:t xml:space="preserve"> </w:t>
      </w:r>
      <w:r w:rsidR="001174A9" w:rsidRPr="00FA3584">
        <w:rPr>
          <w:color w:val="000000" w:themeColor="text1"/>
          <w:sz w:val="24"/>
          <w:szCs w:val="24"/>
        </w:rPr>
        <w:t xml:space="preserve">Just as children </w:t>
      </w:r>
      <w:r w:rsidR="00C305F6">
        <w:rPr>
          <w:color w:val="000000" w:themeColor="text1"/>
          <w:sz w:val="24"/>
          <w:szCs w:val="24"/>
        </w:rPr>
        <w:t xml:space="preserve">raised in very wealthy families </w:t>
      </w:r>
      <w:r w:rsidR="00531510">
        <w:rPr>
          <w:color w:val="000000" w:themeColor="text1"/>
          <w:sz w:val="24"/>
          <w:szCs w:val="24"/>
        </w:rPr>
        <w:t>(</w:t>
      </w:r>
      <w:r w:rsidR="00531510" w:rsidRPr="005D7FCD">
        <w:rPr>
          <w:color w:val="000000" w:themeColor="text1"/>
          <w:sz w:val="24"/>
          <w:szCs w:val="24"/>
        </w:rPr>
        <w:t xml:space="preserve">≥ </w:t>
      </w:r>
      <w:r w:rsidR="00531510">
        <w:rPr>
          <w:color w:val="000000" w:themeColor="text1"/>
          <w:sz w:val="24"/>
          <w:szCs w:val="24"/>
        </w:rPr>
        <w:t xml:space="preserve">1.01 </w:t>
      </w:r>
      <w:r w:rsidR="00531510" w:rsidRPr="005D7FCD">
        <w:rPr>
          <w:i/>
          <w:iCs/>
          <w:color w:val="000000" w:themeColor="text1"/>
          <w:sz w:val="24"/>
          <w:szCs w:val="24"/>
        </w:rPr>
        <w:t>SD</w:t>
      </w:r>
      <w:r w:rsidR="006A6F6B">
        <w:rPr>
          <w:color w:val="000000" w:themeColor="text1"/>
          <w:sz w:val="24"/>
          <w:szCs w:val="24"/>
        </w:rPr>
        <w:t>)</w:t>
      </w:r>
      <w:r w:rsidR="00531510" w:rsidRPr="00FA3584">
        <w:rPr>
          <w:color w:val="000000" w:themeColor="text1"/>
          <w:sz w:val="24"/>
          <w:szCs w:val="24"/>
        </w:rPr>
        <w:t xml:space="preserve"> </w:t>
      </w:r>
      <w:r w:rsidR="001174A9" w:rsidRPr="00FA3584">
        <w:rPr>
          <w:color w:val="000000" w:themeColor="text1"/>
          <w:sz w:val="24"/>
          <w:szCs w:val="24"/>
        </w:rPr>
        <w:t>showed high rates of HPA reactivity (</w:t>
      </w:r>
      <w:r w:rsidR="00531510">
        <w:rPr>
          <w:color w:val="000000" w:themeColor="text1"/>
          <w:sz w:val="24"/>
          <w:szCs w:val="24"/>
        </w:rPr>
        <w:t>35</w:t>
      </w:r>
      <w:r w:rsidR="001174A9">
        <w:rPr>
          <w:color w:val="000000" w:themeColor="text1"/>
          <w:sz w:val="24"/>
          <w:szCs w:val="24"/>
        </w:rPr>
        <w:t>.4</w:t>
      </w:r>
      <w:r w:rsidR="001174A9" w:rsidRPr="00FA3584">
        <w:rPr>
          <w:color w:val="000000" w:themeColor="text1"/>
          <w:sz w:val="24"/>
          <w:szCs w:val="24"/>
        </w:rPr>
        <w:t xml:space="preserve">%), children </w:t>
      </w:r>
      <w:r w:rsidR="00531510">
        <w:rPr>
          <w:color w:val="000000" w:themeColor="text1"/>
          <w:sz w:val="24"/>
          <w:szCs w:val="24"/>
        </w:rPr>
        <w:t xml:space="preserve">from families with about </w:t>
      </w:r>
      <w:r w:rsidR="001174A9" w:rsidRPr="00FA3584">
        <w:rPr>
          <w:color w:val="000000" w:themeColor="text1"/>
          <w:sz w:val="24"/>
          <w:szCs w:val="24"/>
        </w:rPr>
        <w:t xml:space="preserve">average </w:t>
      </w:r>
      <w:r w:rsidR="00531510">
        <w:rPr>
          <w:color w:val="000000" w:themeColor="text1"/>
          <w:sz w:val="24"/>
          <w:szCs w:val="24"/>
        </w:rPr>
        <w:t xml:space="preserve">economic condition levels 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>(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  <w:u w:val="single"/>
        </w:rPr>
        <w:t>&gt;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531510">
        <w:rPr>
          <w:rFonts w:eastAsia="Times New Roman"/>
          <w:bCs/>
          <w:color w:val="000000" w:themeColor="text1"/>
          <w:sz w:val="24"/>
          <w:szCs w:val="24"/>
        </w:rPr>
        <w:t>0.70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531510" w:rsidRPr="00FA3584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 xml:space="preserve"> to &lt; </w:t>
      </w:r>
      <w:r w:rsidR="00531510">
        <w:rPr>
          <w:rFonts w:eastAsia="Times New Roman"/>
          <w:bCs/>
          <w:color w:val="000000" w:themeColor="text1"/>
          <w:sz w:val="24"/>
          <w:szCs w:val="24"/>
        </w:rPr>
        <w:t>1.01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531510" w:rsidRPr="00FA3584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531510" w:rsidRPr="00FA3584">
        <w:rPr>
          <w:rFonts w:eastAsia="Times New Roman"/>
          <w:bCs/>
          <w:color w:val="000000" w:themeColor="text1"/>
          <w:sz w:val="24"/>
          <w:szCs w:val="24"/>
        </w:rPr>
        <w:t xml:space="preserve">) </w:t>
      </w:r>
      <w:r w:rsidR="001174A9" w:rsidRPr="00FA3584">
        <w:rPr>
          <w:iCs/>
          <w:color w:val="000000" w:themeColor="text1"/>
          <w:sz w:val="24"/>
          <w:szCs w:val="24"/>
        </w:rPr>
        <w:t xml:space="preserve">also showed </w:t>
      </w:r>
      <w:r w:rsidR="00531510">
        <w:rPr>
          <w:iCs/>
          <w:color w:val="000000" w:themeColor="text1"/>
          <w:sz w:val="24"/>
          <w:szCs w:val="24"/>
        </w:rPr>
        <w:t xml:space="preserve">substantially high </w:t>
      </w:r>
      <w:r w:rsidR="001174A9" w:rsidRPr="00FA3584">
        <w:rPr>
          <w:iCs/>
          <w:color w:val="000000" w:themeColor="text1"/>
          <w:sz w:val="24"/>
          <w:szCs w:val="24"/>
        </w:rPr>
        <w:t xml:space="preserve">rates of HPA reactivity </w:t>
      </w:r>
      <w:r w:rsidR="001174A9" w:rsidRPr="00FA3584">
        <w:rPr>
          <w:color w:val="000000" w:themeColor="text1"/>
          <w:sz w:val="24"/>
          <w:szCs w:val="24"/>
        </w:rPr>
        <w:t>(</w:t>
      </w:r>
      <w:r w:rsidR="00531510">
        <w:rPr>
          <w:color w:val="000000" w:themeColor="text1"/>
          <w:sz w:val="24"/>
          <w:szCs w:val="24"/>
        </w:rPr>
        <w:t>60</w:t>
      </w:r>
      <w:r w:rsidR="001174A9" w:rsidRPr="00FA3584">
        <w:rPr>
          <w:color w:val="000000" w:themeColor="text1"/>
          <w:sz w:val="24"/>
          <w:szCs w:val="24"/>
        </w:rPr>
        <w:t>%</w:t>
      </w:r>
      <w:r w:rsidR="00531510">
        <w:rPr>
          <w:color w:val="000000" w:themeColor="text1"/>
          <w:sz w:val="24"/>
          <w:szCs w:val="24"/>
        </w:rPr>
        <w:t>; 24</w:t>
      </w:r>
      <w:r w:rsidR="001174A9" w:rsidRPr="00FA3584">
        <w:rPr>
          <w:color w:val="000000" w:themeColor="text1"/>
          <w:sz w:val="24"/>
          <w:szCs w:val="24"/>
        </w:rPr>
        <w:t>/</w:t>
      </w:r>
      <w:r w:rsidR="00531510">
        <w:rPr>
          <w:color w:val="000000" w:themeColor="text1"/>
          <w:sz w:val="24"/>
          <w:szCs w:val="24"/>
        </w:rPr>
        <w:t>40</w:t>
      </w:r>
      <w:r w:rsidR="001174A9" w:rsidRPr="00FA3584">
        <w:rPr>
          <w:color w:val="000000" w:themeColor="text1"/>
          <w:sz w:val="24"/>
          <w:szCs w:val="24"/>
        </w:rPr>
        <w:t xml:space="preserve">). </w:t>
      </w:r>
    </w:p>
    <w:p w14:paraId="1EEC0311" w14:textId="48B16E08" w:rsidR="00F60579" w:rsidRDefault="00531510" w:rsidP="00036397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</w:pPr>
      <w:r w:rsidRPr="00FA3584">
        <w:rPr>
          <w:color w:val="000000" w:themeColor="text1"/>
          <w:sz w:val="24"/>
          <w:szCs w:val="24"/>
        </w:rPr>
        <w:t xml:space="preserve">Taken together, </w:t>
      </w:r>
      <w:r w:rsidR="00C209D1" w:rsidRPr="00FA3584">
        <w:rPr>
          <w:color w:val="000000" w:themeColor="text1"/>
          <w:sz w:val="24"/>
          <w:szCs w:val="24"/>
        </w:rPr>
        <w:t xml:space="preserve">the overall results for high HPA reactivity had the shape of </w:t>
      </w:r>
      <w:r w:rsidR="00C209D1">
        <w:rPr>
          <w:color w:val="000000" w:themeColor="text1"/>
          <w:sz w:val="24"/>
          <w:szCs w:val="24"/>
        </w:rPr>
        <w:t xml:space="preserve">an inverted U-shaped curvilinear relation between family economic condition and high HPA reactivity, with children </w:t>
      </w:r>
      <w:r w:rsidR="00036397">
        <w:rPr>
          <w:color w:val="000000" w:themeColor="text1"/>
          <w:sz w:val="24"/>
          <w:szCs w:val="24"/>
        </w:rPr>
        <w:t xml:space="preserve">from families with </w:t>
      </w:r>
      <w:r w:rsidR="00C209D1">
        <w:rPr>
          <w:color w:val="000000" w:themeColor="text1"/>
          <w:sz w:val="24"/>
          <w:szCs w:val="24"/>
        </w:rPr>
        <w:t xml:space="preserve">moderate levels of </w:t>
      </w:r>
      <w:r w:rsidR="00036397">
        <w:rPr>
          <w:color w:val="000000" w:themeColor="text1"/>
          <w:sz w:val="24"/>
          <w:szCs w:val="24"/>
        </w:rPr>
        <w:t xml:space="preserve">economic </w:t>
      </w:r>
      <w:r w:rsidR="00C209D1">
        <w:rPr>
          <w:color w:val="000000" w:themeColor="text1"/>
          <w:sz w:val="24"/>
          <w:szCs w:val="24"/>
        </w:rPr>
        <w:t>condition demonstrated the highest rate of high HPA reactivity (60%)</w:t>
      </w:r>
      <w:r w:rsidR="00036397">
        <w:rPr>
          <w:color w:val="000000" w:themeColor="text1"/>
          <w:sz w:val="24"/>
          <w:szCs w:val="24"/>
        </w:rPr>
        <w:t xml:space="preserve">. Children of wealthy families (family economic condition </w:t>
      </w:r>
      <w:r w:rsidR="00036397" w:rsidRPr="00FA3584">
        <w:rPr>
          <w:rFonts w:eastAsia="Times New Roman"/>
          <w:bCs/>
          <w:color w:val="000000" w:themeColor="text1"/>
          <w:sz w:val="24"/>
          <w:szCs w:val="24"/>
          <w:u w:val="single"/>
        </w:rPr>
        <w:t>&gt;</w:t>
      </w:r>
      <w:r w:rsidR="00036397">
        <w:rPr>
          <w:rFonts w:eastAsia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036397">
        <w:rPr>
          <w:rFonts w:eastAsia="Times New Roman"/>
          <w:bCs/>
          <w:color w:val="000000" w:themeColor="text1"/>
          <w:sz w:val="24"/>
          <w:szCs w:val="24"/>
        </w:rPr>
        <w:t xml:space="preserve">1.01 </w:t>
      </w:r>
      <w:r w:rsidR="00036397" w:rsidRPr="006A6F6B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036397">
        <w:rPr>
          <w:rFonts w:eastAsia="Times New Roman"/>
          <w:bCs/>
          <w:color w:val="000000" w:themeColor="text1"/>
          <w:sz w:val="24"/>
          <w:szCs w:val="24"/>
        </w:rPr>
        <w:t xml:space="preserve">) </w:t>
      </w:r>
      <w:r w:rsidR="00036397">
        <w:rPr>
          <w:color w:val="000000" w:themeColor="text1"/>
          <w:sz w:val="24"/>
          <w:szCs w:val="24"/>
        </w:rPr>
        <w:t>and those with below than average family economic condition levels (&lt; 0.70</w:t>
      </w:r>
      <w:r w:rsidR="006A6F6B">
        <w:rPr>
          <w:color w:val="000000" w:themeColor="text1"/>
          <w:sz w:val="24"/>
          <w:szCs w:val="24"/>
        </w:rPr>
        <w:t xml:space="preserve"> </w:t>
      </w:r>
      <w:r w:rsidR="006A6F6B" w:rsidRPr="006A6F6B">
        <w:rPr>
          <w:i/>
          <w:iCs/>
          <w:color w:val="000000" w:themeColor="text1"/>
          <w:sz w:val="24"/>
          <w:szCs w:val="24"/>
        </w:rPr>
        <w:t>SD</w:t>
      </w:r>
      <w:r w:rsidR="00036397">
        <w:rPr>
          <w:color w:val="000000" w:themeColor="text1"/>
          <w:sz w:val="24"/>
          <w:szCs w:val="24"/>
        </w:rPr>
        <w:t xml:space="preserve">) </w:t>
      </w:r>
      <w:r w:rsidR="00F60579">
        <w:rPr>
          <w:color w:val="000000" w:themeColor="text1"/>
          <w:sz w:val="24"/>
          <w:szCs w:val="24"/>
        </w:rPr>
        <w:t>demonstrated</w:t>
      </w:r>
      <w:r w:rsidR="00036397">
        <w:rPr>
          <w:color w:val="000000" w:themeColor="text1"/>
          <w:sz w:val="24"/>
          <w:szCs w:val="24"/>
        </w:rPr>
        <w:t xml:space="preserve"> the lowest rates of high HPA reactivity.</w:t>
      </w:r>
    </w:p>
    <w:p w14:paraId="730FB83A" w14:textId="49EDD7BD" w:rsidR="0033418D" w:rsidRPr="005D7FCD" w:rsidRDefault="00F60579" w:rsidP="0033418D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High PNS</w:t>
      </w:r>
      <w:r w:rsidRPr="00B4628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r</w:t>
      </w:r>
      <w:r w:rsidRPr="00B46285">
        <w:rPr>
          <w:rFonts w:eastAsia="Times New Roman"/>
          <w:b/>
          <w:bCs/>
          <w:color w:val="000000" w:themeColor="text1"/>
          <w:sz w:val="24"/>
          <w:szCs w:val="24"/>
        </w:rPr>
        <w:t>eactivity</w:t>
      </w:r>
      <w:r w:rsidRPr="00B46285">
        <w:rPr>
          <w:b/>
          <w:color w:val="000000" w:themeColor="text1"/>
          <w:sz w:val="24"/>
          <w:szCs w:val="24"/>
        </w:rPr>
        <w:t xml:space="preserve">. </w:t>
      </w:r>
      <w:r w:rsidRPr="00B308F4">
        <w:rPr>
          <w:color w:val="000000" w:themeColor="text1"/>
          <w:sz w:val="24"/>
          <w:szCs w:val="24"/>
        </w:rPr>
        <w:t xml:space="preserve">Figure </w:t>
      </w:r>
      <w:r>
        <w:rPr>
          <w:color w:val="000000" w:themeColor="text1"/>
          <w:sz w:val="24"/>
          <w:szCs w:val="24"/>
        </w:rPr>
        <w:t>7</w:t>
      </w:r>
      <w:r w:rsidRPr="00B308F4">
        <w:rPr>
          <w:color w:val="000000" w:themeColor="text1"/>
          <w:sz w:val="24"/>
          <w:szCs w:val="24"/>
        </w:rPr>
        <w:t xml:space="preserve"> displays a decision tree classifying the characteristics of children with high </w:t>
      </w:r>
      <w:r>
        <w:rPr>
          <w:color w:val="000000" w:themeColor="text1"/>
          <w:sz w:val="24"/>
          <w:szCs w:val="24"/>
        </w:rPr>
        <w:t>PNS</w:t>
      </w:r>
      <w:r w:rsidRPr="00B308F4">
        <w:rPr>
          <w:color w:val="000000" w:themeColor="text1"/>
          <w:sz w:val="24"/>
          <w:szCs w:val="24"/>
        </w:rPr>
        <w:t xml:space="preserve"> reactivity (i.e., the </w:t>
      </w:r>
      <w:r>
        <w:rPr>
          <w:color w:val="000000" w:themeColor="text1"/>
          <w:sz w:val="24"/>
          <w:szCs w:val="24"/>
        </w:rPr>
        <w:t xml:space="preserve">35% </w:t>
      </w:r>
      <w:r w:rsidRPr="00B308F4">
        <w:rPr>
          <w:color w:val="000000" w:themeColor="text1"/>
          <w:sz w:val="24"/>
          <w:szCs w:val="24"/>
        </w:rPr>
        <w:t xml:space="preserve">of sample displaying </w:t>
      </w:r>
      <w:r w:rsidRPr="005D7FCD">
        <w:rPr>
          <w:rFonts w:eastAsia="Times New Roman"/>
          <w:color w:val="000000" w:themeColor="text1"/>
          <w:sz w:val="24"/>
          <w:szCs w:val="24"/>
        </w:rPr>
        <w:t>lowest heart period variability</w:t>
      </w:r>
      <w:r>
        <w:rPr>
          <w:rFonts w:eastAsia="Times New Roman"/>
          <w:color w:val="000000" w:themeColor="text1"/>
          <w:sz w:val="24"/>
          <w:szCs w:val="24"/>
        </w:rPr>
        <w:t>,</w:t>
      </w:r>
      <w:r w:rsidRPr="005D7FCD">
        <w:rPr>
          <w:rFonts w:eastAsia="Times New Roman"/>
          <w:color w:val="000000" w:themeColor="text1"/>
          <w:sz w:val="24"/>
          <w:szCs w:val="24"/>
        </w:rPr>
        <w:t xml:space="preserve"> based on </w:t>
      </w:r>
      <w:r>
        <w:rPr>
          <w:rFonts w:eastAsia="Times New Roman"/>
          <w:bCs/>
          <w:color w:val="000000" w:themeColor="text1"/>
          <w:sz w:val="24"/>
          <w:szCs w:val="24"/>
        </w:rPr>
        <w:t>RSA</w:t>
      </w:r>
      <w:r w:rsidRPr="00D52588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63CF7">
        <w:rPr>
          <w:rFonts w:eastAsia="Times New Roman"/>
          <w:bCs/>
          <w:color w:val="000000" w:themeColor="text1"/>
          <w:sz w:val="24"/>
          <w:szCs w:val="24"/>
        </w:rPr>
        <w:t>difference scores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from control to challenge conditions</w:t>
      </w:r>
      <w:r w:rsidRPr="00B308F4">
        <w:rPr>
          <w:color w:val="000000" w:themeColor="text1"/>
          <w:sz w:val="24"/>
          <w:szCs w:val="24"/>
        </w:rPr>
        <w:t xml:space="preserve">). </w:t>
      </w:r>
      <w:r>
        <w:rPr>
          <w:color w:val="000000" w:themeColor="text1"/>
          <w:sz w:val="24"/>
          <w:szCs w:val="24"/>
        </w:rPr>
        <w:t xml:space="preserve">Restrictive parenting </w:t>
      </w:r>
      <w:r w:rsidRPr="005D7FCD">
        <w:rPr>
          <w:color w:val="000000" w:themeColor="text1"/>
          <w:sz w:val="24"/>
          <w:szCs w:val="24"/>
        </w:rPr>
        <w:t>(</w:t>
      </w:r>
      <w:r w:rsidRPr="005D7FCD">
        <w:rPr>
          <w:i/>
          <w:iCs/>
          <w:color w:val="000000" w:themeColor="text1"/>
          <w:sz w:val="24"/>
          <w:szCs w:val="24"/>
        </w:rPr>
        <w:t>К</w:t>
      </w:r>
      <w:r w:rsidRPr="005D7FCD">
        <w:rPr>
          <w:color w:val="000000" w:themeColor="text1"/>
          <w:sz w:val="24"/>
          <w:szCs w:val="24"/>
        </w:rPr>
        <w:t xml:space="preserve"> = 0</w:t>
      </w:r>
      <w:r w:rsidR="00174BFA">
        <w:rPr>
          <w:color w:val="000000" w:themeColor="text1"/>
          <w:sz w:val="24"/>
          <w:szCs w:val="24"/>
        </w:rPr>
        <w:t>.22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FA38C9">
        <w:rPr>
          <w:i/>
          <w:iCs/>
          <w:color w:val="000000" w:themeColor="text1"/>
          <w:sz w:val="24"/>
          <w:szCs w:val="24"/>
        </w:rPr>
        <w:t>χ</w:t>
      </w:r>
      <w:r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Pr="005D7FCD">
        <w:rPr>
          <w:color w:val="000000" w:themeColor="text1"/>
          <w:sz w:val="24"/>
          <w:szCs w:val="24"/>
        </w:rPr>
        <w:t xml:space="preserve">= </w:t>
      </w:r>
      <w:r w:rsidR="00174BFA">
        <w:rPr>
          <w:color w:val="000000" w:themeColor="text1"/>
          <w:sz w:val="24"/>
          <w:szCs w:val="24"/>
        </w:rPr>
        <w:t>13.64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Pr="005D7FCD">
        <w:rPr>
          <w:color w:val="000000" w:themeColor="text1"/>
          <w:sz w:val="24"/>
          <w:szCs w:val="24"/>
        </w:rPr>
        <w:t>0</w:t>
      </w:r>
      <w:r w:rsidRPr="005D7FCD">
        <w:rPr>
          <w:i/>
          <w:iCs/>
          <w:color w:val="000000" w:themeColor="text1"/>
          <w:sz w:val="24"/>
          <w:szCs w:val="24"/>
        </w:rPr>
        <w:t>.</w:t>
      </w:r>
      <w:r w:rsidRPr="005D7FCD">
        <w:rPr>
          <w:color w:val="000000" w:themeColor="text1"/>
          <w:sz w:val="24"/>
          <w:szCs w:val="24"/>
        </w:rPr>
        <w:t>05)</w:t>
      </w:r>
      <w:r w:rsidRPr="005D7FCD" w:rsidDel="00A03052">
        <w:rPr>
          <w:color w:val="000000" w:themeColor="text1"/>
          <w:sz w:val="24"/>
          <w:szCs w:val="24"/>
        </w:rPr>
        <w:t xml:space="preserve"> </w:t>
      </w:r>
      <w:r w:rsidRPr="00B308F4">
        <w:rPr>
          <w:color w:val="000000" w:themeColor="text1"/>
          <w:sz w:val="24"/>
          <w:szCs w:val="24"/>
        </w:rPr>
        <w:t xml:space="preserve">was identified as the first-order predictor variable that significantly distinguished highly reactive children from the rest of the sample. Among children </w:t>
      </w:r>
      <w:r>
        <w:rPr>
          <w:color w:val="000000" w:themeColor="text1"/>
          <w:sz w:val="24"/>
          <w:szCs w:val="24"/>
        </w:rPr>
        <w:t>with very low exposure to restrictive parenting (</w:t>
      </w:r>
      <w:r w:rsidRPr="00B308F4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 xml:space="preserve"> -0.45</w:t>
      </w:r>
      <w:r w:rsidRPr="00B308F4">
        <w:rPr>
          <w:color w:val="000000" w:themeColor="text1"/>
          <w:sz w:val="24"/>
          <w:szCs w:val="24"/>
        </w:rPr>
        <w:t xml:space="preserve"> </w:t>
      </w:r>
      <w:r w:rsidRPr="00B308F4">
        <w:rPr>
          <w:i/>
          <w:iCs/>
          <w:color w:val="000000" w:themeColor="text1"/>
          <w:sz w:val="24"/>
          <w:szCs w:val="24"/>
        </w:rPr>
        <w:t>SD</w:t>
      </w:r>
      <w:r>
        <w:rPr>
          <w:color w:val="000000" w:themeColor="text1"/>
          <w:sz w:val="24"/>
          <w:szCs w:val="24"/>
        </w:rPr>
        <w:t>)</w:t>
      </w:r>
      <w:r w:rsidRPr="00B308F4">
        <w:rPr>
          <w:color w:val="000000" w:themeColor="text1"/>
          <w:sz w:val="24"/>
          <w:szCs w:val="24"/>
        </w:rPr>
        <w:t xml:space="preserve">, about </w:t>
      </w:r>
      <w:r>
        <w:rPr>
          <w:color w:val="000000" w:themeColor="text1"/>
          <w:sz w:val="24"/>
          <w:szCs w:val="24"/>
        </w:rPr>
        <w:t>49.5</w:t>
      </w:r>
      <w:r w:rsidRPr="00B308F4">
        <w:rPr>
          <w:color w:val="000000" w:themeColor="text1"/>
          <w:sz w:val="24"/>
          <w:szCs w:val="24"/>
        </w:rPr>
        <w:t>% (</w:t>
      </w:r>
      <w:r>
        <w:rPr>
          <w:color w:val="000000" w:themeColor="text1"/>
          <w:sz w:val="24"/>
          <w:szCs w:val="24"/>
        </w:rPr>
        <w:t>46/93</w:t>
      </w:r>
      <w:r w:rsidRPr="00B308F4">
        <w:rPr>
          <w:color w:val="000000" w:themeColor="text1"/>
          <w:sz w:val="24"/>
          <w:szCs w:val="24"/>
        </w:rPr>
        <w:t xml:space="preserve">) showed high </w:t>
      </w:r>
      <w:r>
        <w:rPr>
          <w:color w:val="000000" w:themeColor="text1"/>
          <w:sz w:val="24"/>
          <w:szCs w:val="24"/>
        </w:rPr>
        <w:t>PNS</w:t>
      </w:r>
      <w:r w:rsidRPr="00B308F4">
        <w:rPr>
          <w:color w:val="000000" w:themeColor="text1"/>
          <w:sz w:val="24"/>
          <w:szCs w:val="24"/>
        </w:rPr>
        <w:t xml:space="preserve"> reactivity to laboratory challenges. By contrast, among children </w:t>
      </w:r>
      <w:r w:rsidR="005965CA">
        <w:rPr>
          <w:color w:val="000000" w:themeColor="text1"/>
          <w:sz w:val="24"/>
          <w:szCs w:val="24"/>
        </w:rPr>
        <w:t xml:space="preserve">with </w:t>
      </w:r>
      <w:r>
        <w:rPr>
          <w:color w:val="000000" w:themeColor="text1"/>
          <w:sz w:val="24"/>
          <w:szCs w:val="24"/>
        </w:rPr>
        <w:t xml:space="preserve">greater exposure to restrictive parenting </w:t>
      </w:r>
      <w:proofErr w:type="gramStart"/>
      <w:r w:rsidRPr="00B308F4">
        <w:rPr>
          <w:color w:val="000000" w:themeColor="text1"/>
          <w:sz w:val="24"/>
          <w:szCs w:val="24"/>
        </w:rPr>
        <w:t xml:space="preserve">( </w:t>
      </w:r>
      <w:r w:rsidRPr="005D7FCD">
        <w:rPr>
          <w:color w:val="000000" w:themeColor="text1"/>
          <w:sz w:val="24"/>
          <w:szCs w:val="24"/>
        </w:rPr>
        <w:t>≥</w:t>
      </w:r>
      <w:proofErr w:type="gramEnd"/>
      <w:r>
        <w:rPr>
          <w:color w:val="000000" w:themeColor="text1"/>
          <w:sz w:val="24"/>
          <w:szCs w:val="24"/>
        </w:rPr>
        <w:t xml:space="preserve"> -0.45</w:t>
      </w:r>
      <w:r w:rsidR="006A6F6B">
        <w:rPr>
          <w:color w:val="000000" w:themeColor="text1"/>
          <w:sz w:val="24"/>
          <w:szCs w:val="24"/>
        </w:rPr>
        <w:t xml:space="preserve"> </w:t>
      </w:r>
      <w:r w:rsidR="006A6F6B" w:rsidRPr="006A6F6B">
        <w:rPr>
          <w:i/>
          <w:iCs/>
          <w:color w:val="000000" w:themeColor="text1"/>
          <w:sz w:val="24"/>
          <w:szCs w:val="24"/>
        </w:rPr>
        <w:t>SD</w:t>
      </w:r>
      <w:r>
        <w:rPr>
          <w:color w:val="000000" w:themeColor="text1"/>
          <w:sz w:val="24"/>
          <w:szCs w:val="24"/>
        </w:rPr>
        <w:t>)</w:t>
      </w:r>
      <w:r w:rsidRPr="00B308F4">
        <w:rPr>
          <w:color w:val="000000" w:themeColor="text1"/>
          <w:sz w:val="24"/>
          <w:szCs w:val="24"/>
        </w:rPr>
        <w:t>, only 2</w:t>
      </w:r>
      <w:r>
        <w:rPr>
          <w:color w:val="000000" w:themeColor="text1"/>
          <w:sz w:val="24"/>
          <w:szCs w:val="24"/>
        </w:rPr>
        <w:t>7.3</w:t>
      </w:r>
      <w:r w:rsidRPr="00B308F4">
        <w:rPr>
          <w:color w:val="000000" w:themeColor="text1"/>
          <w:sz w:val="24"/>
          <w:szCs w:val="24"/>
        </w:rPr>
        <w:t>% (5</w:t>
      </w:r>
      <w:r>
        <w:rPr>
          <w:color w:val="000000" w:themeColor="text1"/>
          <w:sz w:val="24"/>
          <w:szCs w:val="24"/>
        </w:rPr>
        <w:t>3/194</w:t>
      </w:r>
      <w:r w:rsidRPr="00B308F4">
        <w:rPr>
          <w:color w:val="000000" w:themeColor="text1"/>
          <w:sz w:val="24"/>
          <w:szCs w:val="24"/>
        </w:rPr>
        <w:t xml:space="preserve">) displayed high </w:t>
      </w:r>
      <w:r>
        <w:rPr>
          <w:color w:val="000000" w:themeColor="text1"/>
          <w:sz w:val="24"/>
          <w:szCs w:val="24"/>
        </w:rPr>
        <w:t>PNS</w:t>
      </w:r>
      <w:r w:rsidRPr="00B308F4">
        <w:rPr>
          <w:color w:val="000000" w:themeColor="text1"/>
          <w:sz w:val="24"/>
          <w:szCs w:val="24"/>
        </w:rPr>
        <w:t xml:space="preserve"> reactivity. </w:t>
      </w:r>
      <w:r w:rsidR="00C81F96">
        <w:rPr>
          <w:color w:val="000000" w:themeColor="text1"/>
          <w:sz w:val="24"/>
          <w:szCs w:val="24"/>
        </w:rPr>
        <w:t xml:space="preserve">Within the first group, restrictive parenting </w:t>
      </w:r>
      <w:r w:rsidR="00174BFA" w:rsidRPr="005D7FCD">
        <w:rPr>
          <w:color w:val="000000" w:themeColor="text1"/>
          <w:sz w:val="24"/>
          <w:szCs w:val="24"/>
        </w:rPr>
        <w:t>(</w:t>
      </w:r>
      <w:r w:rsidR="00174BFA" w:rsidRPr="005D7FCD">
        <w:rPr>
          <w:i/>
          <w:iCs/>
          <w:color w:val="000000" w:themeColor="text1"/>
          <w:sz w:val="24"/>
          <w:szCs w:val="24"/>
        </w:rPr>
        <w:t>К</w:t>
      </w:r>
      <w:r w:rsidR="00174BFA" w:rsidRPr="005D7FCD">
        <w:rPr>
          <w:color w:val="000000" w:themeColor="text1"/>
          <w:sz w:val="24"/>
          <w:szCs w:val="24"/>
        </w:rPr>
        <w:t xml:space="preserve"> = </w:t>
      </w:r>
      <w:r w:rsidR="00174BFA">
        <w:rPr>
          <w:color w:val="000000" w:themeColor="text1"/>
          <w:sz w:val="24"/>
          <w:szCs w:val="24"/>
        </w:rPr>
        <w:t>0.24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FA38C9">
        <w:rPr>
          <w:i/>
          <w:iCs/>
          <w:color w:val="000000" w:themeColor="text1"/>
          <w:sz w:val="24"/>
          <w:szCs w:val="24"/>
        </w:rPr>
        <w:t>χ</w:t>
      </w:r>
      <w:r w:rsidR="00174BFA"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174BFA" w:rsidRPr="005D7FCD">
        <w:rPr>
          <w:color w:val="000000" w:themeColor="text1"/>
          <w:sz w:val="24"/>
          <w:szCs w:val="24"/>
        </w:rPr>
        <w:t xml:space="preserve">= </w:t>
      </w:r>
      <w:r w:rsidR="00174BFA">
        <w:rPr>
          <w:color w:val="000000" w:themeColor="text1"/>
          <w:sz w:val="24"/>
          <w:szCs w:val="24"/>
        </w:rPr>
        <w:t>5.71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="00174BFA" w:rsidRPr="005D7FCD">
        <w:rPr>
          <w:color w:val="000000" w:themeColor="text1"/>
          <w:sz w:val="24"/>
          <w:szCs w:val="24"/>
        </w:rPr>
        <w:t>0</w:t>
      </w:r>
      <w:r w:rsidR="00174BFA" w:rsidRPr="005D7FCD">
        <w:rPr>
          <w:i/>
          <w:iCs/>
          <w:color w:val="000000" w:themeColor="text1"/>
          <w:sz w:val="24"/>
          <w:szCs w:val="24"/>
        </w:rPr>
        <w:t>.</w:t>
      </w:r>
      <w:r w:rsidR="00174BFA" w:rsidRPr="005D7FCD">
        <w:rPr>
          <w:color w:val="000000" w:themeColor="text1"/>
          <w:sz w:val="24"/>
          <w:szCs w:val="24"/>
        </w:rPr>
        <w:t>05)</w:t>
      </w:r>
      <w:r w:rsidR="00174BFA" w:rsidRPr="005D7FCD" w:rsidDel="00A03052">
        <w:rPr>
          <w:color w:val="000000" w:themeColor="text1"/>
          <w:sz w:val="24"/>
          <w:szCs w:val="24"/>
        </w:rPr>
        <w:t xml:space="preserve"> </w:t>
      </w:r>
      <w:r w:rsidRPr="00B308F4">
        <w:rPr>
          <w:color w:val="000000" w:themeColor="text1"/>
          <w:sz w:val="24"/>
          <w:szCs w:val="24"/>
        </w:rPr>
        <w:t xml:space="preserve">offered further discrimination </w:t>
      </w:r>
      <w:r w:rsidR="00C81F96">
        <w:rPr>
          <w:color w:val="000000" w:themeColor="text1"/>
          <w:sz w:val="24"/>
          <w:szCs w:val="24"/>
        </w:rPr>
        <w:lastRenderedPageBreak/>
        <w:t xml:space="preserve">at the cut point value of -0.88 </w:t>
      </w:r>
      <w:r w:rsidR="00C81F96" w:rsidRPr="006A6F6B">
        <w:rPr>
          <w:i/>
          <w:iCs/>
          <w:color w:val="000000" w:themeColor="text1"/>
          <w:sz w:val="24"/>
          <w:szCs w:val="24"/>
        </w:rPr>
        <w:t>SD</w:t>
      </w:r>
      <w:r w:rsidR="00C81F96">
        <w:rPr>
          <w:color w:val="000000" w:themeColor="text1"/>
          <w:sz w:val="24"/>
          <w:szCs w:val="24"/>
        </w:rPr>
        <w:t xml:space="preserve">. The rates of high PNS reactivity decreased significantly (38.5%; 20/52) among children with very low experiences of restrictive parenting </w:t>
      </w:r>
      <w:proofErr w:type="gramStart"/>
      <w:r w:rsidR="00C81F96">
        <w:rPr>
          <w:color w:val="000000" w:themeColor="text1"/>
          <w:sz w:val="24"/>
          <w:szCs w:val="24"/>
        </w:rPr>
        <w:t>( &lt;</w:t>
      </w:r>
      <w:proofErr w:type="gramEnd"/>
      <w:r w:rsidR="00C81F96">
        <w:rPr>
          <w:color w:val="000000" w:themeColor="text1"/>
          <w:sz w:val="24"/>
          <w:szCs w:val="24"/>
        </w:rPr>
        <w:t xml:space="preserve"> -0.88</w:t>
      </w:r>
      <w:r w:rsidR="00174BFA">
        <w:rPr>
          <w:color w:val="000000" w:themeColor="text1"/>
          <w:sz w:val="24"/>
          <w:szCs w:val="24"/>
        </w:rPr>
        <w:t xml:space="preserve"> </w:t>
      </w:r>
      <w:r w:rsidR="00174BFA" w:rsidRPr="00174BFA">
        <w:rPr>
          <w:i/>
          <w:iCs/>
          <w:color w:val="000000" w:themeColor="text1"/>
          <w:sz w:val="24"/>
          <w:szCs w:val="24"/>
        </w:rPr>
        <w:t>SD</w:t>
      </w:r>
      <w:r w:rsidR="00C81F96">
        <w:rPr>
          <w:color w:val="000000" w:themeColor="text1"/>
          <w:sz w:val="24"/>
          <w:szCs w:val="24"/>
        </w:rPr>
        <w:t xml:space="preserve">), but </w:t>
      </w:r>
      <w:r w:rsidR="00606F95">
        <w:rPr>
          <w:color w:val="000000" w:themeColor="text1"/>
          <w:sz w:val="24"/>
          <w:szCs w:val="24"/>
        </w:rPr>
        <w:t>they increased (63.4%; 26/41) for</w:t>
      </w:r>
      <w:r w:rsidR="00C81F96">
        <w:rPr>
          <w:color w:val="000000" w:themeColor="text1"/>
          <w:sz w:val="24"/>
          <w:szCs w:val="24"/>
        </w:rPr>
        <w:t xml:space="preserve"> those with relatively higher (but still low) levels of restrictive parenting (</w:t>
      </w:r>
      <w:r w:rsidR="00C81F96" w:rsidRPr="00FA3584">
        <w:rPr>
          <w:rFonts w:eastAsia="Times New Roman"/>
          <w:bCs/>
          <w:color w:val="000000" w:themeColor="text1"/>
          <w:sz w:val="24"/>
          <w:szCs w:val="24"/>
          <w:u w:val="single"/>
        </w:rPr>
        <w:t>&gt;</w:t>
      </w:r>
      <w:r w:rsidR="00C81F96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C81F96">
        <w:rPr>
          <w:rFonts w:eastAsia="Times New Roman"/>
          <w:bCs/>
          <w:color w:val="000000" w:themeColor="text1"/>
          <w:sz w:val="24"/>
          <w:szCs w:val="24"/>
        </w:rPr>
        <w:t>-0.88</w:t>
      </w:r>
      <w:r w:rsidR="00C81F96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C81F96" w:rsidRPr="00FA3584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C81F96" w:rsidRPr="00FA3584">
        <w:rPr>
          <w:rFonts w:eastAsia="Times New Roman"/>
          <w:bCs/>
          <w:color w:val="000000" w:themeColor="text1"/>
          <w:sz w:val="24"/>
          <w:szCs w:val="24"/>
        </w:rPr>
        <w:t xml:space="preserve"> to &lt; </w:t>
      </w:r>
      <w:r w:rsidR="00C81F96">
        <w:rPr>
          <w:rFonts w:eastAsia="Times New Roman"/>
          <w:bCs/>
          <w:color w:val="000000" w:themeColor="text1"/>
          <w:sz w:val="24"/>
          <w:szCs w:val="24"/>
        </w:rPr>
        <w:t>-0.45</w:t>
      </w:r>
      <w:r w:rsidR="00C81F96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C81F96" w:rsidRPr="00FA3584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C81F96">
        <w:rPr>
          <w:rFonts w:eastAsia="Times New Roman"/>
          <w:bCs/>
          <w:color w:val="000000" w:themeColor="text1"/>
          <w:sz w:val="24"/>
          <w:szCs w:val="24"/>
        </w:rPr>
        <w:t xml:space="preserve">). </w:t>
      </w:r>
      <w:r w:rsidR="0033418D">
        <w:rPr>
          <w:rFonts w:eastAsia="Times New Roman"/>
          <w:bCs/>
          <w:color w:val="000000" w:themeColor="text1"/>
          <w:sz w:val="24"/>
          <w:szCs w:val="24"/>
        </w:rPr>
        <w:t>Within the group of children with higher experiences of restrictive parenting (</w:t>
      </w:r>
      <w:r w:rsidR="0033418D" w:rsidRPr="00FA3584">
        <w:rPr>
          <w:rFonts w:eastAsia="Times New Roman"/>
          <w:bCs/>
          <w:color w:val="000000" w:themeColor="text1"/>
          <w:sz w:val="24"/>
          <w:szCs w:val="24"/>
          <w:u w:val="single"/>
        </w:rPr>
        <w:t>&gt;</w:t>
      </w:r>
      <w:r w:rsidR="0033418D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33418D">
        <w:rPr>
          <w:rFonts w:eastAsia="Times New Roman"/>
          <w:bCs/>
          <w:color w:val="000000" w:themeColor="text1"/>
          <w:sz w:val="24"/>
          <w:szCs w:val="24"/>
        </w:rPr>
        <w:t>-0.45</w:t>
      </w:r>
      <w:r w:rsidR="0033418D" w:rsidRPr="00FA358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33418D" w:rsidRPr="00FA3584">
        <w:rPr>
          <w:rFonts w:eastAsia="Times New Roman"/>
          <w:bCs/>
          <w:i/>
          <w:iCs/>
          <w:color w:val="000000" w:themeColor="text1"/>
          <w:sz w:val="24"/>
          <w:szCs w:val="24"/>
        </w:rPr>
        <w:t>SD</w:t>
      </w:r>
      <w:r w:rsidR="0033418D">
        <w:rPr>
          <w:rFonts w:eastAsia="Times New Roman"/>
          <w:bCs/>
          <w:color w:val="000000" w:themeColor="text1"/>
          <w:sz w:val="24"/>
          <w:szCs w:val="24"/>
        </w:rPr>
        <w:t xml:space="preserve">), age </w:t>
      </w:r>
      <w:r w:rsidR="00174BFA" w:rsidRPr="005D7FCD">
        <w:rPr>
          <w:color w:val="000000" w:themeColor="text1"/>
          <w:sz w:val="24"/>
          <w:szCs w:val="24"/>
        </w:rPr>
        <w:t>(</w:t>
      </w:r>
      <w:r w:rsidR="00174BFA" w:rsidRPr="005D7FCD">
        <w:rPr>
          <w:i/>
          <w:iCs/>
          <w:color w:val="000000" w:themeColor="text1"/>
          <w:sz w:val="24"/>
          <w:szCs w:val="24"/>
        </w:rPr>
        <w:t>К</w:t>
      </w:r>
      <w:r w:rsidR="00174BFA" w:rsidRPr="005D7FCD">
        <w:rPr>
          <w:color w:val="000000" w:themeColor="text1"/>
          <w:sz w:val="24"/>
          <w:szCs w:val="24"/>
        </w:rPr>
        <w:t xml:space="preserve"> = </w:t>
      </w:r>
      <w:r w:rsidR="00174BFA">
        <w:rPr>
          <w:color w:val="000000" w:themeColor="text1"/>
          <w:sz w:val="24"/>
          <w:szCs w:val="24"/>
        </w:rPr>
        <w:t>0.14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FA38C9">
        <w:rPr>
          <w:i/>
          <w:iCs/>
          <w:color w:val="000000" w:themeColor="text1"/>
          <w:sz w:val="24"/>
          <w:szCs w:val="24"/>
        </w:rPr>
        <w:t>χ</w:t>
      </w:r>
      <w:r w:rsidR="00174BFA"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174BFA" w:rsidRPr="005D7FCD">
        <w:rPr>
          <w:color w:val="000000" w:themeColor="text1"/>
          <w:sz w:val="24"/>
          <w:szCs w:val="24"/>
        </w:rPr>
        <w:t xml:space="preserve">= </w:t>
      </w:r>
      <w:r w:rsidR="00174BFA">
        <w:rPr>
          <w:color w:val="000000" w:themeColor="text1"/>
          <w:sz w:val="24"/>
          <w:szCs w:val="24"/>
        </w:rPr>
        <w:t>4.06</w:t>
      </w:r>
      <w:r w:rsidR="00174BFA" w:rsidRPr="005D7FCD">
        <w:rPr>
          <w:color w:val="000000" w:themeColor="text1"/>
          <w:sz w:val="24"/>
          <w:szCs w:val="24"/>
        </w:rPr>
        <w:t xml:space="preserve">, </w:t>
      </w:r>
      <w:r w:rsidR="00174BFA"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="00174BFA" w:rsidRPr="005D7FCD">
        <w:rPr>
          <w:color w:val="000000" w:themeColor="text1"/>
          <w:sz w:val="24"/>
          <w:szCs w:val="24"/>
        </w:rPr>
        <w:t>0</w:t>
      </w:r>
      <w:r w:rsidR="00174BFA" w:rsidRPr="005D7FCD">
        <w:rPr>
          <w:i/>
          <w:iCs/>
          <w:color w:val="000000" w:themeColor="text1"/>
          <w:sz w:val="24"/>
          <w:szCs w:val="24"/>
        </w:rPr>
        <w:t>.</w:t>
      </w:r>
      <w:r w:rsidR="00174BFA" w:rsidRPr="005D7FCD">
        <w:rPr>
          <w:color w:val="000000" w:themeColor="text1"/>
          <w:sz w:val="24"/>
          <w:szCs w:val="24"/>
        </w:rPr>
        <w:t>05)</w:t>
      </w:r>
      <w:r w:rsidR="00174BFA" w:rsidRPr="005D7FCD" w:rsidDel="00A03052">
        <w:rPr>
          <w:color w:val="000000" w:themeColor="text1"/>
          <w:sz w:val="24"/>
          <w:szCs w:val="24"/>
        </w:rPr>
        <w:t xml:space="preserve"> </w:t>
      </w:r>
      <w:r w:rsidR="0033418D">
        <w:rPr>
          <w:rFonts w:eastAsia="Times New Roman"/>
          <w:bCs/>
          <w:color w:val="000000" w:themeColor="text1"/>
          <w:sz w:val="24"/>
          <w:szCs w:val="24"/>
        </w:rPr>
        <w:t xml:space="preserve">divided the sample into two groups at the cut point value of 5.20 years old, with younger children demonstrated higher rates (35.6%) of high PNS reactivity than the older children (22.3%). </w:t>
      </w:r>
      <w:r w:rsidR="00B523BE" w:rsidRPr="001E407F">
        <w:rPr>
          <w:color w:val="000000" w:themeColor="text1"/>
          <w:sz w:val="24"/>
          <w:szCs w:val="24"/>
        </w:rPr>
        <w:t xml:space="preserve">This </w:t>
      </w:r>
      <w:r w:rsidR="0033418D" w:rsidRPr="001E407F">
        <w:rPr>
          <w:color w:val="000000" w:themeColor="text1"/>
          <w:sz w:val="24"/>
          <w:szCs w:val="24"/>
        </w:rPr>
        <w:t>set of result</w:t>
      </w:r>
      <w:r w:rsidR="00B523BE" w:rsidRPr="001E407F">
        <w:rPr>
          <w:color w:val="000000" w:themeColor="text1"/>
          <w:sz w:val="24"/>
          <w:szCs w:val="24"/>
        </w:rPr>
        <w:t>s is hard to interpret but does not appear to</w:t>
      </w:r>
      <w:r w:rsidR="0033418D" w:rsidRPr="001E407F">
        <w:rPr>
          <w:color w:val="000000" w:themeColor="text1"/>
          <w:sz w:val="24"/>
          <w:szCs w:val="24"/>
        </w:rPr>
        <w:t xml:space="preserve"> provide support for any of </w:t>
      </w:r>
      <w:r w:rsidR="00701AD1" w:rsidRPr="001E407F">
        <w:rPr>
          <w:color w:val="000000" w:themeColor="text1"/>
          <w:sz w:val="24"/>
          <w:szCs w:val="24"/>
        </w:rPr>
        <w:t>the stress responsivity</w:t>
      </w:r>
      <w:r w:rsidR="0033418D" w:rsidRPr="001E407F">
        <w:rPr>
          <w:color w:val="000000" w:themeColor="text1"/>
          <w:sz w:val="24"/>
          <w:szCs w:val="24"/>
        </w:rPr>
        <w:t xml:space="preserve"> </w:t>
      </w:r>
      <w:r w:rsidR="00701AD1" w:rsidRPr="001E407F">
        <w:rPr>
          <w:color w:val="000000" w:themeColor="text1"/>
          <w:sz w:val="24"/>
          <w:szCs w:val="24"/>
        </w:rPr>
        <w:t xml:space="preserve">patterns </w:t>
      </w:r>
      <w:r w:rsidR="0033418D" w:rsidRPr="001E407F">
        <w:rPr>
          <w:color w:val="000000" w:themeColor="text1"/>
          <w:sz w:val="24"/>
          <w:szCs w:val="24"/>
        </w:rPr>
        <w:t xml:space="preserve">in the BSC model. </w:t>
      </w:r>
    </w:p>
    <w:p w14:paraId="244FF3AF" w14:textId="2619BFA0" w:rsidR="00B523BE" w:rsidRPr="005D7FCD" w:rsidRDefault="0033418D" w:rsidP="00B523B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</w:pPr>
      <w:r w:rsidRPr="0033418D">
        <w:rPr>
          <w:b/>
          <w:bCs/>
          <w:color w:val="000000" w:themeColor="text1"/>
          <w:sz w:val="24"/>
          <w:szCs w:val="24"/>
        </w:rPr>
        <w:t xml:space="preserve">High SNS reactivity. </w:t>
      </w:r>
      <w:r w:rsidRPr="00B308F4">
        <w:rPr>
          <w:color w:val="000000" w:themeColor="text1"/>
          <w:sz w:val="24"/>
          <w:szCs w:val="24"/>
        </w:rPr>
        <w:t xml:space="preserve">Figure </w:t>
      </w:r>
      <w:r w:rsidR="00E21459">
        <w:rPr>
          <w:color w:val="000000" w:themeColor="text1"/>
          <w:sz w:val="24"/>
          <w:szCs w:val="24"/>
        </w:rPr>
        <w:t>8</w:t>
      </w:r>
      <w:r w:rsidRPr="00B308F4">
        <w:rPr>
          <w:color w:val="000000" w:themeColor="text1"/>
          <w:sz w:val="24"/>
          <w:szCs w:val="24"/>
        </w:rPr>
        <w:t xml:space="preserve"> displays a decision tree classifying the characteristics of children with high SNS reactivity (i.e., </w:t>
      </w:r>
      <w:r>
        <w:rPr>
          <w:color w:val="000000" w:themeColor="text1"/>
          <w:sz w:val="24"/>
          <w:szCs w:val="24"/>
        </w:rPr>
        <w:t xml:space="preserve">the 35% </w:t>
      </w:r>
      <w:r w:rsidRPr="00B308F4">
        <w:rPr>
          <w:color w:val="000000" w:themeColor="text1"/>
          <w:sz w:val="24"/>
          <w:szCs w:val="24"/>
        </w:rPr>
        <w:t xml:space="preserve">of sample displaying shortest PEP intervals </w:t>
      </w:r>
      <w:r w:rsidRPr="005D7FCD">
        <w:rPr>
          <w:rFonts w:eastAsia="Times New Roman"/>
          <w:color w:val="000000" w:themeColor="text1"/>
          <w:sz w:val="24"/>
          <w:szCs w:val="24"/>
        </w:rPr>
        <w:t xml:space="preserve">based on </w:t>
      </w:r>
      <w:r w:rsidRPr="00B63CF7">
        <w:rPr>
          <w:rFonts w:eastAsia="Times New Roman"/>
          <w:bCs/>
          <w:color w:val="000000" w:themeColor="text1"/>
          <w:sz w:val="24"/>
          <w:szCs w:val="24"/>
        </w:rPr>
        <w:t>difference scores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from control to challenge conditions</w:t>
      </w:r>
      <w:r w:rsidRPr="00B308F4">
        <w:rPr>
          <w:color w:val="000000" w:themeColor="text1"/>
          <w:sz w:val="24"/>
          <w:szCs w:val="24"/>
        </w:rPr>
        <w:t xml:space="preserve">). Family economic condition </w:t>
      </w:r>
      <w:r w:rsidRPr="005D7FCD">
        <w:rPr>
          <w:color w:val="000000" w:themeColor="text1"/>
          <w:sz w:val="24"/>
          <w:szCs w:val="24"/>
        </w:rPr>
        <w:t>(</w:t>
      </w:r>
      <w:r w:rsidRPr="005D7FCD">
        <w:rPr>
          <w:i/>
          <w:iCs/>
          <w:color w:val="000000" w:themeColor="text1"/>
          <w:sz w:val="24"/>
          <w:szCs w:val="24"/>
        </w:rPr>
        <w:t>К</w:t>
      </w:r>
      <w:r w:rsidRPr="005D7FCD">
        <w:rPr>
          <w:color w:val="000000" w:themeColor="text1"/>
          <w:sz w:val="24"/>
          <w:szCs w:val="24"/>
        </w:rPr>
        <w:t xml:space="preserve"> = 0.1</w:t>
      </w:r>
      <w:r w:rsidR="00174BFA">
        <w:rPr>
          <w:color w:val="000000" w:themeColor="text1"/>
          <w:sz w:val="24"/>
          <w:szCs w:val="24"/>
        </w:rPr>
        <w:t>54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FA38C9">
        <w:rPr>
          <w:i/>
          <w:iCs/>
          <w:color w:val="000000" w:themeColor="text1"/>
          <w:sz w:val="24"/>
          <w:szCs w:val="24"/>
        </w:rPr>
        <w:t>χ</w:t>
      </w:r>
      <w:r w:rsidRPr="00FA38C9">
        <w:rPr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Pr="005D7FCD">
        <w:rPr>
          <w:color w:val="000000" w:themeColor="text1"/>
          <w:sz w:val="24"/>
          <w:szCs w:val="24"/>
        </w:rPr>
        <w:t xml:space="preserve">= </w:t>
      </w:r>
      <w:r w:rsidR="00174BFA">
        <w:rPr>
          <w:color w:val="000000" w:themeColor="text1"/>
          <w:sz w:val="24"/>
          <w:szCs w:val="24"/>
        </w:rPr>
        <w:t>7.88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Pr="005D7FCD">
        <w:rPr>
          <w:color w:val="000000" w:themeColor="text1"/>
          <w:sz w:val="24"/>
          <w:szCs w:val="24"/>
        </w:rPr>
        <w:t>0</w:t>
      </w:r>
      <w:r w:rsidRPr="005D7FCD">
        <w:rPr>
          <w:i/>
          <w:iCs/>
          <w:color w:val="000000" w:themeColor="text1"/>
          <w:sz w:val="24"/>
          <w:szCs w:val="24"/>
        </w:rPr>
        <w:t>.</w:t>
      </w:r>
      <w:r w:rsidRPr="005D7FCD">
        <w:rPr>
          <w:color w:val="000000" w:themeColor="text1"/>
          <w:sz w:val="24"/>
          <w:szCs w:val="24"/>
        </w:rPr>
        <w:t>05)</w:t>
      </w:r>
      <w:r w:rsidRPr="005D7FCD" w:rsidDel="00A03052">
        <w:rPr>
          <w:color w:val="000000" w:themeColor="text1"/>
          <w:sz w:val="24"/>
          <w:szCs w:val="24"/>
        </w:rPr>
        <w:t xml:space="preserve"> </w:t>
      </w:r>
      <w:r w:rsidRPr="00B308F4">
        <w:rPr>
          <w:color w:val="000000" w:themeColor="text1"/>
          <w:sz w:val="24"/>
          <w:szCs w:val="24"/>
        </w:rPr>
        <w:t xml:space="preserve">was identified as the first-order predictor variable that significantly distinguished highly reactive children from the rest of the sample. Among children from families </w:t>
      </w:r>
      <w:r w:rsidR="00E21459" w:rsidRPr="00B308F4">
        <w:rPr>
          <w:color w:val="000000" w:themeColor="text1"/>
          <w:sz w:val="24"/>
          <w:szCs w:val="24"/>
        </w:rPr>
        <w:t xml:space="preserve">with moderate to low </w:t>
      </w:r>
      <w:r w:rsidR="00E21459">
        <w:rPr>
          <w:color w:val="000000" w:themeColor="text1"/>
          <w:sz w:val="24"/>
          <w:szCs w:val="24"/>
        </w:rPr>
        <w:t>family economic condition</w:t>
      </w:r>
      <w:r w:rsidR="00E21459" w:rsidRPr="00B308F4">
        <w:rPr>
          <w:color w:val="000000" w:themeColor="text1"/>
          <w:sz w:val="24"/>
          <w:szCs w:val="24"/>
        </w:rPr>
        <w:t xml:space="preserve"> scores </w:t>
      </w:r>
      <w:proofErr w:type="gramStart"/>
      <w:r w:rsidR="00E21459" w:rsidRPr="00B308F4">
        <w:rPr>
          <w:color w:val="000000" w:themeColor="text1"/>
          <w:sz w:val="24"/>
          <w:szCs w:val="24"/>
        </w:rPr>
        <w:t>(</w:t>
      </w:r>
      <w:r w:rsidR="00E21459">
        <w:rPr>
          <w:color w:val="000000" w:themeColor="text1"/>
          <w:sz w:val="24"/>
          <w:szCs w:val="24"/>
        </w:rPr>
        <w:t xml:space="preserve"> </w:t>
      </w:r>
      <w:r w:rsidR="00E21459" w:rsidRPr="00B308F4">
        <w:rPr>
          <w:color w:val="000000" w:themeColor="text1"/>
          <w:sz w:val="24"/>
          <w:szCs w:val="24"/>
        </w:rPr>
        <w:t>&lt;</w:t>
      </w:r>
      <w:proofErr w:type="gramEnd"/>
      <w:r w:rsidR="00E21459">
        <w:rPr>
          <w:color w:val="000000" w:themeColor="text1"/>
          <w:sz w:val="24"/>
          <w:szCs w:val="24"/>
        </w:rPr>
        <w:t xml:space="preserve"> </w:t>
      </w:r>
      <w:r w:rsidR="00E21459" w:rsidRPr="00B308F4">
        <w:rPr>
          <w:color w:val="000000" w:themeColor="text1"/>
          <w:sz w:val="24"/>
          <w:szCs w:val="24"/>
        </w:rPr>
        <w:t>0.</w:t>
      </w:r>
      <w:r w:rsidR="00E21459">
        <w:rPr>
          <w:color w:val="000000" w:themeColor="text1"/>
          <w:sz w:val="24"/>
          <w:szCs w:val="24"/>
        </w:rPr>
        <w:t>8</w:t>
      </w:r>
      <w:r w:rsidR="00E21459" w:rsidRPr="00B308F4">
        <w:rPr>
          <w:color w:val="000000" w:themeColor="text1"/>
          <w:sz w:val="24"/>
          <w:szCs w:val="24"/>
        </w:rPr>
        <w:t xml:space="preserve">2 </w:t>
      </w:r>
      <w:r w:rsidR="00E21459" w:rsidRPr="00B308F4">
        <w:rPr>
          <w:i/>
          <w:iCs/>
          <w:color w:val="000000" w:themeColor="text1"/>
          <w:sz w:val="24"/>
          <w:szCs w:val="24"/>
        </w:rPr>
        <w:t>SD</w:t>
      </w:r>
      <w:r w:rsidR="00E21459" w:rsidRPr="00B308F4">
        <w:rPr>
          <w:color w:val="000000" w:themeColor="text1"/>
          <w:sz w:val="24"/>
          <w:szCs w:val="24"/>
        </w:rPr>
        <w:t xml:space="preserve">), </w:t>
      </w:r>
      <w:r w:rsidR="00E21459">
        <w:rPr>
          <w:color w:val="000000" w:themeColor="text1"/>
          <w:sz w:val="24"/>
          <w:szCs w:val="24"/>
        </w:rPr>
        <w:t>32.2</w:t>
      </w:r>
      <w:r w:rsidR="00E21459" w:rsidRPr="00B308F4">
        <w:rPr>
          <w:color w:val="000000" w:themeColor="text1"/>
          <w:sz w:val="24"/>
          <w:szCs w:val="24"/>
        </w:rPr>
        <w:t>% (</w:t>
      </w:r>
      <w:r w:rsidR="00E21459">
        <w:rPr>
          <w:color w:val="000000" w:themeColor="text1"/>
          <w:sz w:val="24"/>
          <w:szCs w:val="24"/>
        </w:rPr>
        <w:t>74</w:t>
      </w:r>
      <w:r w:rsidR="00E21459" w:rsidRPr="00B308F4">
        <w:rPr>
          <w:color w:val="000000" w:themeColor="text1"/>
          <w:sz w:val="24"/>
          <w:szCs w:val="24"/>
        </w:rPr>
        <w:t>/</w:t>
      </w:r>
      <w:r w:rsidR="00E21459">
        <w:rPr>
          <w:color w:val="000000" w:themeColor="text1"/>
          <w:sz w:val="24"/>
          <w:szCs w:val="24"/>
        </w:rPr>
        <w:t>230</w:t>
      </w:r>
      <w:r w:rsidR="00E21459" w:rsidRPr="00B308F4">
        <w:rPr>
          <w:color w:val="000000" w:themeColor="text1"/>
          <w:sz w:val="24"/>
          <w:szCs w:val="24"/>
        </w:rPr>
        <w:t>) displayed high SNS reactivity</w:t>
      </w:r>
      <w:r w:rsidR="00E21459">
        <w:rPr>
          <w:color w:val="000000" w:themeColor="text1"/>
          <w:sz w:val="24"/>
          <w:szCs w:val="24"/>
        </w:rPr>
        <w:t xml:space="preserve">. However, the rates of high SNS reactivity was significantly higher (50.7%; 35/69) among children </w:t>
      </w:r>
      <w:r w:rsidR="00606F95">
        <w:rPr>
          <w:color w:val="000000" w:themeColor="text1"/>
          <w:sz w:val="24"/>
          <w:szCs w:val="24"/>
        </w:rPr>
        <w:t xml:space="preserve">of </w:t>
      </w:r>
      <w:r w:rsidR="00E21459">
        <w:rPr>
          <w:color w:val="000000" w:themeColor="text1"/>
          <w:sz w:val="24"/>
          <w:szCs w:val="24"/>
        </w:rPr>
        <w:t xml:space="preserve">families </w:t>
      </w:r>
      <w:r w:rsidR="00606F95">
        <w:rPr>
          <w:color w:val="000000" w:themeColor="text1"/>
          <w:sz w:val="24"/>
          <w:szCs w:val="24"/>
        </w:rPr>
        <w:t xml:space="preserve">with better </w:t>
      </w:r>
      <w:r w:rsidR="00382E5F">
        <w:rPr>
          <w:color w:val="000000" w:themeColor="text1"/>
          <w:sz w:val="24"/>
          <w:szCs w:val="24"/>
        </w:rPr>
        <w:t xml:space="preserve">and </w:t>
      </w:r>
      <w:r w:rsidR="00382E5F" w:rsidRPr="00B308F4">
        <w:rPr>
          <w:color w:val="000000" w:themeColor="text1"/>
          <w:sz w:val="24"/>
          <w:szCs w:val="24"/>
        </w:rPr>
        <w:t>relatively stabl</w:t>
      </w:r>
      <w:r w:rsidR="00382E5F">
        <w:rPr>
          <w:color w:val="000000" w:themeColor="text1"/>
          <w:sz w:val="24"/>
          <w:szCs w:val="24"/>
        </w:rPr>
        <w:t xml:space="preserve">e </w:t>
      </w:r>
      <w:r w:rsidR="00606F95">
        <w:rPr>
          <w:color w:val="000000" w:themeColor="text1"/>
          <w:sz w:val="24"/>
          <w:szCs w:val="24"/>
        </w:rPr>
        <w:t>economic condition</w:t>
      </w:r>
      <w:r w:rsidRPr="00B308F4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family economic condition</w:t>
      </w:r>
      <w:r w:rsidRPr="00B308F4">
        <w:rPr>
          <w:color w:val="000000" w:themeColor="text1"/>
          <w:sz w:val="24"/>
          <w:szCs w:val="24"/>
        </w:rPr>
        <w:t xml:space="preserve"> </w:t>
      </w:r>
      <w:r w:rsidRPr="005D7FCD">
        <w:rPr>
          <w:color w:val="000000" w:themeColor="text1"/>
          <w:sz w:val="24"/>
          <w:szCs w:val="24"/>
        </w:rPr>
        <w:t>≥ 0.</w:t>
      </w:r>
      <w:r w:rsidR="00E21459">
        <w:rPr>
          <w:color w:val="000000" w:themeColor="text1"/>
          <w:sz w:val="24"/>
          <w:szCs w:val="24"/>
        </w:rPr>
        <w:t>82</w:t>
      </w:r>
      <w:r w:rsidRPr="005D7FCD">
        <w:rPr>
          <w:color w:val="000000" w:themeColor="text1"/>
          <w:sz w:val="24"/>
          <w:szCs w:val="24"/>
        </w:rPr>
        <w:t xml:space="preserve"> </w:t>
      </w:r>
      <w:r w:rsidRPr="005D7FCD">
        <w:rPr>
          <w:i/>
          <w:iCs/>
          <w:color w:val="000000" w:themeColor="text1"/>
          <w:sz w:val="24"/>
          <w:szCs w:val="24"/>
        </w:rPr>
        <w:t>SD</w:t>
      </w:r>
      <w:r w:rsidRPr="005D7FCD">
        <w:rPr>
          <w:color w:val="000000" w:themeColor="text1"/>
          <w:sz w:val="24"/>
          <w:szCs w:val="24"/>
        </w:rPr>
        <w:t>)</w:t>
      </w:r>
      <w:r w:rsidR="00E21459">
        <w:rPr>
          <w:color w:val="000000" w:themeColor="text1"/>
          <w:sz w:val="24"/>
          <w:szCs w:val="24"/>
        </w:rPr>
        <w:t xml:space="preserve">. </w:t>
      </w:r>
      <w:r w:rsidRPr="00B308F4">
        <w:rPr>
          <w:color w:val="000000" w:themeColor="text1"/>
          <w:sz w:val="24"/>
          <w:szCs w:val="24"/>
        </w:rPr>
        <w:t>No other significant predictor offered further discrimination within the first (high reactivity) group. However, for the latter group (</w:t>
      </w:r>
      <w:r>
        <w:rPr>
          <w:color w:val="000000" w:themeColor="text1"/>
          <w:sz w:val="24"/>
          <w:szCs w:val="24"/>
        </w:rPr>
        <w:t>family economic condition</w:t>
      </w:r>
      <w:r w:rsidRPr="00B308F4">
        <w:rPr>
          <w:color w:val="000000" w:themeColor="text1"/>
          <w:sz w:val="24"/>
          <w:szCs w:val="24"/>
        </w:rPr>
        <w:t xml:space="preserve"> </w:t>
      </w:r>
      <w:r w:rsidR="00E21459" w:rsidRPr="005D7FCD">
        <w:rPr>
          <w:color w:val="000000" w:themeColor="text1"/>
          <w:sz w:val="24"/>
          <w:szCs w:val="24"/>
        </w:rPr>
        <w:t>≥ 0.</w:t>
      </w:r>
      <w:r w:rsidR="00E21459">
        <w:rPr>
          <w:color w:val="000000" w:themeColor="text1"/>
          <w:sz w:val="24"/>
          <w:szCs w:val="24"/>
        </w:rPr>
        <w:t>82</w:t>
      </w:r>
      <w:r w:rsidR="00E21459" w:rsidRPr="005D7FCD">
        <w:rPr>
          <w:color w:val="000000" w:themeColor="text1"/>
          <w:sz w:val="24"/>
          <w:szCs w:val="24"/>
        </w:rPr>
        <w:t xml:space="preserve"> </w:t>
      </w:r>
      <w:r w:rsidR="00E21459" w:rsidRPr="005D7FCD">
        <w:rPr>
          <w:i/>
          <w:iCs/>
          <w:color w:val="000000" w:themeColor="text1"/>
          <w:sz w:val="24"/>
          <w:szCs w:val="24"/>
        </w:rPr>
        <w:t>SD</w:t>
      </w:r>
      <w:r w:rsidRPr="00B308F4">
        <w:rPr>
          <w:color w:val="000000" w:themeColor="text1"/>
          <w:sz w:val="24"/>
          <w:szCs w:val="24"/>
        </w:rPr>
        <w:t xml:space="preserve">), </w:t>
      </w:r>
      <w:r w:rsidR="00E21459">
        <w:rPr>
          <w:color w:val="000000" w:themeColor="text1"/>
          <w:sz w:val="24"/>
          <w:szCs w:val="24"/>
        </w:rPr>
        <w:t>restrictive parenting</w:t>
      </w:r>
      <w:r w:rsidRPr="00B308F4">
        <w:rPr>
          <w:color w:val="000000" w:themeColor="text1"/>
          <w:sz w:val="24"/>
          <w:szCs w:val="24"/>
        </w:rPr>
        <w:t xml:space="preserve"> </w:t>
      </w:r>
      <w:r w:rsidRPr="005D7FCD">
        <w:rPr>
          <w:color w:val="000000" w:themeColor="text1"/>
          <w:sz w:val="24"/>
          <w:szCs w:val="24"/>
        </w:rPr>
        <w:t>(</w:t>
      </w:r>
      <w:r w:rsidRPr="005D7FCD">
        <w:rPr>
          <w:i/>
          <w:iCs/>
          <w:color w:val="000000" w:themeColor="text1"/>
          <w:sz w:val="24"/>
          <w:szCs w:val="24"/>
        </w:rPr>
        <w:t>К</w:t>
      </w:r>
      <w:r w:rsidRPr="005D7FCD">
        <w:rPr>
          <w:color w:val="000000" w:themeColor="text1"/>
          <w:sz w:val="24"/>
          <w:szCs w:val="24"/>
        </w:rPr>
        <w:t xml:space="preserve"> = 0.</w:t>
      </w:r>
      <w:r w:rsidR="00174BFA">
        <w:rPr>
          <w:color w:val="000000" w:themeColor="text1"/>
          <w:sz w:val="24"/>
          <w:szCs w:val="24"/>
        </w:rPr>
        <w:t>22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FA38C9">
        <w:rPr>
          <w:i/>
          <w:iCs/>
          <w:color w:val="000000" w:themeColor="text1"/>
          <w:sz w:val="24"/>
          <w:szCs w:val="24"/>
        </w:rPr>
        <w:t>χ</w:t>
      </w:r>
      <w:r w:rsidRPr="00FA38C9">
        <w:rPr>
          <w:i/>
          <w:iCs/>
          <w:color w:val="000000" w:themeColor="text1"/>
          <w:sz w:val="24"/>
          <w:szCs w:val="24"/>
          <w:vertAlign w:val="superscript"/>
        </w:rPr>
        <w:t>2</w:t>
      </w:r>
      <w:r w:rsidRPr="005D7FCD">
        <w:rPr>
          <w:color w:val="000000" w:themeColor="text1"/>
          <w:sz w:val="24"/>
          <w:szCs w:val="24"/>
          <w:vertAlign w:val="superscript"/>
        </w:rPr>
        <w:t xml:space="preserve"> </w:t>
      </w:r>
      <w:r w:rsidRPr="005D7FCD">
        <w:rPr>
          <w:color w:val="000000" w:themeColor="text1"/>
          <w:sz w:val="24"/>
          <w:szCs w:val="24"/>
        </w:rPr>
        <w:t xml:space="preserve">= </w:t>
      </w:r>
      <w:r w:rsidR="00174BFA">
        <w:rPr>
          <w:color w:val="000000" w:themeColor="text1"/>
          <w:sz w:val="24"/>
          <w:szCs w:val="24"/>
        </w:rPr>
        <w:t>3.93</w:t>
      </w:r>
      <w:r w:rsidRPr="005D7FCD">
        <w:rPr>
          <w:color w:val="000000" w:themeColor="text1"/>
          <w:sz w:val="24"/>
          <w:szCs w:val="24"/>
        </w:rPr>
        <w:t xml:space="preserve">, </w:t>
      </w:r>
      <w:r w:rsidRPr="005D7FCD">
        <w:rPr>
          <w:i/>
          <w:iCs/>
          <w:color w:val="000000" w:themeColor="text1"/>
          <w:sz w:val="24"/>
          <w:szCs w:val="24"/>
        </w:rPr>
        <w:t xml:space="preserve">p &lt; </w:t>
      </w:r>
      <w:r w:rsidRPr="005D7FCD">
        <w:rPr>
          <w:color w:val="000000" w:themeColor="text1"/>
          <w:sz w:val="24"/>
          <w:szCs w:val="24"/>
        </w:rPr>
        <w:t>0</w:t>
      </w:r>
      <w:r w:rsidRPr="005D7FCD">
        <w:rPr>
          <w:i/>
          <w:iCs/>
          <w:color w:val="000000" w:themeColor="text1"/>
          <w:sz w:val="24"/>
          <w:szCs w:val="24"/>
        </w:rPr>
        <w:t>.</w:t>
      </w:r>
      <w:r w:rsidRPr="005D7FCD">
        <w:rPr>
          <w:color w:val="000000" w:themeColor="text1"/>
          <w:sz w:val="24"/>
          <w:szCs w:val="24"/>
        </w:rPr>
        <w:t xml:space="preserve">05) </w:t>
      </w:r>
      <w:r w:rsidRPr="00B308F4">
        <w:rPr>
          <w:color w:val="000000" w:themeColor="text1"/>
          <w:sz w:val="24"/>
          <w:szCs w:val="24"/>
        </w:rPr>
        <w:t xml:space="preserve">divided them into two subgroups at the cut point value of </w:t>
      </w:r>
      <w:r w:rsidR="00E21459">
        <w:rPr>
          <w:color w:val="000000" w:themeColor="text1"/>
          <w:sz w:val="24"/>
          <w:szCs w:val="24"/>
        </w:rPr>
        <w:t>-0.60</w:t>
      </w:r>
      <w:r w:rsidRPr="00B308F4">
        <w:rPr>
          <w:color w:val="000000" w:themeColor="text1"/>
          <w:sz w:val="24"/>
          <w:szCs w:val="24"/>
        </w:rPr>
        <w:t xml:space="preserve"> </w:t>
      </w:r>
      <w:r w:rsidRPr="00B308F4">
        <w:rPr>
          <w:i/>
          <w:iCs/>
          <w:color w:val="000000" w:themeColor="text1"/>
          <w:sz w:val="24"/>
          <w:szCs w:val="24"/>
        </w:rPr>
        <w:t>SD</w:t>
      </w:r>
      <w:r w:rsidRPr="00B308F4">
        <w:rPr>
          <w:color w:val="000000" w:themeColor="text1"/>
          <w:sz w:val="24"/>
          <w:szCs w:val="24"/>
        </w:rPr>
        <w:t xml:space="preserve">. Of the </w:t>
      </w:r>
      <w:r w:rsidR="00E21459">
        <w:rPr>
          <w:color w:val="000000" w:themeColor="text1"/>
          <w:sz w:val="24"/>
          <w:szCs w:val="24"/>
        </w:rPr>
        <w:t>22</w:t>
      </w:r>
      <w:r w:rsidRPr="00B308F4">
        <w:rPr>
          <w:color w:val="000000" w:themeColor="text1"/>
          <w:sz w:val="24"/>
          <w:szCs w:val="24"/>
        </w:rPr>
        <w:t xml:space="preserve"> children raised in </w:t>
      </w:r>
      <w:r w:rsidR="00E21459">
        <w:rPr>
          <w:color w:val="000000" w:themeColor="text1"/>
          <w:sz w:val="24"/>
          <w:szCs w:val="24"/>
        </w:rPr>
        <w:t xml:space="preserve">wealthy </w:t>
      </w:r>
      <w:r w:rsidRPr="00B308F4">
        <w:rPr>
          <w:color w:val="000000" w:themeColor="text1"/>
          <w:sz w:val="24"/>
          <w:szCs w:val="24"/>
        </w:rPr>
        <w:t xml:space="preserve">families </w:t>
      </w:r>
      <w:r w:rsidR="00E21459" w:rsidRPr="005D7FCD">
        <w:rPr>
          <w:color w:val="000000" w:themeColor="text1"/>
          <w:sz w:val="24"/>
          <w:szCs w:val="24"/>
        </w:rPr>
        <w:t>≥ 0.</w:t>
      </w:r>
      <w:r w:rsidR="00E21459">
        <w:rPr>
          <w:color w:val="000000" w:themeColor="text1"/>
          <w:sz w:val="24"/>
          <w:szCs w:val="24"/>
        </w:rPr>
        <w:t>82</w:t>
      </w:r>
      <w:r w:rsidR="00E21459" w:rsidRPr="005D7FCD">
        <w:rPr>
          <w:color w:val="000000" w:themeColor="text1"/>
          <w:sz w:val="24"/>
          <w:szCs w:val="24"/>
        </w:rPr>
        <w:t xml:space="preserve"> </w:t>
      </w:r>
      <w:r w:rsidR="00E21459" w:rsidRPr="005D7FCD">
        <w:rPr>
          <w:i/>
          <w:iCs/>
          <w:color w:val="000000" w:themeColor="text1"/>
          <w:sz w:val="24"/>
          <w:szCs w:val="24"/>
        </w:rPr>
        <w:t>SD</w:t>
      </w:r>
      <w:r w:rsidR="00E21459">
        <w:rPr>
          <w:color w:val="000000" w:themeColor="text1"/>
          <w:sz w:val="24"/>
          <w:szCs w:val="24"/>
        </w:rPr>
        <w:t>) with very low experiences of restrictive parenting (&lt;</w:t>
      </w:r>
      <w:r w:rsidR="00480B73">
        <w:rPr>
          <w:color w:val="000000" w:themeColor="text1"/>
          <w:sz w:val="24"/>
          <w:szCs w:val="24"/>
        </w:rPr>
        <w:t xml:space="preserve"> </w:t>
      </w:r>
      <w:r w:rsidR="00E21459">
        <w:rPr>
          <w:color w:val="000000" w:themeColor="text1"/>
          <w:sz w:val="24"/>
          <w:szCs w:val="24"/>
        </w:rPr>
        <w:t xml:space="preserve">-0.60 </w:t>
      </w:r>
      <w:r w:rsidR="00E21459" w:rsidRPr="006A6F6B">
        <w:rPr>
          <w:i/>
          <w:iCs/>
          <w:color w:val="000000" w:themeColor="text1"/>
          <w:sz w:val="24"/>
          <w:szCs w:val="24"/>
        </w:rPr>
        <w:t>SD</w:t>
      </w:r>
      <w:r w:rsidR="00E21459">
        <w:rPr>
          <w:color w:val="000000" w:themeColor="text1"/>
          <w:sz w:val="24"/>
          <w:szCs w:val="24"/>
        </w:rPr>
        <w:t>), 15</w:t>
      </w:r>
      <w:r w:rsidRPr="005D7FCD">
        <w:rPr>
          <w:color w:val="000000" w:themeColor="text1"/>
          <w:sz w:val="24"/>
          <w:szCs w:val="24"/>
        </w:rPr>
        <w:t xml:space="preserve"> of them (</w:t>
      </w:r>
      <w:r w:rsidR="00E21459">
        <w:rPr>
          <w:color w:val="000000" w:themeColor="text1"/>
          <w:sz w:val="24"/>
          <w:szCs w:val="24"/>
        </w:rPr>
        <w:t>68.2</w:t>
      </w:r>
      <w:r w:rsidRPr="005D7FCD">
        <w:rPr>
          <w:color w:val="000000" w:themeColor="text1"/>
          <w:sz w:val="24"/>
          <w:szCs w:val="24"/>
        </w:rPr>
        <w:t>%) showed</w:t>
      </w:r>
      <w:r w:rsidRPr="00B308F4">
        <w:rPr>
          <w:color w:val="000000" w:themeColor="text1"/>
          <w:sz w:val="24"/>
          <w:szCs w:val="24"/>
        </w:rPr>
        <w:t xml:space="preserve"> shortest</w:t>
      </w:r>
      <w:r w:rsidRPr="005D7FCD">
        <w:rPr>
          <w:color w:val="000000" w:themeColor="text1"/>
          <w:sz w:val="24"/>
          <w:szCs w:val="24"/>
        </w:rPr>
        <w:t xml:space="preserve"> PEP intervals. However, rates of high SNS reactivity decreased significantly (</w:t>
      </w:r>
      <w:r w:rsidR="00E21459">
        <w:rPr>
          <w:color w:val="000000" w:themeColor="text1"/>
          <w:sz w:val="24"/>
          <w:szCs w:val="24"/>
        </w:rPr>
        <w:t>42.6</w:t>
      </w:r>
      <w:r w:rsidRPr="005D7FCD">
        <w:rPr>
          <w:color w:val="000000" w:themeColor="text1"/>
          <w:sz w:val="24"/>
          <w:szCs w:val="24"/>
        </w:rPr>
        <w:t xml:space="preserve">%; </w:t>
      </w:r>
      <w:r w:rsidR="008C7339">
        <w:rPr>
          <w:color w:val="000000" w:themeColor="text1"/>
          <w:sz w:val="24"/>
          <w:szCs w:val="24"/>
        </w:rPr>
        <w:t>20</w:t>
      </w:r>
      <w:r w:rsidRPr="005D7FCD">
        <w:rPr>
          <w:color w:val="000000" w:themeColor="text1"/>
          <w:sz w:val="24"/>
          <w:szCs w:val="24"/>
        </w:rPr>
        <w:t>/</w:t>
      </w:r>
      <w:r w:rsidR="008C7339">
        <w:rPr>
          <w:color w:val="000000" w:themeColor="text1"/>
          <w:sz w:val="24"/>
          <w:szCs w:val="24"/>
        </w:rPr>
        <w:t>47</w:t>
      </w:r>
      <w:r w:rsidRPr="005D7FCD">
        <w:rPr>
          <w:color w:val="000000" w:themeColor="text1"/>
          <w:sz w:val="24"/>
          <w:szCs w:val="24"/>
        </w:rPr>
        <w:t xml:space="preserve">) in </w:t>
      </w:r>
      <w:r w:rsidRPr="005D7FCD">
        <w:rPr>
          <w:color w:val="000000" w:themeColor="text1"/>
          <w:sz w:val="24"/>
          <w:szCs w:val="24"/>
        </w:rPr>
        <w:lastRenderedPageBreak/>
        <w:t xml:space="preserve">children who experienced comparable </w:t>
      </w:r>
      <w:r>
        <w:rPr>
          <w:color w:val="000000" w:themeColor="text1"/>
          <w:sz w:val="24"/>
          <w:szCs w:val="24"/>
        </w:rPr>
        <w:t>family economic condition</w:t>
      </w:r>
      <w:r w:rsidRPr="005D7FCD">
        <w:rPr>
          <w:color w:val="000000" w:themeColor="text1"/>
          <w:sz w:val="24"/>
          <w:szCs w:val="24"/>
        </w:rPr>
        <w:t xml:space="preserve"> levels (</w:t>
      </w:r>
      <w:r w:rsidR="008C7339" w:rsidRPr="005D7FCD">
        <w:rPr>
          <w:color w:val="000000" w:themeColor="text1"/>
          <w:sz w:val="24"/>
          <w:szCs w:val="24"/>
        </w:rPr>
        <w:t>≥ 0.</w:t>
      </w:r>
      <w:r w:rsidR="008C7339">
        <w:rPr>
          <w:color w:val="000000" w:themeColor="text1"/>
          <w:sz w:val="24"/>
          <w:szCs w:val="24"/>
        </w:rPr>
        <w:t>82</w:t>
      </w:r>
      <w:r w:rsidR="008C7339" w:rsidRPr="005D7FCD">
        <w:rPr>
          <w:color w:val="000000" w:themeColor="text1"/>
          <w:sz w:val="24"/>
          <w:szCs w:val="24"/>
        </w:rPr>
        <w:t xml:space="preserve"> </w:t>
      </w:r>
      <w:r w:rsidR="008C7339" w:rsidRPr="005D7FCD">
        <w:rPr>
          <w:i/>
          <w:iCs/>
          <w:color w:val="000000" w:themeColor="text1"/>
          <w:sz w:val="24"/>
          <w:szCs w:val="24"/>
        </w:rPr>
        <w:t>SD</w:t>
      </w:r>
      <w:r w:rsidRPr="005D7FCD">
        <w:rPr>
          <w:color w:val="000000" w:themeColor="text1"/>
          <w:sz w:val="24"/>
          <w:szCs w:val="24"/>
        </w:rPr>
        <w:t xml:space="preserve">) but </w:t>
      </w:r>
      <w:r w:rsidR="0031026D">
        <w:rPr>
          <w:color w:val="000000" w:themeColor="text1"/>
          <w:sz w:val="24"/>
          <w:szCs w:val="24"/>
        </w:rPr>
        <w:t xml:space="preserve">exposed to </w:t>
      </w:r>
      <w:r w:rsidR="008C7339">
        <w:rPr>
          <w:color w:val="000000" w:themeColor="text1"/>
          <w:sz w:val="24"/>
          <w:szCs w:val="24"/>
        </w:rPr>
        <w:t xml:space="preserve">higher </w:t>
      </w:r>
      <w:r w:rsidRPr="005D7FCD">
        <w:rPr>
          <w:color w:val="000000" w:themeColor="text1"/>
          <w:sz w:val="24"/>
          <w:szCs w:val="24"/>
        </w:rPr>
        <w:t xml:space="preserve">levels of </w:t>
      </w:r>
      <w:r w:rsidR="008C7339">
        <w:rPr>
          <w:color w:val="000000" w:themeColor="text1"/>
          <w:sz w:val="24"/>
          <w:szCs w:val="24"/>
        </w:rPr>
        <w:t>restrictive parenting</w:t>
      </w:r>
      <w:r w:rsidRPr="005D7FCD">
        <w:rPr>
          <w:color w:val="000000" w:themeColor="text1"/>
          <w:sz w:val="24"/>
          <w:szCs w:val="24"/>
        </w:rPr>
        <w:t xml:space="preserve"> </w:t>
      </w:r>
      <w:proofErr w:type="gramStart"/>
      <w:r w:rsidRPr="005D7FCD">
        <w:rPr>
          <w:color w:val="000000" w:themeColor="text1"/>
          <w:sz w:val="24"/>
          <w:szCs w:val="24"/>
        </w:rPr>
        <w:t xml:space="preserve">( </w:t>
      </w:r>
      <w:r w:rsidR="008C7339" w:rsidRPr="005D7FCD">
        <w:rPr>
          <w:color w:val="000000" w:themeColor="text1"/>
          <w:sz w:val="24"/>
          <w:szCs w:val="24"/>
        </w:rPr>
        <w:t>≥</w:t>
      </w:r>
      <w:proofErr w:type="gramEnd"/>
      <w:r w:rsidR="008C7339" w:rsidRPr="005D7FCD">
        <w:rPr>
          <w:color w:val="000000" w:themeColor="text1"/>
          <w:sz w:val="24"/>
          <w:szCs w:val="24"/>
        </w:rPr>
        <w:t xml:space="preserve"> </w:t>
      </w:r>
      <w:r w:rsidR="008C7339">
        <w:rPr>
          <w:color w:val="000000" w:themeColor="text1"/>
          <w:sz w:val="24"/>
          <w:szCs w:val="24"/>
        </w:rPr>
        <w:t>-</w:t>
      </w:r>
      <w:r w:rsidR="008C7339" w:rsidRPr="005D7FCD">
        <w:rPr>
          <w:color w:val="000000" w:themeColor="text1"/>
          <w:sz w:val="24"/>
          <w:szCs w:val="24"/>
        </w:rPr>
        <w:t>0.</w:t>
      </w:r>
      <w:r w:rsidR="008C7339">
        <w:rPr>
          <w:color w:val="000000" w:themeColor="text1"/>
          <w:sz w:val="24"/>
          <w:szCs w:val="24"/>
        </w:rPr>
        <w:t>60</w:t>
      </w:r>
      <w:r w:rsidR="008C7339" w:rsidRPr="005D7FCD">
        <w:rPr>
          <w:color w:val="000000" w:themeColor="text1"/>
          <w:sz w:val="24"/>
          <w:szCs w:val="24"/>
        </w:rPr>
        <w:t xml:space="preserve"> </w:t>
      </w:r>
      <w:r w:rsidR="008C7339" w:rsidRPr="005D7FCD">
        <w:rPr>
          <w:i/>
          <w:iCs/>
          <w:color w:val="000000" w:themeColor="text1"/>
          <w:sz w:val="24"/>
          <w:szCs w:val="24"/>
        </w:rPr>
        <w:t>SD</w:t>
      </w:r>
      <w:r w:rsidRPr="005D7FCD">
        <w:rPr>
          <w:color w:val="000000" w:themeColor="text1"/>
          <w:sz w:val="24"/>
          <w:szCs w:val="24"/>
        </w:rPr>
        <w:t>)</w:t>
      </w:r>
      <w:r w:rsidR="008C7339">
        <w:rPr>
          <w:color w:val="000000" w:themeColor="text1"/>
          <w:sz w:val="24"/>
          <w:szCs w:val="24"/>
        </w:rPr>
        <w:t xml:space="preserve"> than the former group</w:t>
      </w:r>
      <w:r w:rsidRPr="005D7FCD">
        <w:rPr>
          <w:color w:val="000000" w:themeColor="text1"/>
          <w:sz w:val="24"/>
          <w:szCs w:val="24"/>
        </w:rPr>
        <w:t xml:space="preserve">. </w:t>
      </w:r>
      <w:r w:rsidR="00B523BE" w:rsidRPr="001E407F">
        <w:rPr>
          <w:color w:val="000000" w:themeColor="text1"/>
          <w:sz w:val="24"/>
          <w:szCs w:val="24"/>
        </w:rPr>
        <w:t>This set of results is again hard to interpret but does not appear to provide support for any of the stress responsivity patterns in the BSC model.</w:t>
      </w:r>
      <w:r w:rsidR="00B523BE">
        <w:rPr>
          <w:color w:val="000000" w:themeColor="text1"/>
          <w:sz w:val="24"/>
          <w:szCs w:val="24"/>
        </w:rPr>
        <w:t xml:space="preserve"> </w:t>
      </w:r>
    </w:p>
    <w:p w14:paraId="431FE551" w14:textId="251268C6" w:rsidR="00596BE1" w:rsidRDefault="00596BE1" w:rsidP="00174BF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  <w:sectPr w:rsidR="00596BE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D68FB3" w14:textId="24F668A7" w:rsidR="00596BE1" w:rsidRPr="009F66D3" w:rsidRDefault="00F11F59" w:rsidP="00F11F5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FFD763" wp14:editId="1CF6BAEC">
            <wp:extent cx="8206105" cy="5943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610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6D3">
        <w:rPr>
          <w:sz w:val="24"/>
          <w:szCs w:val="24"/>
        </w:rPr>
        <w:t xml:space="preserve"> </w:t>
      </w:r>
    </w:p>
    <w:p w14:paraId="50E5BE9A" w14:textId="601C5D32" w:rsidR="00596BE1" w:rsidRPr="009F66D3" w:rsidRDefault="00F11F59" w:rsidP="00F11F59">
      <w:pPr>
        <w:rPr>
          <w:color w:val="000000" w:themeColor="text1"/>
          <w:sz w:val="24"/>
          <w:szCs w:val="24"/>
        </w:rPr>
      </w:pPr>
      <w:r w:rsidRPr="00F11F59">
        <w:lastRenderedPageBreak/>
        <w:drawing>
          <wp:inline distT="0" distB="0" distL="0" distR="0" wp14:anchorId="47F7AA57" wp14:editId="6FB3C6C2">
            <wp:extent cx="8229600" cy="57473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6D3">
        <w:rPr>
          <w:color w:val="000000" w:themeColor="text1"/>
          <w:sz w:val="24"/>
          <w:szCs w:val="24"/>
        </w:rPr>
        <w:t xml:space="preserve"> </w:t>
      </w:r>
    </w:p>
    <w:p w14:paraId="18CE0698" w14:textId="1D449082" w:rsidR="00596BE1" w:rsidRPr="009F66D3" w:rsidRDefault="00F11F59" w:rsidP="00596BE1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color w:val="000000" w:themeColor="text1"/>
          <w:sz w:val="24"/>
          <w:szCs w:val="24"/>
        </w:rPr>
      </w:pPr>
      <w:r w:rsidRPr="00F11F59">
        <w:lastRenderedPageBreak/>
        <w:drawing>
          <wp:inline distT="0" distB="0" distL="0" distR="0" wp14:anchorId="6A68928E" wp14:editId="22F890D5">
            <wp:extent cx="8229600" cy="58997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BE1" w:rsidRPr="009F66D3" w:rsidSect="00596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EF8D" w14:textId="77777777" w:rsidR="001266B0" w:rsidRDefault="001266B0" w:rsidP="00596BE1">
      <w:pPr>
        <w:spacing w:after="0" w:line="240" w:lineRule="auto"/>
      </w:pPr>
      <w:r>
        <w:separator/>
      </w:r>
    </w:p>
  </w:endnote>
  <w:endnote w:type="continuationSeparator" w:id="0">
    <w:p w14:paraId="41014357" w14:textId="77777777" w:rsidR="001266B0" w:rsidRDefault="001266B0" w:rsidP="0059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DE43" w14:textId="77777777" w:rsidR="001266B0" w:rsidRDefault="001266B0" w:rsidP="00596BE1">
      <w:pPr>
        <w:spacing w:after="0" w:line="240" w:lineRule="auto"/>
      </w:pPr>
      <w:r>
        <w:separator/>
      </w:r>
    </w:p>
  </w:footnote>
  <w:footnote w:type="continuationSeparator" w:id="0">
    <w:p w14:paraId="55F1634D" w14:textId="77777777" w:rsidR="001266B0" w:rsidRDefault="001266B0" w:rsidP="0059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264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4EA51B" w14:textId="1A639B9A" w:rsidR="001E407F" w:rsidRDefault="001E40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CA9C6" w14:textId="0FAABACA" w:rsidR="00596BE1" w:rsidRDefault="001E407F">
    <w:pPr>
      <w:pStyle w:val="Header"/>
    </w:pPr>
    <w:r>
      <w:t>BIOLOGICAL SENSITIVITY TO CONTEXT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AA2"/>
    <w:multiLevelType w:val="hybridMultilevel"/>
    <w:tmpl w:val="1D4C6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372C"/>
    <w:multiLevelType w:val="hybridMultilevel"/>
    <w:tmpl w:val="10E45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B7B96"/>
    <w:multiLevelType w:val="hybridMultilevel"/>
    <w:tmpl w:val="B7C22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A9"/>
    <w:rsid w:val="00013D9E"/>
    <w:rsid w:val="00036397"/>
    <w:rsid w:val="001174A9"/>
    <w:rsid w:val="001266B0"/>
    <w:rsid w:val="00136A76"/>
    <w:rsid w:val="00174BFA"/>
    <w:rsid w:val="0019707B"/>
    <w:rsid w:val="001E407F"/>
    <w:rsid w:val="00295C13"/>
    <w:rsid w:val="002D17D2"/>
    <w:rsid w:val="0031026D"/>
    <w:rsid w:val="0033418D"/>
    <w:rsid w:val="00347CC1"/>
    <w:rsid w:val="00382E5F"/>
    <w:rsid w:val="003C7923"/>
    <w:rsid w:val="00480B73"/>
    <w:rsid w:val="004A4693"/>
    <w:rsid w:val="004B5195"/>
    <w:rsid w:val="004B700B"/>
    <w:rsid w:val="00531510"/>
    <w:rsid w:val="00544EDC"/>
    <w:rsid w:val="0056310D"/>
    <w:rsid w:val="005965CA"/>
    <w:rsid w:val="00596BE1"/>
    <w:rsid w:val="00606F95"/>
    <w:rsid w:val="006A6F6B"/>
    <w:rsid w:val="00701AD1"/>
    <w:rsid w:val="008905D2"/>
    <w:rsid w:val="008C7339"/>
    <w:rsid w:val="00904A38"/>
    <w:rsid w:val="00B523BE"/>
    <w:rsid w:val="00C209D1"/>
    <w:rsid w:val="00C305F6"/>
    <w:rsid w:val="00C34C5A"/>
    <w:rsid w:val="00C81F96"/>
    <w:rsid w:val="00CB1F22"/>
    <w:rsid w:val="00CF34D8"/>
    <w:rsid w:val="00D40DF9"/>
    <w:rsid w:val="00D954BD"/>
    <w:rsid w:val="00E21459"/>
    <w:rsid w:val="00E549E6"/>
    <w:rsid w:val="00F11F59"/>
    <w:rsid w:val="00F3617E"/>
    <w:rsid w:val="00F60579"/>
    <w:rsid w:val="00FC4128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B1DA"/>
  <w15:chartTrackingRefBased/>
  <w15:docId w15:val="{06CFCEDB-5069-4440-AC8D-8902A14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A9"/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6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BE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E1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9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E1"/>
    <w:rPr>
      <w:rFonts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9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114E-1F8C-4B3A-BBBB-200253E1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Shakiba</dc:creator>
  <cp:keywords/>
  <dc:description/>
  <cp:lastModifiedBy>Nila Shakiba</cp:lastModifiedBy>
  <cp:revision>4</cp:revision>
  <dcterms:created xsi:type="dcterms:W3CDTF">2018-11-04T18:36:00Z</dcterms:created>
  <dcterms:modified xsi:type="dcterms:W3CDTF">2018-11-06T21:26:00Z</dcterms:modified>
</cp:coreProperties>
</file>