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16" w:rsidRPr="001110DB" w:rsidRDefault="00C64216" w:rsidP="00C64216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C64216" w:rsidRPr="001110DB" w:rsidRDefault="00C64216" w:rsidP="00C64216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10DB">
        <w:rPr>
          <w:rFonts w:ascii="Times New Roman" w:hAnsi="Times New Roman" w:cs="Times New Roman"/>
          <w:b/>
          <w:sz w:val="20"/>
          <w:szCs w:val="20"/>
          <w:lang w:val="en-GB"/>
        </w:rPr>
        <w:t>APPENDIX</w:t>
      </w:r>
      <w:r w:rsidRPr="001110DB">
        <w:rPr>
          <w:rFonts w:ascii="Times New Roman" w:hAnsi="Times New Roman" w:cs="Times New Roman"/>
          <w:sz w:val="20"/>
          <w:szCs w:val="20"/>
          <w:lang w:val="en-GB"/>
        </w:rPr>
        <w:t xml:space="preserve"> Descriptive statistics of the go/no-go performance</w:t>
      </w:r>
    </w:p>
    <w:tbl>
      <w:tblPr>
        <w:tblStyle w:val="TaulukkoRuudukko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850"/>
        <w:gridCol w:w="709"/>
        <w:gridCol w:w="283"/>
        <w:gridCol w:w="1134"/>
        <w:gridCol w:w="993"/>
        <w:gridCol w:w="283"/>
        <w:gridCol w:w="992"/>
        <w:gridCol w:w="851"/>
      </w:tblGrid>
      <w:tr w:rsidR="00C64216" w:rsidRPr="001110DB" w:rsidTr="00577B4E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T1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T2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  <w:hideMark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T3 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(n = 2,433)</w:t>
            </w:r>
          </w:p>
        </w:tc>
        <w:tc>
          <w:tcPr>
            <w:tcW w:w="283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2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(n = 2,715)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(n = 2,526)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SD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SD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SD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errors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16.60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7.62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19.77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12.86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17.88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12.70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Commission errors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11.55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4.70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12.69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5.34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11.79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5.32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Commission rate (all)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0.41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0.17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0.19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0.41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0.19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Commission rate (block 1)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0.38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0.19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0.39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0.20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0.37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0.20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Commission rate (block 2)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0.21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0.48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0.22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0.22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  <w:hideMark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Omission errors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5.05</w:t>
            </w:r>
          </w:p>
        </w:tc>
        <w:tc>
          <w:tcPr>
            <w:tcW w:w="709" w:type="dxa"/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5.56</w:t>
            </w:r>
          </w:p>
        </w:tc>
        <w:tc>
          <w:tcPr>
            <w:tcW w:w="283" w:type="dxa"/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7.10</w:t>
            </w:r>
          </w:p>
        </w:tc>
        <w:tc>
          <w:tcPr>
            <w:tcW w:w="993" w:type="dxa"/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9.19</w:t>
            </w:r>
          </w:p>
        </w:tc>
        <w:tc>
          <w:tcPr>
            <w:tcW w:w="283" w:type="dxa"/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6.09</w:t>
            </w:r>
          </w:p>
        </w:tc>
        <w:tc>
          <w:tcPr>
            <w:tcW w:w="851" w:type="dxa"/>
            <w:noWrap/>
            <w:hideMark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8.97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Omission rate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0.10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Reaction time (</w:t>
            </w:r>
            <w:proofErr w:type="spellStart"/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ms</w:t>
            </w:r>
            <w:proofErr w:type="spellEnd"/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468.82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67.00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492.28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99.47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464.15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95.21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Anticipatory responses (total)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5.03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8.49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2.33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2.73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2.41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3.16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Anticipatory responses (no-go)</w:t>
            </w:r>
          </w:p>
        </w:tc>
        <w:tc>
          <w:tcPr>
            <w:tcW w:w="284" w:type="dxa"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1.36</w:t>
            </w:r>
          </w:p>
        </w:tc>
        <w:tc>
          <w:tcPr>
            <w:tcW w:w="709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2.36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0.71</w:t>
            </w:r>
          </w:p>
        </w:tc>
        <w:tc>
          <w:tcPr>
            <w:tcW w:w="99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1.06</w:t>
            </w:r>
          </w:p>
        </w:tc>
        <w:tc>
          <w:tcPr>
            <w:tcW w:w="283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0.71</w:t>
            </w:r>
          </w:p>
        </w:tc>
        <w:tc>
          <w:tcPr>
            <w:tcW w:w="851" w:type="dxa"/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1.09</w:t>
            </w:r>
          </w:p>
        </w:tc>
      </w:tr>
      <w:tr w:rsidR="00C64216" w:rsidRPr="001110DB" w:rsidTr="00577B4E">
        <w:trPr>
          <w:trHeight w:hRule="exact" w:val="284"/>
        </w:trPr>
        <w:tc>
          <w:tcPr>
            <w:tcW w:w="2977" w:type="dxa"/>
            <w:tcBorders>
              <w:bottom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Anticipatory responses (go)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3.67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6.37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1.62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2.08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64216" w:rsidRPr="001110DB" w:rsidRDefault="00C64216" w:rsidP="00577B4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0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2.41</w:t>
            </w:r>
          </w:p>
        </w:tc>
      </w:tr>
    </w:tbl>
    <w:p w:rsidR="00C64216" w:rsidRPr="001110DB" w:rsidRDefault="00C64216" w:rsidP="00C64216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07E5" w:rsidRPr="00C64216" w:rsidRDefault="00C64216" w:rsidP="00C64216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110DB">
        <w:rPr>
          <w:rFonts w:ascii="Times New Roman" w:hAnsi="Times New Roman" w:cs="Times New Roman"/>
          <w:sz w:val="20"/>
          <w:szCs w:val="20"/>
          <w:lang w:val="en-GB"/>
        </w:rPr>
        <w:t>Total errors (theoretical range: 0–120); Commission errors, the number of errors in the no-go trials (theoretical range: 0–45); Commission rate, the pr</w:t>
      </w:r>
      <w:r w:rsidRPr="001110DB">
        <w:rPr>
          <w:rFonts w:ascii="Times New Roman" w:hAnsi="Times New Roman" w:cs="Times New Roman"/>
          <w:sz w:val="20"/>
          <w:szCs w:val="20"/>
          <w:lang w:val="en-GB"/>
        </w:rPr>
        <w:softHyphen/>
        <w:t>oportion of commission errors in the go/no-go task (theoretical range: 0–1); Omission errors, the number or errors in the go trials (theoretical range: 0–75); Omission rate, the pr</w:t>
      </w:r>
      <w:bookmarkStart w:id="0" w:name="_GoBack"/>
      <w:bookmarkEnd w:id="0"/>
      <w:r w:rsidRPr="001110DB">
        <w:rPr>
          <w:rFonts w:ascii="Times New Roman" w:hAnsi="Times New Roman" w:cs="Times New Roman"/>
          <w:sz w:val="20"/>
          <w:szCs w:val="20"/>
          <w:lang w:val="en-GB"/>
        </w:rPr>
        <w:t xml:space="preserve">oportion of omission errors in the go/no-go task (theoretical range: 0–1); Reaction time, the mean reaction time in the correct go trials (theoretical range: 250–2,000); Anticipatory responses, the number of trials with anticipatory responses (reaction times &lt; 250 </w:t>
      </w:r>
      <w:proofErr w:type="spellStart"/>
      <w:r w:rsidRPr="001110DB">
        <w:rPr>
          <w:rFonts w:ascii="Times New Roman" w:hAnsi="Times New Roman" w:cs="Times New Roman"/>
          <w:sz w:val="20"/>
          <w:szCs w:val="20"/>
          <w:lang w:val="en-GB"/>
        </w:rPr>
        <w:t>ms</w:t>
      </w:r>
      <w:proofErr w:type="spellEnd"/>
      <w:r w:rsidRPr="001110DB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sectPr w:rsidR="00EA07E5" w:rsidRPr="00C64216" w:rsidSect="00DF193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90"/>
    <w:rsid w:val="00057090"/>
    <w:rsid w:val="00C64216"/>
    <w:rsid w:val="00DF1939"/>
    <w:rsid w:val="00F2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EBFDE"/>
  <w15:chartTrackingRefBased/>
  <w15:docId w15:val="{709BF36C-8E9C-2C4E-9B76-02C8F662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7090"/>
    <w:pPr>
      <w:spacing w:after="160" w:line="259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64216"/>
    <w:rPr>
      <w:rFonts w:eastAsiaTheme="minorEastAsia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Maasalo, Katri K</dc:creator>
  <cp:keywords/>
  <dc:description/>
  <cp:lastModifiedBy>Maasalo, Katri K</cp:lastModifiedBy>
  <cp:revision>1</cp:revision>
  <dcterms:created xsi:type="dcterms:W3CDTF">2019-11-20T20:15:00Z</dcterms:created>
  <dcterms:modified xsi:type="dcterms:W3CDTF">2019-11-20T20:26:00Z</dcterms:modified>
</cp:coreProperties>
</file>