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13" w:rsidRPr="00BE7501" w:rsidRDefault="00521A13" w:rsidP="00521A13">
      <w:pPr>
        <w:jc w:val="center"/>
        <w:rPr>
          <w:b/>
        </w:rPr>
      </w:pPr>
      <w:r w:rsidRPr="00BE7501">
        <w:rPr>
          <w:b/>
        </w:rPr>
        <w:t>Supplemental Materials 2: LLPA Profile Selection Process</w:t>
      </w:r>
    </w:p>
    <w:p w:rsidR="00521A13" w:rsidRPr="00C41403" w:rsidRDefault="00521A13" w:rsidP="00521A13">
      <w:pPr>
        <w:jc w:val="center"/>
      </w:pPr>
    </w:p>
    <w:p w:rsidR="00521A13" w:rsidRPr="00C41403" w:rsidRDefault="00521A13" w:rsidP="00521A13">
      <w:pPr>
        <w:spacing w:line="480" w:lineRule="auto"/>
        <w:ind w:firstLine="720"/>
      </w:pPr>
      <w:r w:rsidRPr="00C41403">
        <w:t>Research using LLPA often assumes that profile indicators have equal variance across classes (</w:t>
      </w:r>
      <w:proofErr w:type="spellStart"/>
      <w:r w:rsidRPr="00C41403">
        <w:t>Masyn</w:t>
      </w:r>
      <w:proofErr w:type="spellEnd"/>
      <w:r w:rsidRPr="00C41403">
        <w:t xml:space="preserve">, 2013; </w:t>
      </w:r>
      <w:proofErr w:type="spellStart"/>
      <w:r w:rsidRPr="00C41403">
        <w:t>Tein</w:t>
      </w:r>
      <w:proofErr w:type="spellEnd"/>
      <w:r w:rsidRPr="00C41403">
        <w:t xml:space="preserve"> et al., 2013). However, this assumption is often violated (</w:t>
      </w:r>
      <w:proofErr w:type="spellStart"/>
      <w:r w:rsidRPr="00C41403">
        <w:t>Tein</w:t>
      </w:r>
      <w:proofErr w:type="spellEnd"/>
      <w:r w:rsidRPr="00C41403">
        <w:t xml:space="preserve"> et al., 2013), and freeing indicator variances can lead to different profile solutions with respect to profile number and form. Because profile solutions can differ when freeing indicator variances, efforts were made to free item variances in a pragmatic fashion that balanced model fit with model complexity (</w:t>
      </w:r>
      <w:proofErr w:type="spellStart"/>
      <w:r w:rsidRPr="00C41403">
        <w:t>Hallqu</w:t>
      </w:r>
      <w:r w:rsidR="005A3661">
        <w:t>ist</w:t>
      </w:r>
      <w:proofErr w:type="spellEnd"/>
      <w:r w:rsidR="005A3661">
        <w:t xml:space="preserve"> &amp; Wright, 2014; </w:t>
      </w:r>
      <w:proofErr w:type="spellStart"/>
      <w:r w:rsidR="005A3661">
        <w:t>Masyn</w:t>
      </w:r>
      <w:proofErr w:type="spellEnd"/>
      <w:r w:rsidRPr="00C41403">
        <w:t xml:space="preserve">, 2013; Wright &amp; </w:t>
      </w:r>
      <w:proofErr w:type="spellStart"/>
      <w:r w:rsidRPr="00C41403">
        <w:t>Hallquist</w:t>
      </w:r>
      <w:proofErr w:type="spellEnd"/>
      <w:r w:rsidRPr="00C41403">
        <w:t xml:space="preserve">, 2014). Accordingly, a multistep approach was taken to estimate our LLPA such that models were first estimated with indicator variances constrained across profiles and then the 12 indicator variances were allowed to vary across profiles, one at time. Next, AIC, BIC, LRT, BLRT, entropy, class size, and class interpretability, were used to compare these LLPA models to determine the best profile solution. </w:t>
      </w:r>
    </w:p>
    <w:p w:rsidR="00521A13" w:rsidRPr="00C41403" w:rsidRDefault="00521A13" w:rsidP="00521A13">
      <w:pPr>
        <w:spacing w:line="480" w:lineRule="auto"/>
        <w:ind w:firstLine="720"/>
      </w:pPr>
      <w:r w:rsidRPr="00C41403">
        <w:t xml:space="preserve">Across LLPA modeling strategies (indicator variances constrained across profiles and individual indicator variances freely estimated across profiles) the BIC consistently favored the 5 and 6 profile solutions, whereas the AIC, </w:t>
      </w:r>
      <w:proofErr w:type="spellStart"/>
      <w:r w:rsidRPr="00C41403">
        <w:t>aBIC</w:t>
      </w:r>
      <w:proofErr w:type="spellEnd"/>
      <w:r w:rsidRPr="00C41403">
        <w:t>, and BLRT consistently favored the 6 profile solutions (see Table A1). These fit indices suggested that the 5 and 6 profile solutions be considered as potential final LLPA solutions. Of the 5 profile solutions, only the model where the variance for parental responsiveness at W3 was freely estimated across profiles resulted in a decrease in BIC</w:t>
      </w:r>
      <w:r w:rsidRPr="00C41403">
        <w:rPr>
          <w:rStyle w:val="FootnoteReference"/>
        </w:rPr>
        <w:footnoteReference w:id="1"/>
      </w:r>
      <w:r w:rsidRPr="00C41403">
        <w:t xml:space="preserve">. The increase in BIC for all other indicators relative to the fully constrained variances model indicated that freeing all other indicator variances across profiles did not improve model fit. Further, consistent with the BIC, the lowest AIC and </w:t>
      </w:r>
      <w:proofErr w:type="spellStart"/>
      <w:r w:rsidRPr="00C41403">
        <w:t>aBIC</w:t>
      </w:r>
      <w:proofErr w:type="spellEnd"/>
      <w:r w:rsidRPr="00C41403">
        <w:t xml:space="preserve"> values were obtained for the 5 profile solution </w:t>
      </w:r>
      <w:r w:rsidRPr="00C41403">
        <w:lastRenderedPageBreak/>
        <w:t>with the variance for W3 parental responsiveness freely estimated. Similar findings were observed for the 6 profile solutions such that a lower BIC relative to the fully constrained LLPA only occurred when the variances for parental responsiveness at W2 and W3 were freely estimated. The 6 class solution with the indicator variance for W2 parental responsiveness freely estimated yielded a class with 12 individuals (3.1% of the sample). Considering the small size of this profile, this solution was not considered as for the final LLPA solution (</w:t>
      </w:r>
      <w:proofErr w:type="spellStart"/>
      <w:r w:rsidRPr="00C41403">
        <w:t>Hallquist</w:t>
      </w:r>
      <w:proofErr w:type="spellEnd"/>
      <w:r w:rsidRPr="00C41403">
        <w:t xml:space="preserve"> &amp; Wright, 2014). </w:t>
      </w:r>
    </w:p>
    <w:p w:rsidR="00521A13" w:rsidRPr="00C41403" w:rsidRDefault="00521A13" w:rsidP="00521A13">
      <w:pPr>
        <w:spacing w:line="480" w:lineRule="auto"/>
        <w:ind w:firstLine="720"/>
      </w:pPr>
      <w:r w:rsidRPr="00C41403">
        <w:t xml:space="preserve">These results led to us to consider the 5 and 6 profile solutions where the variance for W3 parental responsiveness was freely estimated across profiles as potential final profile solutions. Although AIC, BIC, </w:t>
      </w:r>
      <w:proofErr w:type="spellStart"/>
      <w:r w:rsidRPr="00C41403">
        <w:t>aBIC</w:t>
      </w:r>
      <w:proofErr w:type="spellEnd"/>
      <w:r w:rsidRPr="00C41403">
        <w:t xml:space="preserve">, and BLRT favored the 6 profile solution, visual inspection of the 6 profile solutions indicated that two profiles were characterized by the same pattern of social goals and parenting. Specifically, two profiles had low levels of communal goal, average levels of agentic social goals, low levels of parental responsiveness, and low levels of parental demandingness. Considering these profiles differed only in mean levels of social goals and parenting and the pattern of social goals style and parenting style were identical, the 5-profile solution was selected as the final LLPA solution. </w:t>
      </w:r>
    </w:p>
    <w:p w:rsidR="00521A13" w:rsidRPr="00C41403" w:rsidRDefault="00521A13" w:rsidP="00521A13"/>
    <w:p w:rsidR="00521A13" w:rsidRPr="00C41403" w:rsidRDefault="00521A13" w:rsidP="00521A13"/>
    <w:p w:rsidR="00521A13" w:rsidRPr="00C41403" w:rsidRDefault="00521A13" w:rsidP="00521A13"/>
    <w:p w:rsidR="00521A13" w:rsidRPr="00C41403" w:rsidRDefault="00521A13" w:rsidP="00521A13">
      <w:pPr>
        <w:sectPr w:rsidR="00521A13" w:rsidRPr="00C41403" w:rsidSect="000940A7">
          <w:pgSz w:w="12240" w:h="15840"/>
          <w:pgMar w:top="720" w:right="1800" w:bottom="720" w:left="1800" w:header="720" w:footer="720" w:gutter="0"/>
          <w:cols w:space="720"/>
          <w:docGrid w:linePitch="360"/>
        </w:sectPr>
      </w:pPr>
    </w:p>
    <w:p w:rsidR="00521A13" w:rsidRPr="00C41403" w:rsidRDefault="00521A13" w:rsidP="00521A13">
      <w:r w:rsidRPr="00C41403">
        <w:lastRenderedPageBreak/>
        <w:t>Table B1. Model fit information for LLPA across modeling strategies</w:t>
      </w:r>
    </w:p>
    <w:tbl>
      <w:tblPr>
        <w:tblW w:w="0" w:type="auto"/>
        <w:tblBorders>
          <w:top w:val="single" w:sz="4" w:space="0" w:color="auto"/>
          <w:bottom w:val="single" w:sz="4" w:space="0" w:color="auto"/>
        </w:tblBorders>
        <w:tblLook w:val="04A0" w:firstRow="1" w:lastRow="0" w:firstColumn="1" w:lastColumn="0" w:noHBand="0" w:noVBand="1"/>
      </w:tblPr>
      <w:tblGrid>
        <w:gridCol w:w="1999"/>
        <w:gridCol w:w="776"/>
        <w:gridCol w:w="666"/>
        <w:gridCol w:w="666"/>
        <w:gridCol w:w="666"/>
        <w:gridCol w:w="1708"/>
        <w:gridCol w:w="1363"/>
        <w:gridCol w:w="796"/>
      </w:tblGrid>
      <w:tr w:rsidR="00521A13" w:rsidRPr="00C41403" w:rsidTr="00EC6426">
        <w:trPr>
          <w:trHeight w:val="312"/>
        </w:trPr>
        <w:tc>
          <w:tcPr>
            <w:tcW w:w="0" w:type="auto"/>
            <w:tcBorders>
              <w:top w:val="single" w:sz="4" w:space="0" w:color="auto"/>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LLPA Method</w:t>
            </w:r>
          </w:p>
        </w:tc>
        <w:tc>
          <w:tcPr>
            <w:tcW w:w="0" w:type="auto"/>
            <w:tcBorders>
              <w:top w:val="single" w:sz="4" w:space="0" w:color="auto"/>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Profiles</w:t>
            </w:r>
          </w:p>
        </w:tc>
        <w:tc>
          <w:tcPr>
            <w:tcW w:w="0" w:type="auto"/>
            <w:tcBorders>
              <w:top w:val="single" w:sz="4" w:space="0" w:color="auto"/>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AIC</w:t>
            </w:r>
          </w:p>
        </w:tc>
        <w:tc>
          <w:tcPr>
            <w:tcW w:w="0" w:type="auto"/>
            <w:tcBorders>
              <w:top w:val="single" w:sz="4" w:space="0" w:color="auto"/>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BIC</w:t>
            </w:r>
          </w:p>
        </w:tc>
        <w:tc>
          <w:tcPr>
            <w:tcW w:w="0" w:type="auto"/>
            <w:tcBorders>
              <w:top w:val="single" w:sz="4" w:space="0" w:color="auto"/>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proofErr w:type="spellStart"/>
            <w:r w:rsidRPr="00C41403">
              <w:rPr>
                <w:rFonts w:eastAsia="Times New Roman"/>
                <w:color w:val="000000"/>
                <w:sz w:val="18"/>
                <w:szCs w:val="18"/>
              </w:rPr>
              <w:t>aBIC</w:t>
            </w:r>
            <w:proofErr w:type="spellEnd"/>
          </w:p>
        </w:tc>
        <w:tc>
          <w:tcPr>
            <w:tcW w:w="0" w:type="auto"/>
            <w:tcBorders>
              <w:top w:val="single" w:sz="4" w:space="0" w:color="auto"/>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BLRT</w:t>
            </w:r>
          </w:p>
        </w:tc>
        <w:tc>
          <w:tcPr>
            <w:tcW w:w="0" w:type="auto"/>
            <w:tcBorders>
              <w:top w:val="single" w:sz="4" w:space="0" w:color="auto"/>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Smallest Class</w:t>
            </w:r>
          </w:p>
        </w:tc>
        <w:tc>
          <w:tcPr>
            <w:tcW w:w="0" w:type="auto"/>
            <w:tcBorders>
              <w:top w:val="single" w:sz="4" w:space="0" w:color="auto"/>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Entropy</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Demandingness W1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11745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11625</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564.89(14),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N=167, 43.15%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11425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11466</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197.64(14),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11318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11579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11370</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135.17(14),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N=32, 8.26%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11241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11557</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11304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105.48(14),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N=27, 6.97%</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11187</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11559</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11261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81.99(14),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N=27, 6.97%</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Demandingness W2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11749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11629</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561.05(14),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N=163, 42.11%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11429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11470</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197.99(14),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N=36, 9.30%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11321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11582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11373</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136.02(14),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N=33, 8.52%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11242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11558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11305</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107.07(14),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N=32, 8.26%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0.79</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11184</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11556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11258</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85.54(14),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N=27, 6.97%</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Demandingness W3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11602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11753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11632</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557.69(14),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N=170, 43.92%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11436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11642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11477</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194.06(14),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0.84</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11320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11581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11372</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144.33(14),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N=32, 8.26%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11245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11307</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103.27(14),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N=29, 7.49%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0.82</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11187</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11559</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11261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85.14(14),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N=12, 3.1%</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0.82</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Responsiveness W1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11575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11726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11605</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584.57(14),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 xml:space="preserve">N=151, 39.01% </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11403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11609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11444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200.60(14),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N=33, 8.52%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0.86</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11310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11572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11362</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120.37(14),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11239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11556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11302</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99.32(14),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N=26, 6.71%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11175</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11548</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11249</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91.58(14),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N=27, 6.97%</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0.84</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Responsiveness W2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11575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11725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11605</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585.11(14),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N=161, 41.60%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0.79</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11427</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11468</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175.81(14),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N=37. 9.56%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11310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11571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11362</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144.91(14),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0.84</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11231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11548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11294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106.62(14),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N=40, 10.33%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11168</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11540</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11242</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91.68(14),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N=12, 3.1%</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Responsiveness W3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11742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11622</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568.12(14),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N=154, 39.79%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0.78</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11433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186.64(14),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 9.81%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0.84</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11284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11545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11336</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177.33(14),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N=40, 10.33%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11204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11521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11267</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107.45(14),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N=45, 11.62%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0.82</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11132</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11504</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11206</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100.44(14),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N=28, 7.23%</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0.81</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Agency W1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11601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11752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558.46(14),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N=172, 44.44%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11436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11642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11477</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193.00(14),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11332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11384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132.21(14),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N=33, 8.52%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11251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11314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108.89(14),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N=26, 6.71%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11199</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11571</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11273</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80.60(14),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N=26, 6.71%</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Agency W2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11602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11752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558.27(14),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N=178, 45.99%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11438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11643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11478</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192.03(14),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11331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11382</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135.06(14),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N=33, 8.52%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0.82</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11250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11567</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11313</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108.07(14),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N=26, 6.71%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11194</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11268</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84.17(14),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N=27, 6.97%</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Agency W3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11602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11752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11632</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557.86(14),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N=169, 43.67%</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11437</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11643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11478</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192.76(14),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11324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11585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11375</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141.71(14),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N=30, 7.75%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0.84</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11241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11558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11304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110.44(14),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N=27, 6.97%</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11188</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11560</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11262</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80.90(14),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N=28, 7.23%</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Communion W1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11745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11624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565.70(14),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N=173, 44.70%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11431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191.59(14),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0.84</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11328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11380</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130.18(14),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N=31, 8.01%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0.82</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11249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11566</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11312</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106.99(14),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N=28, 7.23%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0.79</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11192</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11565</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11266</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84.99(14),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N=26, 6.71%</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0.81</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Communion W2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11748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11628</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562.25(14),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N=172, 44.44%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11435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11641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11476</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190.61(14),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11322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11583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11374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141.07(14),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11248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11311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101.68(14),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N=29, 7.49%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0.79</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11194</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11268</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82.40(14),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N=26, 6.71%</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0.81</w:t>
            </w:r>
          </w:p>
        </w:tc>
      </w:tr>
      <w:tr w:rsidR="00521A13" w:rsidRPr="00C41403" w:rsidTr="00EC6426">
        <w:trPr>
          <w:trHeight w:val="312"/>
        </w:trPr>
        <w:tc>
          <w:tcPr>
            <w:tcW w:w="0" w:type="auto"/>
            <w:vMerge w:val="restart"/>
            <w:tcBorders>
              <w:top w:val="single" w:sz="4" w:space="0" w:color="auto"/>
              <w:bottom w:val="nil"/>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Communion W3 Variance Free Across Classes</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11748</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11628</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561.97(14),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N=172, 44.44%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11434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11640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11475</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191.91(14),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N=36, 9.30%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0.84</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11329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11590</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11381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133.32(14),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N=31, 8.01%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0.82</w:t>
            </w:r>
          </w:p>
        </w:tc>
      </w:tr>
      <w:tr w:rsidR="00521A13" w:rsidRPr="00C41403" w:rsidTr="00EC6426">
        <w:trPr>
          <w:trHeight w:val="312"/>
        </w:trPr>
        <w:tc>
          <w:tcPr>
            <w:tcW w:w="0" w:type="auto"/>
            <w:vMerge/>
            <w:tcBorders>
              <w:top w:val="nil"/>
              <w:bottom w:val="nil"/>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11251</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11567</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11314</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105.98(14), p&lt;.0001</w:t>
            </w:r>
          </w:p>
        </w:tc>
        <w:tc>
          <w:tcPr>
            <w:tcW w:w="0" w:type="auto"/>
            <w:tcBorders>
              <w:top w:val="nil"/>
              <w:bottom w:val="nil"/>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N=29, 7.49%</w:t>
            </w:r>
          </w:p>
        </w:tc>
        <w:tc>
          <w:tcPr>
            <w:tcW w:w="0" w:type="auto"/>
            <w:tcBorders>
              <w:top w:val="nil"/>
              <w:bottom w:val="nil"/>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tcBorders>
              <w:top w:val="nil"/>
              <w:bottom w:val="single" w:sz="4" w:space="0" w:color="auto"/>
            </w:tcBorders>
            <w:vAlign w:val="center"/>
            <w:hideMark/>
          </w:tcPr>
          <w:p w:rsidR="00521A13" w:rsidRPr="00C41403" w:rsidRDefault="00521A13" w:rsidP="00EC6426">
            <w:pPr>
              <w:rPr>
                <w:rFonts w:eastAsia="Times New Roman"/>
                <w:color w:val="000000"/>
                <w:sz w:val="18"/>
                <w:szCs w:val="18"/>
              </w:rPr>
            </w:pP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11190</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11562</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11264</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88.48(14), p&lt;.0001</w:t>
            </w:r>
          </w:p>
        </w:tc>
        <w:tc>
          <w:tcPr>
            <w:tcW w:w="0" w:type="auto"/>
            <w:tcBorders>
              <w:top w:val="nil"/>
              <w:bottom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N=26, 6.71%</w:t>
            </w:r>
          </w:p>
        </w:tc>
        <w:tc>
          <w:tcPr>
            <w:tcW w:w="0" w:type="auto"/>
            <w:tcBorders>
              <w:top w:val="nil"/>
              <w:bottom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0.82</w:t>
            </w:r>
          </w:p>
        </w:tc>
      </w:tr>
      <w:tr w:rsidR="00521A13" w:rsidRPr="00C41403" w:rsidTr="00EC6426">
        <w:trPr>
          <w:trHeight w:val="312"/>
        </w:trPr>
        <w:tc>
          <w:tcPr>
            <w:tcW w:w="0" w:type="auto"/>
            <w:vMerge w:val="restart"/>
            <w:tcBorders>
              <w:top w:val="single" w:sz="4" w:space="0" w:color="auto"/>
            </w:tcBorders>
            <w:shd w:val="clear" w:color="auto" w:fill="auto"/>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All Variances Constrained Across Classes</w:t>
            </w:r>
          </w:p>
        </w:tc>
        <w:tc>
          <w:tcPr>
            <w:tcW w:w="0" w:type="auto"/>
            <w:tcBorders>
              <w:top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w:t>
            </w:r>
          </w:p>
        </w:tc>
        <w:tc>
          <w:tcPr>
            <w:tcW w:w="0" w:type="auto"/>
            <w:tcBorders>
              <w:top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12132</w:t>
            </w:r>
          </w:p>
        </w:tc>
        <w:tc>
          <w:tcPr>
            <w:tcW w:w="0" w:type="auto"/>
            <w:tcBorders>
              <w:top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12227</w:t>
            </w:r>
          </w:p>
        </w:tc>
        <w:tc>
          <w:tcPr>
            <w:tcW w:w="0" w:type="auto"/>
            <w:tcBorders>
              <w:top w:val="single" w:sz="4" w:space="0" w:color="auto"/>
            </w:tcBorders>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12151</w:t>
            </w:r>
          </w:p>
        </w:tc>
        <w:tc>
          <w:tcPr>
            <w:tcW w:w="0" w:type="auto"/>
            <w:tcBorders>
              <w:top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w:t>
            </w:r>
          </w:p>
        </w:tc>
        <w:tc>
          <w:tcPr>
            <w:tcW w:w="0" w:type="auto"/>
            <w:tcBorders>
              <w:top w:val="single" w:sz="4" w:space="0" w:color="auto"/>
            </w:tcBorders>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N=387, 100%</w:t>
            </w:r>
          </w:p>
        </w:tc>
        <w:tc>
          <w:tcPr>
            <w:tcW w:w="0" w:type="auto"/>
            <w:tcBorders>
              <w:top w:val="single" w:sz="4" w:space="0" w:color="auto"/>
            </w:tcBorders>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1.00</w:t>
            </w:r>
          </w:p>
        </w:tc>
      </w:tr>
      <w:tr w:rsidR="00521A13" w:rsidRPr="00C41403" w:rsidTr="00EC6426">
        <w:trPr>
          <w:trHeight w:val="312"/>
        </w:trPr>
        <w:tc>
          <w:tcPr>
            <w:tcW w:w="0" w:type="auto"/>
            <w:vMerge/>
            <w:vAlign w:val="center"/>
            <w:hideMark/>
          </w:tcPr>
          <w:p w:rsidR="00521A13" w:rsidRPr="00C41403" w:rsidRDefault="00521A13" w:rsidP="00EC6426">
            <w:pPr>
              <w:rPr>
                <w:rFonts w:eastAsia="Times New Roman"/>
                <w:color w:val="000000"/>
                <w:sz w:val="18"/>
                <w:szCs w:val="18"/>
              </w:rPr>
            </w:pP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2</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11602</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11748</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11631</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555.96(13), p&lt;.0001</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N=164, 42.38%</w:t>
            </w: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0.77</w:t>
            </w:r>
          </w:p>
        </w:tc>
      </w:tr>
      <w:tr w:rsidR="00521A13" w:rsidRPr="00C41403" w:rsidTr="00EC6426">
        <w:trPr>
          <w:trHeight w:val="312"/>
        </w:trPr>
        <w:tc>
          <w:tcPr>
            <w:tcW w:w="0" w:type="auto"/>
            <w:vMerge/>
            <w:vAlign w:val="center"/>
            <w:hideMark/>
          </w:tcPr>
          <w:p w:rsidR="00521A13" w:rsidRPr="00C41403" w:rsidRDefault="00521A13" w:rsidP="00EC6426">
            <w:pPr>
              <w:rPr>
                <w:rFonts w:eastAsia="Times New Roman"/>
                <w:color w:val="000000"/>
                <w:sz w:val="18"/>
                <w:szCs w:val="18"/>
              </w:rPr>
            </w:pP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3</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11434</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11632</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11473</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194.21(13), P&lt;.0001</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N=34, 8.78%</w:t>
            </w: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0.85</w:t>
            </w:r>
          </w:p>
        </w:tc>
      </w:tr>
      <w:tr w:rsidR="00521A13" w:rsidRPr="00C41403" w:rsidTr="00EC6426">
        <w:trPr>
          <w:trHeight w:val="312"/>
        </w:trPr>
        <w:tc>
          <w:tcPr>
            <w:tcW w:w="0" w:type="auto"/>
            <w:vMerge/>
            <w:vAlign w:val="center"/>
            <w:hideMark/>
          </w:tcPr>
          <w:p w:rsidR="00521A13" w:rsidRPr="00C41403" w:rsidRDefault="00521A13" w:rsidP="00EC6426">
            <w:pPr>
              <w:rPr>
                <w:rFonts w:eastAsia="Times New Roman"/>
                <w:color w:val="000000"/>
                <w:sz w:val="18"/>
                <w:szCs w:val="18"/>
              </w:rPr>
            </w:pP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4</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11328</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11577</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11377</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131.92(13), P&lt;.0001</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N=33, 8.52%</w:t>
            </w: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r w:rsidR="00521A13" w:rsidRPr="00C41403" w:rsidTr="00EC6426">
        <w:trPr>
          <w:trHeight w:val="312"/>
        </w:trPr>
        <w:tc>
          <w:tcPr>
            <w:tcW w:w="0" w:type="auto"/>
            <w:vMerge/>
            <w:vAlign w:val="center"/>
            <w:hideMark/>
          </w:tcPr>
          <w:p w:rsidR="00521A13" w:rsidRPr="00C41403" w:rsidRDefault="00521A13" w:rsidP="00EC6426">
            <w:pPr>
              <w:rPr>
                <w:rFonts w:eastAsia="Times New Roman"/>
                <w:color w:val="000000"/>
                <w:sz w:val="18"/>
                <w:szCs w:val="18"/>
              </w:rPr>
            </w:pP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5</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11246</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11546</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11305</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108.18(13), p&lt;.0001</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N=26, 6.71%</w:t>
            </w: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0.80</w:t>
            </w:r>
          </w:p>
        </w:tc>
      </w:tr>
      <w:tr w:rsidR="00521A13" w:rsidRPr="00C41403" w:rsidTr="00EC6426">
        <w:trPr>
          <w:trHeight w:val="312"/>
        </w:trPr>
        <w:tc>
          <w:tcPr>
            <w:tcW w:w="0" w:type="auto"/>
            <w:vMerge/>
            <w:vAlign w:val="center"/>
            <w:hideMark/>
          </w:tcPr>
          <w:p w:rsidR="00521A13" w:rsidRPr="00C41403" w:rsidRDefault="00521A13" w:rsidP="00EC6426">
            <w:pPr>
              <w:rPr>
                <w:rFonts w:eastAsia="Times New Roman"/>
                <w:color w:val="000000"/>
                <w:sz w:val="18"/>
                <w:szCs w:val="18"/>
              </w:rPr>
            </w:pP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6</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11192</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11544</w:t>
            </w:r>
          </w:p>
        </w:tc>
        <w:tc>
          <w:tcPr>
            <w:tcW w:w="0" w:type="auto"/>
            <w:shd w:val="clear" w:color="auto" w:fill="auto"/>
            <w:noWrap/>
            <w:vAlign w:val="bottom"/>
            <w:hideMark/>
          </w:tcPr>
          <w:p w:rsidR="00521A13" w:rsidRPr="00C41403" w:rsidRDefault="00521A13" w:rsidP="00EC6426">
            <w:pPr>
              <w:jc w:val="center"/>
              <w:rPr>
                <w:rFonts w:eastAsia="Times New Roman"/>
                <w:sz w:val="18"/>
                <w:szCs w:val="18"/>
              </w:rPr>
            </w:pPr>
            <w:r w:rsidRPr="00C41403">
              <w:rPr>
                <w:rFonts w:eastAsia="Times New Roman"/>
                <w:sz w:val="18"/>
                <w:szCs w:val="18"/>
              </w:rPr>
              <w:t>11261</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80.05(13), p&lt;.0001</w:t>
            </w:r>
          </w:p>
        </w:tc>
        <w:tc>
          <w:tcPr>
            <w:tcW w:w="0" w:type="auto"/>
            <w:shd w:val="clear" w:color="auto" w:fill="auto"/>
            <w:noWrap/>
            <w:vAlign w:val="bottom"/>
            <w:hideMark/>
          </w:tcPr>
          <w:p w:rsidR="00521A13" w:rsidRPr="00C41403" w:rsidRDefault="00521A13" w:rsidP="00EC6426">
            <w:pPr>
              <w:rPr>
                <w:rFonts w:eastAsia="Times New Roman"/>
                <w:color w:val="000000"/>
                <w:sz w:val="18"/>
                <w:szCs w:val="18"/>
              </w:rPr>
            </w:pPr>
            <w:r w:rsidRPr="00C41403">
              <w:rPr>
                <w:rFonts w:eastAsia="Times New Roman"/>
                <w:color w:val="000000"/>
                <w:sz w:val="18"/>
                <w:szCs w:val="18"/>
              </w:rPr>
              <w:t>N=27, 6.97%</w:t>
            </w:r>
          </w:p>
        </w:tc>
        <w:tc>
          <w:tcPr>
            <w:tcW w:w="0" w:type="auto"/>
            <w:shd w:val="clear" w:color="auto" w:fill="auto"/>
            <w:noWrap/>
            <w:vAlign w:val="bottom"/>
            <w:hideMark/>
          </w:tcPr>
          <w:p w:rsidR="00521A13" w:rsidRPr="00C41403" w:rsidRDefault="00521A13" w:rsidP="00EC6426">
            <w:pPr>
              <w:jc w:val="center"/>
              <w:rPr>
                <w:rFonts w:eastAsia="Times New Roman"/>
                <w:color w:val="000000"/>
                <w:sz w:val="18"/>
                <w:szCs w:val="18"/>
              </w:rPr>
            </w:pPr>
            <w:r w:rsidRPr="00C41403">
              <w:rPr>
                <w:rFonts w:eastAsia="Times New Roman"/>
                <w:color w:val="000000"/>
                <w:sz w:val="18"/>
                <w:szCs w:val="18"/>
              </w:rPr>
              <w:t>0.83</w:t>
            </w:r>
          </w:p>
        </w:tc>
      </w:tr>
    </w:tbl>
    <w:p w:rsidR="00521A13" w:rsidRPr="005A3146" w:rsidRDefault="00521A13" w:rsidP="00521A13">
      <w:r w:rsidRPr="00C41403">
        <w:rPr>
          <w:i/>
        </w:rPr>
        <w:t>Note</w:t>
      </w:r>
      <w:r w:rsidRPr="00C41403">
        <w:t>. LLPA=longitudinal latent profile analysis, W=wave, BLRT=boot</w:t>
      </w:r>
      <w:r>
        <w:t>strapped likelihood ratio test.</w:t>
      </w:r>
    </w:p>
    <w:p w:rsidR="003D1C09" w:rsidRDefault="00835A3E"/>
    <w:p w:rsidR="005A3661" w:rsidRDefault="005A3661"/>
    <w:p w:rsidR="005A3661" w:rsidRDefault="005A3661"/>
    <w:p w:rsidR="005A3661" w:rsidRDefault="005A3661"/>
    <w:p w:rsidR="005A3661" w:rsidRDefault="005A3661"/>
    <w:p w:rsidR="005A3661" w:rsidRDefault="005A3661"/>
    <w:p w:rsidR="005A3661" w:rsidRDefault="005A3661"/>
    <w:p w:rsidR="005A3661" w:rsidRDefault="005A3661"/>
    <w:p w:rsidR="005A3661" w:rsidRDefault="005A3661"/>
    <w:p w:rsidR="005A3661" w:rsidRDefault="005A3661"/>
    <w:p w:rsidR="005A3661" w:rsidRDefault="005A3661" w:rsidP="005A3661">
      <w:pPr>
        <w:jc w:val="center"/>
        <w:rPr>
          <w:b/>
        </w:rPr>
      </w:pPr>
      <w:r w:rsidRPr="005A3661">
        <w:rPr>
          <w:b/>
        </w:rPr>
        <w:lastRenderedPageBreak/>
        <w:t>References</w:t>
      </w:r>
    </w:p>
    <w:p w:rsidR="005A3661" w:rsidRDefault="005A3661" w:rsidP="005A3661">
      <w:pPr>
        <w:jc w:val="center"/>
        <w:rPr>
          <w:b/>
        </w:rPr>
      </w:pPr>
    </w:p>
    <w:p w:rsidR="005A3661" w:rsidRPr="00C46ED8" w:rsidRDefault="005A3661" w:rsidP="005A3661">
      <w:pPr>
        <w:spacing w:beforeAutospacing="1" w:afterAutospacing="1" w:line="480" w:lineRule="auto"/>
        <w:rPr>
          <w:color w:val="333333"/>
        </w:rPr>
      </w:pPr>
      <w:proofErr w:type="spellStart"/>
      <w:r w:rsidRPr="008325B4">
        <w:rPr>
          <w:color w:val="222222"/>
          <w:shd w:val="clear" w:color="auto" w:fill="FFFFFF"/>
        </w:rPr>
        <w:t>Olivera</w:t>
      </w:r>
      <w:proofErr w:type="spellEnd"/>
      <w:r w:rsidRPr="008325B4">
        <w:rPr>
          <w:color w:val="222222"/>
          <w:shd w:val="clear" w:color="auto" w:fill="FFFFFF"/>
        </w:rPr>
        <w:t xml:space="preserve">-Aguilar, M., &amp; </w:t>
      </w:r>
      <w:proofErr w:type="spellStart"/>
      <w:r w:rsidRPr="008325B4">
        <w:rPr>
          <w:color w:val="222222"/>
          <w:shd w:val="clear" w:color="auto" w:fill="FFFFFF"/>
        </w:rPr>
        <w:t>Rikoon</w:t>
      </w:r>
      <w:proofErr w:type="spellEnd"/>
      <w:r w:rsidRPr="008325B4">
        <w:rPr>
          <w:color w:val="222222"/>
          <w:shd w:val="clear" w:color="auto" w:fill="FFFFFF"/>
        </w:rPr>
        <w:t>, S. H. (2018). Asse</w:t>
      </w:r>
      <w:r>
        <w:rPr>
          <w:color w:val="222222"/>
          <w:shd w:val="clear" w:color="auto" w:fill="FFFFFF"/>
        </w:rPr>
        <w:t>ssing measurement invariance in</w:t>
      </w:r>
      <w:r>
        <w:rPr>
          <w:color w:val="222222"/>
          <w:shd w:val="clear" w:color="auto" w:fill="FFFFFF"/>
        </w:rPr>
        <w:tab/>
      </w:r>
      <w:r w:rsidRPr="008325B4">
        <w:rPr>
          <w:color w:val="222222"/>
          <w:shd w:val="clear" w:color="auto" w:fill="FFFFFF"/>
        </w:rPr>
        <w:t>multiple-group latent profile analysis. </w:t>
      </w:r>
      <w:r>
        <w:rPr>
          <w:i/>
          <w:iCs/>
          <w:color w:val="222222"/>
          <w:shd w:val="clear" w:color="auto" w:fill="FFFFFF"/>
        </w:rPr>
        <w:t>Structural Equation Modeling: A</w:t>
      </w:r>
      <w:r>
        <w:rPr>
          <w:i/>
          <w:iCs/>
          <w:color w:val="222222"/>
          <w:shd w:val="clear" w:color="auto" w:fill="FFFFFF"/>
        </w:rPr>
        <w:tab/>
      </w:r>
      <w:r w:rsidRPr="008325B4">
        <w:rPr>
          <w:i/>
          <w:iCs/>
          <w:color w:val="222222"/>
          <w:shd w:val="clear" w:color="auto" w:fill="FFFFFF"/>
        </w:rPr>
        <w:t>Multidisciplinary Journal</w:t>
      </w:r>
      <w:r w:rsidRPr="008325B4">
        <w:rPr>
          <w:color w:val="222222"/>
          <w:shd w:val="clear" w:color="auto" w:fill="FFFFFF"/>
        </w:rPr>
        <w:t>, </w:t>
      </w:r>
      <w:r w:rsidRPr="008325B4">
        <w:rPr>
          <w:i/>
          <w:iCs/>
          <w:color w:val="222222"/>
          <w:shd w:val="clear" w:color="auto" w:fill="FFFFFF"/>
        </w:rPr>
        <w:t>25</w:t>
      </w:r>
      <w:r w:rsidRPr="008325B4">
        <w:rPr>
          <w:color w:val="222222"/>
          <w:shd w:val="clear" w:color="auto" w:fill="FFFFFF"/>
        </w:rPr>
        <w:t>(3), 439-452.</w:t>
      </w:r>
      <w:r>
        <w:rPr>
          <w:color w:val="222222"/>
          <w:shd w:val="clear" w:color="auto" w:fill="FFFFFF"/>
        </w:rPr>
        <w:tab/>
      </w:r>
      <w:hyperlink r:id="rId6" w:history="1">
        <w:r w:rsidRPr="008325B4">
          <w:rPr>
            <w:rStyle w:val="Hyperlink"/>
            <w:color w:val="006DB4"/>
          </w:rPr>
          <w:t>https://doi.org/10.1080/10705511.2017.1408015</w:t>
        </w:r>
      </w:hyperlink>
    </w:p>
    <w:p w:rsidR="005A3661" w:rsidRPr="005A3661" w:rsidRDefault="005A3661" w:rsidP="005A3661">
      <w:pPr>
        <w:rPr>
          <w:b/>
        </w:rPr>
      </w:pPr>
      <w:bookmarkStart w:id="0" w:name="_GoBack"/>
      <w:bookmarkEnd w:id="0"/>
    </w:p>
    <w:sectPr w:rsidR="005A3661" w:rsidRPr="005A3661" w:rsidSect="00182AB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3E" w:rsidRDefault="00835A3E" w:rsidP="00521A13">
      <w:r>
        <w:separator/>
      </w:r>
    </w:p>
  </w:endnote>
  <w:endnote w:type="continuationSeparator" w:id="0">
    <w:p w:rsidR="00835A3E" w:rsidRDefault="00835A3E" w:rsidP="0052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3E" w:rsidRDefault="00835A3E" w:rsidP="00521A13">
      <w:r>
        <w:separator/>
      </w:r>
    </w:p>
  </w:footnote>
  <w:footnote w:type="continuationSeparator" w:id="0">
    <w:p w:rsidR="00835A3E" w:rsidRDefault="00835A3E" w:rsidP="00521A13">
      <w:r>
        <w:continuationSeparator/>
      </w:r>
    </w:p>
  </w:footnote>
  <w:footnote w:id="1">
    <w:p w:rsidR="00521A13" w:rsidRDefault="00521A13" w:rsidP="00521A13">
      <w:pPr>
        <w:pStyle w:val="Footer"/>
      </w:pPr>
      <w:r>
        <w:rPr>
          <w:rStyle w:val="FootnoteReference"/>
        </w:rPr>
        <w:footnoteRef/>
      </w:r>
      <w:r>
        <w:t xml:space="preserve"> </w:t>
      </w:r>
      <w:r w:rsidRPr="005C2A8F">
        <w:rPr>
          <w:sz w:val="20"/>
          <w:szCs w:val="20"/>
        </w:rPr>
        <w:t>A chi-square difference test using log-likelihood values was initially used to compare 5-profile solutions with individual indicator variances freely. The chi-square test using log-likelihood values yielded negative values. Because negative values are uninterpretable, the BIC was used to compare profile solutions (</w:t>
      </w:r>
      <w:proofErr w:type="spellStart"/>
      <w:r w:rsidRPr="005C2A8F">
        <w:rPr>
          <w:sz w:val="20"/>
          <w:szCs w:val="20"/>
        </w:rPr>
        <w:t>Olivera</w:t>
      </w:r>
      <w:proofErr w:type="spellEnd"/>
      <w:r w:rsidRPr="005C2A8F">
        <w:rPr>
          <w:sz w:val="20"/>
          <w:szCs w:val="20"/>
        </w:rPr>
        <w:t xml:space="preserve">-Aguilar &amp; </w:t>
      </w:r>
      <w:proofErr w:type="spellStart"/>
      <w:r w:rsidRPr="005C2A8F">
        <w:rPr>
          <w:sz w:val="20"/>
          <w:szCs w:val="20"/>
        </w:rPr>
        <w:t>Rikoon</w:t>
      </w:r>
      <w:proofErr w:type="spellEnd"/>
      <w:r w:rsidRPr="005C2A8F">
        <w:rPr>
          <w:sz w:val="20"/>
          <w:szCs w:val="20"/>
        </w:rPr>
        <w:t>, 2018</w:t>
      </w:r>
      <w:r>
        <w:t xml:space="preserve">).  </w:t>
      </w:r>
    </w:p>
    <w:p w:rsidR="00521A13" w:rsidRDefault="00521A13" w:rsidP="00521A1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13"/>
    <w:rsid w:val="004540CE"/>
    <w:rsid w:val="00521A13"/>
    <w:rsid w:val="005A3661"/>
    <w:rsid w:val="00835A3E"/>
    <w:rsid w:val="00973D9C"/>
    <w:rsid w:val="00A3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552E"/>
  <w15:chartTrackingRefBased/>
  <w15:docId w15:val="{D4BF14D5-E1AA-4620-A61D-ADFBB4C9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13"/>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A13"/>
    <w:pPr>
      <w:tabs>
        <w:tab w:val="center" w:pos="4680"/>
        <w:tab w:val="right" w:pos="9360"/>
      </w:tabs>
    </w:pPr>
  </w:style>
  <w:style w:type="character" w:customStyle="1" w:styleId="FooterChar">
    <w:name w:val="Footer Char"/>
    <w:basedOn w:val="DefaultParagraphFont"/>
    <w:link w:val="Footer"/>
    <w:uiPriority w:val="99"/>
    <w:rsid w:val="00521A13"/>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21A13"/>
    <w:rPr>
      <w:sz w:val="20"/>
      <w:szCs w:val="20"/>
    </w:rPr>
  </w:style>
  <w:style w:type="character" w:customStyle="1" w:styleId="FootnoteTextChar">
    <w:name w:val="Footnote Text Char"/>
    <w:basedOn w:val="DefaultParagraphFont"/>
    <w:link w:val="FootnoteText"/>
    <w:uiPriority w:val="99"/>
    <w:semiHidden/>
    <w:rsid w:val="00521A13"/>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521A13"/>
    <w:rPr>
      <w:vertAlign w:val="superscript"/>
    </w:rPr>
  </w:style>
  <w:style w:type="character" w:styleId="Hyperlink">
    <w:name w:val="Hyperlink"/>
    <w:basedOn w:val="DefaultParagraphFont"/>
    <w:uiPriority w:val="99"/>
    <w:unhideWhenUsed/>
    <w:rsid w:val="005A3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0705511.2017.14080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Meisel</dc:creator>
  <cp:keywords/>
  <dc:description/>
  <cp:lastModifiedBy>Samuel Meisel</cp:lastModifiedBy>
  <cp:revision>2</cp:revision>
  <dcterms:created xsi:type="dcterms:W3CDTF">2019-11-24T20:22:00Z</dcterms:created>
  <dcterms:modified xsi:type="dcterms:W3CDTF">2019-11-24T20:22:00Z</dcterms:modified>
</cp:coreProperties>
</file>