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25CFCD" w14:textId="1EA75E24" w:rsidR="000C08D8" w:rsidRDefault="000C08D8" w:rsidP="000C08D8">
      <w:pPr>
        <w:jc w:val="center"/>
        <w:rPr>
          <w:b/>
          <w:color w:val="000000" w:themeColor="text1"/>
        </w:rPr>
      </w:pPr>
      <w:r w:rsidRPr="001C0CE8">
        <w:rPr>
          <w:b/>
          <w:color w:val="000000" w:themeColor="text1"/>
        </w:rPr>
        <w:t>Supplemental Information</w:t>
      </w:r>
      <w:r w:rsidR="00C04039">
        <w:rPr>
          <w:b/>
          <w:color w:val="000000" w:themeColor="text1"/>
        </w:rPr>
        <w:t xml:space="preserve"> [Corrected]</w:t>
      </w:r>
    </w:p>
    <w:p w14:paraId="15D349F2" w14:textId="507FAD33" w:rsidR="00C04039" w:rsidRDefault="00C04039" w:rsidP="000C08D8">
      <w:pPr>
        <w:jc w:val="center"/>
        <w:rPr>
          <w:b/>
          <w:color w:val="000000" w:themeColor="text1"/>
        </w:rPr>
      </w:pPr>
    </w:p>
    <w:p w14:paraId="5333E222" w14:textId="7EADB393" w:rsidR="00C04039" w:rsidRPr="00C04039" w:rsidRDefault="00C04039" w:rsidP="00C04039">
      <w:pPr>
        <w:rPr>
          <w:i/>
          <w:iCs/>
          <w:sz w:val="20"/>
          <w:szCs w:val="20"/>
        </w:rPr>
      </w:pPr>
      <w:r w:rsidRPr="00C04039">
        <w:rPr>
          <w:i/>
          <w:iCs/>
          <w:sz w:val="20"/>
          <w:szCs w:val="20"/>
        </w:rPr>
        <w:t xml:space="preserve">The article "Developmental pathways to social anxiety and irritability: the role of ERN” by </w:t>
      </w:r>
      <w:proofErr w:type="spellStart"/>
      <w:r w:rsidRPr="00C04039">
        <w:rPr>
          <w:i/>
          <w:iCs/>
          <w:sz w:val="20"/>
          <w:szCs w:val="20"/>
        </w:rPr>
        <w:t>Filippi</w:t>
      </w:r>
      <w:proofErr w:type="spellEnd"/>
      <w:r w:rsidRPr="00C04039">
        <w:rPr>
          <w:i/>
          <w:iCs/>
          <w:sz w:val="20"/>
          <w:szCs w:val="20"/>
        </w:rPr>
        <w:t xml:space="preserve">, et al., published in the August 2020 issue of Development and Psychopathology (32;3:897-907), included an error. </w:t>
      </w:r>
      <w:r w:rsidRPr="00C04039">
        <w:rPr>
          <w:i/>
          <w:iCs/>
          <w:sz w:val="20"/>
          <w:szCs w:val="20"/>
          <w:lang w:eastAsia="en-GB"/>
        </w:rPr>
        <w:t xml:space="preserve">The authors discovered a typo in one of the scripts used to process the event-related potential (ERP) data in the original manuscript </w:t>
      </w:r>
      <w:r w:rsidR="0016037A">
        <w:rPr>
          <w:i/>
          <w:iCs/>
          <w:sz w:val="20"/>
          <w:szCs w:val="20"/>
          <w:lang w:eastAsia="en-GB"/>
        </w:rPr>
        <w:fldChar w:fldCharType="begin"/>
      </w:r>
      <w:r w:rsidR="0016037A">
        <w:rPr>
          <w:i/>
          <w:iCs/>
          <w:sz w:val="20"/>
          <w:szCs w:val="20"/>
          <w:lang w:eastAsia="en-GB"/>
        </w:rPr>
        <w:instrText xml:space="preserve"> ADDIN ZOTERO_ITEM CSL_CITATION {"citationID":"f0nkb8Se","properties":{"formattedCitation":"(Buzzell et al., 2017)","plainCitation":"(Buzzell et al., 2017)","noteIndex":0},"citationItems":[{"id":8,"uris":["http://zotero.org/users/local/mLs04W6D/items/EUGPLCKZ"],"uri":["http://zotero.org/users/local/mLs04W6D/items/EUGPLCKZ"],"itemData":{"id":8,"type":"article-journal","abstract":"Objective\nBehavioral inhibition (BI) is a temperament identified in early childhood that is a risk factor for later social anxiety. However, mechanisms underlying development of social anxiety remain unclear. To better understand the emergence of social anxiety, longitudinal studies investigating changes at both behavioral neural levels are needed.\n\nMethod\nBI was assessed in the laboratory at ages 2 and 3 (N = 268). Children returned at age 12, and electroencephalography (EEG) was recorded while performing a flanker task under two conditions: once while believing they were being observed by peers, and once while not being observed. This methodology isolated changes in error monitoring (error-related negativity; ERN) and behavior (post-error reaction time [RT] slowing) as a function of social context. At age 12, current social anxiety symptoms and lifetime diagnoses of social anxiety were obtained.\n\nResults\nChildhood BI prospectively predicted social-specific ERN increases and social anxiety symptoms in adolescence; these symptoms directly related to clinical diagnoses. Serial mediation analysis revealed social ERN changes explained relations between BI and both social anxiety symptoms (n = 107) and diagnosis (n = 92), but only insofar as social context also led to increased post-error RT slowing (a measure of error preoccupation); this model was not significantly related to generalized anxiety.\n\nConclusion\nResults extend prior work on socially-induced changes in error monitoring and error preoccupation. These measures may index a neurobehavioral mechanism linking behavioral inhibition to adolescent social anxiety symptoms and diagnosis. This mechanism may relate more strongly to social than generalized anxiety in the peri-adolescent period.","container-title":"Journal of the American Academy of Child and Adolescent Psychiatry","DOI":"10.1016/j.jaac.2017.10.007","ISSN":"0890-8567","issue":"12","journalAbbreviation":"J Am Acad Child Adolesc Psychiatry","note":"PMID: 29173744\nPMCID: PMC5975216","page":"1097-1105","source":"PubMed Central","title":"A Neurobehavioral Mechanism Linking Behaviorally Inhibited Temperament and Later Adolescent Social Anxiety","volume":"56","author":[{"family":"Buzzell","given":"George A."},{"family":"Troller-Renfree","given":"Sonya V."},{"family":"Barker","given":"Tyson V."},{"family":"Bowman","given":"Lindsay C."},{"family":"Chronis-Tuscano","given":"Andrea"},{"family":"Henderson","given":"Heather A."},{"family":"Kagan","given":"Jerome"},{"family":"Pine","given":"Daniel S."},{"family":"Fox","given":"Nathan A."}],"issued":{"date-parts":[["2017",12]]}}}],"schema":"https://github.com/citation-style-language/schema/raw/master/csl-citation.json"} </w:instrText>
      </w:r>
      <w:r w:rsidR="0016037A">
        <w:rPr>
          <w:i/>
          <w:iCs/>
          <w:sz w:val="20"/>
          <w:szCs w:val="20"/>
          <w:lang w:eastAsia="en-GB"/>
        </w:rPr>
        <w:fldChar w:fldCharType="separate"/>
      </w:r>
      <w:r w:rsidR="0016037A">
        <w:rPr>
          <w:i/>
          <w:iCs/>
          <w:noProof/>
          <w:sz w:val="20"/>
          <w:szCs w:val="20"/>
          <w:lang w:eastAsia="en-GB"/>
        </w:rPr>
        <w:t>(Buzzell et al., 2017)</w:t>
      </w:r>
      <w:r w:rsidR="0016037A">
        <w:rPr>
          <w:i/>
          <w:iCs/>
          <w:sz w:val="20"/>
          <w:szCs w:val="20"/>
          <w:lang w:eastAsia="en-GB"/>
        </w:rPr>
        <w:fldChar w:fldCharType="end"/>
      </w:r>
      <w:r w:rsidR="0016037A">
        <w:rPr>
          <w:i/>
          <w:iCs/>
          <w:sz w:val="20"/>
          <w:szCs w:val="20"/>
          <w:lang w:eastAsia="en-GB"/>
        </w:rPr>
        <w:t xml:space="preserve">. </w:t>
      </w:r>
      <w:r w:rsidRPr="00C04039">
        <w:rPr>
          <w:i/>
          <w:iCs/>
          <w:color w:val="222222"/>
          <w:sz w:val="20"/>
          <w:szCs w:val="20"/>
        </w:rPr>
        <w:t>A typo in one of the MATLAB scripts cause</w:t>
      </w:r>
      <w:r w:rsidR="00051195">
        <w:rPr>
          <w:i/>
          <w:iCs/>
          <w:color w:val="222222"/>
          <w:sz w:val="20"/>
          <w:szCs w:val="20"/>
        </w:rPr>
        <w:t>d</w:t>
      </w:r>
      <w:r w:rsidRPr="00C04039">
        <w:rPr>
          <w:i/>
          <w:iCs/>
          <w:color w:val="222222"/>
          <w:sz w:val="20"/>
          <w:szCs w:val="20"/>
        </w:rPr>
        <w:t xml:space="preserve"> one of the seven electrodes going into the error-related negativity (ERN) ERP cluster to be from an incorrect scalp location (computing the cluster relies on indexing into a matrix and one of the indices w</w:t>
      </w:r>
      <w:r w:rsidR="00051195">
        <w:rPr>
          <w:i/>
          <w:iCs/>
          <w:color w:val="222222"/>
          <w:sz w:val="20"/>
          <w:szCs w:val="20"/>
        </w:rPr>
        <w:t>as</w:t>
      </w:r>
      <w:r w:rsidRPr="00C04039">
        <w:rPr>
          <w:i/>
          <w:iCs/>
          <w:color w:val="222222"/>
          <w:sz w:val="20"/>
          <w:szCs w:val="20"/>
        </w:rPr>
        <w:t xml:space="preserve"> off by a value of 1). This mistake impact</w:t>
      </w:r>
      <w:r w:rsidR="00051195">
        <w:rPr>
          <w:i/>
          <w:iCs/>
          <w:color w:val="222222"/>
          <w:sz w:val="20"/>
          <w:szCs w:val="20"/>
        </w:rPr>
        <w:t>ed</w:t>
      </w:r>
      <w:r w:rsidRPr="00C04039">
        <w:rPr>
          <w:i/>
          <w:iCs/>
          <w:color w:val="222222"/>
          <w:sz w:val="20"/>
          <w:szCs w:val="20"/>
        </w:rPr>
        <w:t xml:space="preserve"> the ERN variable described in the original article </w:t>
      </w:r>
      <w:r w:rsidRPr="00C04039">
        <w:rPr>
          <w:i/>
          <w:iCs/>
          <w:color w:val="222222"/>
          <w:sz w:val="20"/>
          <w:szCs w:val="20"/>
        </w:rPr>
        <w:fldChar w:fldCharType="begin"/>
      </w:r>
      <w:r w:rsidRPr="00C04039">
        <w:rPr>
          <w:i/>
          <w:iCs/>
          <w:color w:val="222222"/>
          <w:sz w:val="20"/>
          <w:szCs w:val="20"/>
        </w:rPr>
        <w:instrText xml:space="preserve"> ADDIN ZOTERO_ITEM CSL_CITATION {"citationID":"XkK2SDPz","properties":{"formattedCitation":"(Filippi et al., 2020)","plainCitation":"(Filippi et al., 2020)","noteIndex":0},"citationItems":[{"id":203,"uris":["http://zotero.org/users/local/mLs04W6D/items/L8ITZYAH"],"uri":["http://zotero.org/users/local/mLs04W6D/items/L8ITZYAH"],"itemData":{"id":203,"type":"article-journal","abstract":"Early behaviors that differentiate later biomarkers for psychopathology can guide preventive efforts while also facilitating pathophysiological research. We test whether the error-related negativity (ERN) moderates the link between early behavior and later psychopathology in two early childhood phenotypes: behavioral inhibition and irritability. From ages 2 to 7 years, children (n=291) were assessed longitudinally for behavioral inhibition (BI) and irritability. BI was assessed via maternal report and behavioral responses to novelty. Childhood irritability was assessed using the Child Behavior Checklist. At age 12, electroencephalogram (EEG) was recorded while children performed a flanker task to measure the ERN, a neural indicator of error monitoring. Clinical assessments of anxiety and irritability were conducted using questionnaires (i.e., Screen for Child Anxiety Related Disorders and Affective Reactivity Index) and clinical interviews. Error monitoring interacted with early BI and early irritability, to predict later psychopathology. Among children with high BI, an enhanced ERN predicted greater social anxiety at age 12. In contrast, children with high childhood irritability and a blunted ERN predicted greater irritability at age 12. This converges with previous work and provides novel insight into the specificity of pathways associated with psychopathology.","container-title":"Development and psychopathology","DOI":"10.1017/S0954579419001329","ISSN":"0954-5794","issue":"3","journalAbbreviation":"Dev Psychopathol","note":"PMID: 31656217\nPMCID: PMC7265174","page":"897-907","source":"PubMed Central","title":"Developmental pathways to social anxiety and irritability: The role of the ERN","title-short":"Developmental pathways to social anxiety and irritability","volume":"32","author":[{"family":"Filippi","given":"Courtney A."},{"family":"Subar","given":"Anni R."},{"family":"Sachs","given":"Jessica F."},{"family":"Kircanski","given":"Katharina"},{"family":"Buzzell","given":"George"},{"family":"Pagliaccio","given":"David"},{"family":"Abend","given":"Rany"},{"family":"Fox","given":"Nathan A."},{"family":"Leibenluft","given":"Ellen"},{"family":"Pine","given":"Daniel S"}],"issued":{"date-parts":[["2020",8]]}}}],"schema":"https://github.com/citation-style-language/schema/raw/master/csl-citation.json"} </w:instrText>
      </w:r>
      <w:r w:rsidRPr="00C04039">
        <w:rPr>
          <w:i/>
          <w:iCs/>
          <w:color w:val="222222"/>
          <w:sz w:val="20"/>
          <w:szCs w:val="20"/>
        </w:rPr>
        <w:fldChar w:fldCharType="separate"/>
      </w:r>
      <w:r w:rsidRPr="00C04039">
        <w:rPr>
          <w:i/>
          <w:iCs/>
          <w:noProof/>
          <w:color w:val="222222"/>
          <w:sz w:val="20"/>
          <w:szCs w:val="20"/>
        </w:rPr>
        <w:t>(Filippi et al., 2020)</w:t>
      </w:r>
      <w:r w:rsidRPr="00C04039">
        <w:rPr>
          <w:i/>
          <w:iCs/>
          <w:color w:val="222222"/>
          <w:sz w:val="20"/>
          <w:szCs w:val="20"/>
        </w:rPr>
        <w:fldChar w:fldCharType="end"/>
      </w:r>
      <w:r w:rsidRPr="00C04039">
        <w:rPr>
          <w:i/>
          <w:iCs/>
          <w:color w:val="222222"/>
          <w:sz w:val="20"/>
          <w:szCs w:val="20"/>
        </w:rPr>
        <w:t>. Given that only one of the 7 electrodes in the cluster was wrong,</w:t>
      </w:r>
      <w:r w:rsidRPr="00C04039">
        <w:rPr>
          <w:i/>
          <w:iCs/>
          <w:sz w:val="20"/>
          <w:szCs w:val="20"/>
          <w:lang w:eastAsia="en-GB"/>
        </w:rPr>
        <w:t xml:space="preserve"> after correcting this error</w:t>
      </w:r>
      <w:r w:rsidRPr="00C04039">
        <w:rPr>
          <w:i/>
          <w:iCs/>
          <w:color w:val="222222"/>
          <w:sz w:val="20"/>
          <w:szCs w:val="20"/>
        </w:rPr>
        <w:t>, the original and corrected ERN variables—for the sample used in this paper—correlate highly (n = 127, r = .99, p &lt; .001).</w:t>
      </w:r>
      <w:r w:rsidRPr="00C04039">
        <w:rPr>
          <w:i/>
          <w:iCs/>
          <w:sz w:val="20"/>
          <w:szCs w:val="20"/>
        </w:rPr>
        <w:t xml:space="preserve"> A correction for the published article has been issued. Additionally, the supplement for this article appears below with all corrections appearing in </w:t>
      </w:r>
      <w:r w:rsidRPr="00C04039">
        <w:rPr>
          <w:i/>
          <w:iCs/>
          <w:color w:val="FF0000"/>
          <w:sz w:val="20"/>
          <w:szCs w:val="20"/>
        </w:rPr>
        <w:t xml:space="preserve">red </w:t>
      </w:r>
      <w:r w:rsidRPr="00C04039">
        <w:rPr>
          <w:i/>
          <w:iCs/>
          <w:sz w:val="20"/>
          <w:szCs w:val="20"/>
        </w:rPr>
        <w:t xml:space="preserve">font. There are no changes in the results or interpretations. Please note that this is an author-initiated corrigendum to correct the scientific record, in line with the principles of open science and to ensure the validity of any future meta-analytic work based on this manuscript.  </w:t>
      </w:r>
    </w:p>
    <w:p w14:paraId="23A1E78E" w14:textId="77777777" w:rsidR="000C08D8" w:rsidRPr="001C0CE8" w:rsidRDefault="000C08D8" w:rsidP="00C04039">
      <w:pPr>
        <w:rPr>
          <w:b/>
          <w:color w:val="000000" w:themeColor="text1"/>
        </w:rPr>
      </w:pPr>
    </w:p>
    <w:p w14:paraId="3DE6F843" w14:textId="72F5D59C" w:rsidR="00C807C3" w:rsidRPr="001C0CE8" w:rsidRDefault="00C807C3" w:rsidP="002E0D07">
      <w:pPr>
        <w:spacing w:line="480" w:lineRule="auto"/>
        <w:jc w:val="center"/>
        <w:rPr>
          <w:b/>
          <w:color w:val="000000" w:themeColor="text1"/>
        </w:rPr>
      </w:pPr>
      <w:r w:rsidRPr="001C0CE8">
        <w:rPr>
          <w:b/>
          <w:color w:val="000000" w:themeColor="text1"/>
        </w:rPr>
        <w:t>Methods</w:t>
      </w:r>
    </w:p>
    <w:p w14:paraId="046FE449" w14:textId="254A0F35" w:rsidR="00C807C3" w:rsidRPr="001C0CE8" w:rsidRDefault="00C807C3" w:rsidP="000C08D8">
      <w:pPr>
        <w:spacing w:line="480" w:lineRule="auto"/>
        <w:rPr>
          <w:b/>
          <w:color w:val="000000" w:themeColor="text1"/>
        </w:rPr>
      </w:pPr>
      <w:r w:rsidRPr="001C0CE8">
        <w:rPr>
          <w:b/>
          <w:color w:val="000000" w:themeColor="text1"/>
        </w:rPr>
        <w:t>Participants.</w:t>
      </w:r>
    </w:p>
    <w:p w14:paraId="19556E6A" w14:textId="3C935AE4" w:rsidR="00C807C3" w:rsidRPr="001C0CE8" w:rsidRDefault="00C807C3" w:rsidP="00BB4396">
      <w:pPr>
        <w:spacing w:line="480" w:lineRule="auto"/>
        <w:ind w:firstLine="720"/>
        <w:rPr>
          <w:color w:val="000000" w:themeColor="text1"/>
        </w:rPr>
      </w:pPr>
      <w:r w:rsidRPr="001C0CE8">
        <w:rPr>
          <w:color w:val="000000" w:themeColor="text1"/>
        </w:rPr>
        <w:t xml:space="preserve">Individuals in this longitudinal sample </w:t>
      </w:r>
      <w:r w:rsidR="00192E34" w:rsidRPr="001C0CE8">
        <w:rPr>
          <w:color w:val="000000" w:themeColor="text1"/>
        </w:rPr>
        <w:t>were not a typical community sample</w:t>
      </w:r>
      <w:r w:rsidRPr="001C0CE8">
        <w:rPr>
          <w:color w:val="000000" w:themeColor="text1"/>
        </w:rPr>
        <w:t xml:space="preserve"> but instead are a sample </w:t>
      </w:r>
      <w:r w:rsidR="00521538" w:rsidRPr="001C0CE8">
        <w:rPr>
          <w:color w:val="000000" w:themeColor="text1"/>
        </w:rPr>
        <w:t>exhibiting higher</w:t>
      </w:r>
      <w:r w:rsidRPr="001C0CE8">
        <w:rPr>
          <w:color w:val="000000" w:themeColor="text1"/>
        </w:rPr>
        <w:t xml:space="preserve"> rates of negative and positive reactivity at 4 months. This sampling procedure was done to enhance the rates of psychopathology in this sample. Previous reports (Fox et al, 2015) have demonstrated that in this sample (as well as others) negative reactivity is associated with increased behavioral inhibition. One open question is whether negative reactivity or positive reactivity</w:t>
      </w:r>
      <w:r w:rsidR="00EE79EA" w:rsidRPr="001C0CE8">
        <w:rPr>
          <w:color w:val="000000" w:themeColor="text1"/>
        </w:rPr>
        <w:t xml:space="preserve"> (i.e., the groups that are oversampled)</w:t>
      </w:r>
      <w:r w:rsidRPr="001C0CE8">
        <w:rPr>
          <w:color w:val="000000" w:themeColor="text1"/>
        </w:rPr>
        <w:t xml:space="preserve"> </w:t>
      </w:r>
      <w:r w:rsidR="00192E34" w:rsidRPr="001C0CE8">
        <w:rPr>
          <w:color w:val="000000" w:themeColor="text1"/>
        </w:rPr>
        <w:t xml:space="preserve">is </w:t>
      </w:r>
      <w:r w:rsidR="00864989" w:rsidRPr="001C0CE8">
        <w:rPr>
          <w:color w:val="000000" w:themeColor="text1"/>
        </w:rPr>
        <w:t xml:space="preserve">also </w:t>
      </w:r>
      <w:r w:rsidR="00192E34" w:rsidRPr="001C0CE8">
        <w:rPr>
          <w:color w:val="000000" w:themeColor="text1"/>
        </w:rPr>
        <w:t>associated with</w:t>
      </w:r>
      <w:r w:rsidRPr="001C0CE8">
        <w:rPr>
          <w:color w:val="000000" w:themeColor="text1"/>
        </w:rPr>
        <w:t xml:space="preserve"> </w:t>
      </w:r>
      <w:r w:rsidR="00EE79EA" w:rsidRPr="001C0CE8">
        <w:rPr>
          <w:color w:val="000000" w:themeColor="text1"/>
        </w:rPr>
        <w:t>greater</w:t>
      </w:r>
      <w:r w:rsidRPr="001C0CE8">
        <w:rPr>
          <w:color w:val="000000" w:themeColor="text1"/>
        </w:rPr>
        <w:t xml:space="preserve"> irritability. </w:t>
      </w:r>
      <w:r w:rsidR="00EE79EA" w:rsidRPr="001C0CE8">
        <w:rPr>
          <w:color w:val="000000" w:themeColor="text1"/>
        </w:rPr>
        <w:t>In this sample reactivity group is not associated with differences in childhood irritability (</w:t>
      </w:r>
      <w:r w:rsidR="00EE79EA" w:rsidRPr="001C0CE8">
        <w:rPr>
          <w:i/>
          <w:color w:val="000000" w:themeColor="text1"/>
        </w:rPr>
        <w:t>p</w:t>
      </w:r>
      <w:r w:rsidR="00EE79EA" w:rsidRPr="001C0CE8">
        <w:rPr>
          <w:color w:val="000000" w:themeColor="text1"/>
        </w:rPr>
        <w:t>&gt;.533) or mean ARI (</w:t>
      </w:r>
      <w:r w:rsidR="00EE79EA" w:rsidRPr="001C0CE8">
        <w:rPr>
          <w:i/>
          <w:color w:val="000000" w:themeColor="text1"/>
        </w:rPr>
        <w:t>p</w:t>
      </w:r>
      <w:r w:rsidR="00EE79EA" w:rsidRPr="001C0CE8">
        <w:rPr>
          <w:color w:val="000000" w:themeColor="text1"/>
        </w:rPr>
        <w:t>&lt;.510).</w:t>
      </w:r>
    </w:p>
    <w:p w14:paraId="2DF29D97" w14:textId="2704E2DB" w:rsidR="00945ACD" w:rsidRPr="001C0CE8" w:rsidRDefault="00945ACD" w:rsidP="000C08D8">
      <w:pPr>
        <w:spacing w:line="480" w:lineRule="auto"/>
        <w:rPr>
          <w:b/>
          <w:color w:val="000000" w:themeColor="text1"/>
        </w:rPr>
      </w:pPr>
      <w:r w:rsidRPr="001C0CE8">
        <w:rPr>
          <w:b/>
          <w:color w:val="000000" w:themeColor="text1"/>
        </w:rPr>
        <w:t>Measures</w:t>
      </w:r>
    </w:p>
    <w:p w14:paraId="40E9C7DF" w14:textId="3B09528D" w:rsidR="00945ACD" w:rsidRPr="001C0CE8" w:rsidRDefault="00945ACD" w:rsidP="002E0D07">
      <w:pPr>
        <w:spacing w:line="480" w:lineRule="auto"/>
        <w:ind w:firstLine="720"/>
        <w:rPr>
          <w:color w:val="000000" w:themeColor="text1"/>
        </w:rPr>
      </w:pPr>
      <w:r w:rsidRPr="001C0CE8">
        <w:rPr>
          <w:b/>
          <w:color w:val="000000" w:themeColor="text1"/>
        </w:rPr>
        <w:t xml:space="preserve">ERN. </w:t>
      </w:r>
      <w:r w:rsidRPr="001C0CE8">
        <w:rPr>
          <w:color w:val="000000" w:themeColor="text1"/>
        </w:rPr>
        <w:t xml:space="preserve">A total of </w:t>
      </w:r>
      <w:r w:rsidR="00D46464" w:rsidRPr="001C0CE8">
        <w:rPr>
          <w:color w:val="000000" w:themeColor="text1"/>
        </w:rPr>
        <w:t>178</w:t>
      </w:r>
      <w:r w:rsidRPr="001C0CE8">
        <w:rPr>
          <w:color w:val="000000" w:themeColor="text1"/>
        </w:rPr>
        <w:t xml:space="preserve"> </w:t>
      </w:r>
      <w:r w:rsidR="00D46464" w:rsidRPr="001C0CE8">
        <w:rPr>
          <w:color w:val="000000" w:themeColor="text1"/>
        </w:rPr>
        <w:t>longitudinally followed infants</w:t>
      </w:r>
      <w:r w:rsidRPr="001C0CE8">
        <w:rPr>
          <w:color w:val="000000" w:themeColor="text1"/>
        </w:rPr>
        <w:t xml:space="preserve"> came in for the 12-year visit. However, </w:t>
      </w:r>
      <w:r w:rsidR="00D46464" w:rsidRPr="001C0CE8">
        <w:rPr>
          <w:color w:val="000000" w:themeColor="text1"/>
        </w:rPr>
        <w:t>33</w:t>
      </w:r>
      <w:r w:rsidRPr="001C0CE8">
        <w:rPr>
          <w:color w:val="000000" w:themeColor="text1"/>
        </w:rPr>
        <w:t xml:space="preserve"> children did not provide useable ERN data because they either because their data had too much artifact</w:t>
      </w:r>
      <w:r w:rsidR="00D46464" w:rsidRPr="001C0CE8">
        <w:rPr>
          <w:color w:val="000000" w:themeColor="text1"/>
        </w:rPr>
        <w:t xml:space="preserve">, </w:t>
      </w:r>
      <w:r w:rsidRPr="001C0CE8">
        <w:rPr>
          <w:color w:val="000000" w:themeColor="text1"/>
        </w:rPr>
        <w:t>the experimenter was unable to properly attach the EEG net</w:t>
      </w:r>
      <w:r w:rsidR="00D46464" w:rsidRPr="001C0CE8">
        <w:rPr>
          <w:color w:val="000000" w:themeColor="text1"/>
        </w:rPr>
        <w:t xml:space="preserve">, and/or </w:t>
      </w:r>
      <w:r w:rsidRPr="001C0CE8">
        <w:rPr>
          <w:color w:val="000000" w:themeColor="text1"/>
        </w:rPr>
        <w:t>experimenter error</w:t>
      </w:r>
      <w:r w:rsidR="00D46464" w:rsidRPr="001C0CE8">
        <w:rPr>
          <w:color w:val="000000" w:themeColor="text1"/>
        </w:rPr>
        <w:t xml:space="preserve">. An additional 18 children were excluded because </w:t>
      </w:r>
      <w:r w:rsidRPr="001C0CE8">
        <w:rPr>
          <w:color w:val="000000" w:themeColor="text1"/>
        </w:rPr>
        <w:t xml:space="preserve">they provided too few trials of each type. Critically, children who did provide useable data did not differ from those that did </w:t>
      </w:r>
      <w:r w:rsidRPr="001C0CE8">
        <w:rPr>
          <w:color w:val="000000" w:themeColor="text1"/>
        </w:rPr>
        <w:lastRenderedPageBreak/>
        <w:t>not in terms of gender, childhood BI, childhood irritability, social anxiety or 12-year irritability</w:t>
      </w:r>
      <w:r w:rsidR="00D46464" w:rsidRPr="001C0CE8">
        <w:rPr>
          <w:color w:val="000000" w:themeColor="text1"/>
        </w:rPr>
        <w:t xml:space="preserve"> (</w:t>
      </w:r>
      <w:proofErr w:type="spellStart"/>
      <w:r w:rsidR="00D46464" w:rsidRPr="001C0CE8">
        <w:rPr>
          <w:i/>
          <w:color w:val="000000" w:themeColor="text1"/>
        </w:rPr>
        <w:t>p</w:t>
      </w:r>
      <w:r w:rsidR="00D46464" w:rsidRPr="001C0CE8">
        <w:rPr>
          <w:color w:val="000000" w:themeColor="text1"/>
        </w:rPr>
        <w:t>s</w:t>
      </w:r>
      <w:proofErr w:type="spellEnd"/>
      <w:r w:rsidR="00D46464" w:rsidRPr="001C0CE8">
        <w:rPr>
          <w:color w:val="000000" w:themeColor="text1"/>
        </w:rPr>
        <w:t>&gt;.217)</w:t>
      </w:r>
      <w:r w:rsidRPr="001C0CE8">
        <w:rPr>
          <w:color w:val="000000" w:themeColor="text1"/>
        </w:rPr>
        <w:t>.</w:t>
      </w:r>
      <w:r w:rsidR="00EE6E9F" w:rsidRPr="001C0CE8">
        <w:rPr>
          <w:color w:val="000000" w:themeColor="text1"/>
        </w:rPr>
        <w:t xml:space="preserve"> Figure S1 depicts a histogram of the distribution of ERN scores. </w:t>
      </w:r>
    </w:p>
    <w:p w14:paraId="5F23A370" w14:textId="6FB0BBD8" w:rsidR="004F3D4C" w:rsidRPr="001C0CE8" w:rsidRDefault="004F3D4C" w:rsidP="002E0D07">
      <w:pPr>
        <w:spacing w:line="480" w:lineRule="auto"/>
        <w:ind w:firstLine="720"/>
        <w:rPr>
          <w:color w:val="000000" w:themeColor="text1"/>
          <w:shd w:val="clear" w:color="auto" w:fill="FFFCF0"/>
        </w:rPr>
      </w:pPr>
      <w:r w:rsidRPr="001C0CE8">
        <w:rPr>
          <w:b/>
          <w:color w:val="000000" w:themeColor="text1"/>
        </w:rPr>
        <w:t xml:space="preserve">Modeling high stable irritability. </w:t>
      </w:r>
      <w:r w:rsidRPr="001C0CE8">
        <w:rPr>
          <w:color w:val="000000" w:themeColor="text1"/>
        </w:rPr>
        <w:t>Table S1 provides the model fit parameters for latent class growth analysis. Figure S</w:t>
      </w:r>
      <w:r w:rsidR="00EE6E9F" w:rsidRPr="001C0CE8">
        <w:rPr>
          <w:color w:val="000000" w:themeColor="text1"/>
        </w:rPr>
        <w:t>2</w:t>
      </w:r>
      <w:r w:rsidRPr="001C0CE8">
        <w:rPr>
          <w:color w:val="000000" w:themeColor="text1"/>
        </w:rPr>
        <w:t xml:space="preserve"> depicts the trajectory classes of childhood irritability. </w:t>
      </w:r>
    </w:p>
    <w:p w14:paraId="135ACB33" w14:textId="15592158" w:rsidR="005C69D2" w:rsidRPr="001C0CE8" w:rsidRDefault="005C69D2" w:rsidP="002E0D07">
      <w:pPr>
        <w:spacing w:line="480" w:lineRule="auto"/>
        <w:ind w:firstLine="720"/>
        <w:rPr>
          <w:color w:val="000000" w:themeColor="text1"/>
        </w:rPr>
      </w:pPr>
      <w:r w:rsidRPr="001C0CE8">
        <w:rPr>
          <w:b/>
          <w:color w:val="000000" w:themeColor="text1"/>
        </w:rPr>
        <w:t>ARI as index of irritability.</w:t>
      </w:r>
      <w:r w:rsidR="00945ACD" w:rsidRPr="001C0CE8">
        <w:rPr>
          <w:color w:val="000000" w:themeColor="text1"/>
        </w:rPr>
        <w:t xml:space="preserve"> </w:t>
      </w:r>
      <w:r w:rsidRPr="001C0CE8">
        <w:rPr>
          <w:color w:val="000000" w:themeColor="text1"/>
        </w:rPr>
        <w:t xml:space="preserve">In addition to the ICC of </w:t>
      </w:r>
      <w:r w:rsidR="00BB4396" w:rsidRPr="001C0CE8">
        <w:rPr>
          <w:color w:val="000000" w:themeColor="text1"/>
        </w:rPr>
        <w:t>the ARI</w:t>
      </w:r>
      <w:r w:rsidRPr="001C0CE8">
        <w:rPr>
          <w:color w:val="000000" w:themeColor="text1"/>
        </w:rPr>
        <w:t xml:space="preserve"> being quite small, there was a small but significant correlation between parent and child ARI (</w:t>
      </w:r>
      <w:r w:rsidRPr="001C0CE8">
        <w:rPr>
          <w:i/>
          <w:color w:val="000000" w:themeColor="text1"/>
        </w:rPr>
        <w:t>r</w:t>
      </w:r>
      <w:r w:rsidRPr="001C0CE8">
        <w:rPr>
          <w:color w:val="000000" w:themeColor="text1"/>
        </w:rPr>
        <w:t xml:space="preserve">(89)=.242, </w:t>
      </w:r>
      <w:r w:rsidRPr="001C0CE8">
        <w:rPr>
          <w:i/>
          <w:color w:val="000000" w:themeColor="text1"/>
        </w:rPr>
        <w:t>p</w:t>
      </w:r>
      <w:r w:rsidRPr="001C0CE8">
        <w:rPr>
          <w:color w:val="000000" w:themeColor="text1"/>
        </w:rPr>
        <w:t xml:space="preserve">&lt;.022). Furthermore, as an additional check, we examined whether mean ARI was correlated with the CBCL internalizing and externalizing subscales at age 12. Mean ARI was </w:t>
      </w:r>
      <w:r w:rsidR="00DF1634" w:rsidRPr="001C0CE8">
        <w:rPr>
          <w:color w:val="000000" w:themeColor="text1"/>
        </w:rPr>
        <w:t>significantly correlated with externalizing</w:t>
      </w:r>
      <w:r w:rsidRPr="001C0CE8">
        <w:rPr>
          <w:color w:val="000000" w:themeColor="text1"/>
        </w:rPr>
        <w:t xml:space="preserve"> at age 12 (</w:t>
      </w:r>
      <w:r w:rsidRPr="001C0CE8">
        <w:rPr>
          <w:i/>
          <w:color w:val="000000" w:themeColor="text1"/>
        </w:rPr>
        <w:t>r</w:t>
      </w:r>
      <w:r w:rsidRPr="001C0CE8">
        <w:rPr>
          <w:color w:val="000000" w:themeColor="text1"/>
        </w:rPr>
        <w:t>(</w:t>
      </w:r>
      <w:r w:rsidR="00DF1634" w:rsidRPr="001C0CE8">
        <w:rPr>
          <w:color w:val="000000" w:themeColor="text1"/>
        </w:rPr>
        <w:t>81</w:t>
      </w:r>
      <w:r w:rsidRPr="001C0CE8">
        <w:rPr>
          <w:color w:val="000000" w:themeColor="text1"/>
        </w:rPr>
        <w:t>)=.</w:t>
      </w:r>
      <w:r w:rsidR="00DF1634" w:rsidRPr="001C0CE8">
        <w:rPr>
          <w:color w:val="000000" w:themeColor="text1"/>
        </w:rPr>
        <w:t>393</w:t>
      </w:r>
      <w:r w:rsidRPr="001C0CE8">
        <w:rPr>
          <w:color w:val="000000" w:themeColor="text1"/>
        </w:rPr>
        <w:t xml:space="preserve">, </w:t>
      </w:r>
      <w:r w:rsidRPr="001C0CE8">
        <w:rPr>
          <w:i/>
          <w:color w:val="000000" w:themeColor="text1"/>
        </w:rPr>
        <w:t>p</w:t>
      </w:r>
      <w:r w:rsidRPr="001C0CE8">
        <w:rPr>
          <w:color w:val="000000" w:themeColor="text1"/>
        </w:rPr>
        <w:t>&lt;.</w:t>
      </w:r>
      <w:r w:rsidR="00DF1634" w:rsidRPr="001C0CE8">
        <w:rPr>
          <w:color w:val="000000" w:themeColor="text1"/>
        </w:rPr>
        <w:t>001</w:t>
      </w:r>
      <w:r w:rsidRPr="001C0CE8">
        <w:rPr>
          <w:color w:val="000000" w:themeColor="text1"/>
        </w:rPr>
        <w:t xml:space="preserve">) </w:t>
      </w:r>
      <w:r w:rsidR="00DF1634" w:rsidRPr="001C0CE8">
        <w:rPr>
          <w:color w:val="000000" w:themeColor="text1"/>
        </w:rPr>
        <w:t xml:space="preserve">controlling for internalizing but did not correlate with internalizing controlling for externalizing (p&gt;.888). </w:t>
      </w:r>
      <w:r w:rsidRPr="001C0CE8">
        <w:rPr>
          <w:color w:val="000000" w:themeColor="text1"/>
        </w:rPr>
        <w:t>Correlations for parent and child report of the ARI are presented in the Table</w:t>
      </w:r>
      <w:r w:rsidR="004F3D4C" w:rsidRPr="001C0CE8">
        <w:rPr>
          <w:color w:val="000000" w:themeColor="text1"/>
        </w:rPr>
        <w:t xml:space="preserve"> S2</w:t>
      </w:r>
      <w:r w:rsidRPr="001C0CE8">
        <w:rPr>
          <w:color w:val="000000" w:themeColor="text1"/>
        </w:rPr>
        <w:t>.</w:t>
      </w:r>
    </w:p>
    <w:p w14:paraId="3137DB8C" w14:textId="6A484247" w:rsidR="00210989" w:rsidRPr="001C0CE8" w:rsidRDefault="00210989">
      <w:pPr>
        <w:spacing w:line="480" w:lineRule="auto"/>
        <w:ind w:firstLine="720"/>
        <w:rPr>
          <w:color w:val="000000" w:themeColor="text1"/>
        </w:rPr>
      </w:pPr>
      <w:r w:rsidRPr="001C0CE8">
        <w:rPr>
          <w:b/>
          <w:color w:val="000000" w:themeColor="text1"/>
        </w:rPr>
        <w:t>Associations between c</w:t>
      </w:r>
      <w:r w:rsidR="004F3D4C" w:rsidRPr="001C0CE8">
        <w:rPr>
          <w:b/>
          <w:color w:val="000000" w:themeColor="text1"/>
        </w:rPr>
        <w:t xml:space="preserve">hildhood irritability </w:t>
      </w:r>
      <w:r w:rsidRPr="001C0CE8">
        <w:rPr>
          <w:b/>
          <w:color w:val="000000" w:themeColor="text1"/>
        </w:rPr>
        <w:t>and</w:t>
      </w:r>
      <w:r w:rsidR="004F3D4C" w:rsidRPr="001C0CE8">
        <w:rPr>
          <w:b/>
          <w:color w:val="000000" w:themeColor="text1"/>
        </w:rPr>
        <w:t xml:space="preserve"> ARI at age 12. </w:t>
      </w:r>
      <w:r w:rsidR="004F3D4C" w:rsidRPr="001C0CE8">
        <w:rPr>
          <w:color w:val="000000" w:themeColor="text1"/>
        </w:rPr>
        <w:t>In the main text, we focus our early childhood irritability phenotype on the children who are classified as high stable irritable. The decision to do so is supported by the strong correlation between high stable irritability in childhood and ARI at age 12. Nevertheless, given that other studies have shown that most classes of irritable children are associated with risk for psychopathology, we provide information about these other classes</w:t>
      </w:r>
      <w:r w:rsidR="00DF1634" w:rsidRPr="001C0CE8">
        <w:rPr>
          <w:color w:val="000000" w:themeColor="text1"/>
        </w:rPr>
        <w:t xml:space="preserve"> of irritable children. Table S3</w:t>
      </w:r>
      <w:r w:rsidR="004F3D4C" w:rsidRPr="001C0CE8">
        <w:rPr>
          <w:color w:val="000000" w:themeColor="text1"/>
        </w:rPr>
        <w:t xml:space="preserve"> depicts the correlations between early childhood irritability classification (probability) scores and ARI at age 12. Results demonstrate that in our sample, the only classification of childhood irritability that </w:t>
      </w:r>
      <w:r w:rsidRPr="001C0CE8">
        <w:rPr>
          <w:color w:val="000000" w:themeColor="text1"/>
        </w:rPr>
        <w:t xml:space="preserve">is positively associated with </w:t>
      </w:r>
      <w:r w:rsidR="004F3D4C" w:rsidRPr="001C0CE8">
        <w:rPr>
          <w:color w:val="000000" w:themeColor="text1"/>
        </w:rPr>
        <w:t>12</w:t>
      </w:r>
      <w:r w:rsidRPr="001C0CE8">
        <w:rPr>
          <w:color w:val="000000" w:themeColor="text1"/>
        </w:rPr>
        <w:t>-</w:t>
      </w:r>
      <w:r w:rsidR="004F3D4C" w:rsidRPr="001C0CE8">
        <w:rPr>
          <w:color w:val="000000" w:themeColor="text1"/>
        </w:rPr>
        <w:t xml:space="preserve">year irritability is the high stable irritable class. </w:t>
      </w:r>
    </w:p>
    <w:p w14:paraId="40027901" w14:textId="2A31B1F7" w:rsidR="005C69D2" w:rsidRDefault="005C69D2">
      <w:pPr>
        <w:spacing w:line="480" w:lineRule="auto"/>
        <w:rPr>
          <w:b/>
          <w:color w:val="000000" w:themeColor="text1"/>
        </w:rPr>
      </w:pPr>
    </w:p>
    <w:p w14:paraId="4F852446" w14:textId="41CD7F93" w:rsidR="003877CF" w:rsidRDefault="003877CF">
      <w:pPr>
        <w:spacing w:line="480" w:lineRule="auto"/>
        <w:rPr>
          <w:b/>
          <w:color w:val="000000" w:themeColor="text1"/>
        </w:rPr>
      </w:pPr>
    </w:p>
    <w:p w14:paraId="03A404B2" w14:textId="77777777" w:rsidR="003877CF" w:rsidRPr="001C0CE8" w:rsidRDefault="003877CF">
      <w:pPr>
        <w:spacing w:line="480" w:lineRule="auto"/>
        <w:rPr>
          <w:b/>
          <w:color w:val="000000" w:themeColor="text1"/>
        </w:rPr>
      </w:pPr>
    </w:p>
    <w:p w14:paraId="230B9780" w14:textId="406E15DD" w:rsidR="005C69D2" w:rsidRPr="001C0CE8" w:rsidRDefault="004F3D4C" w:rsidP="002E0D07">
      <w:pPr>
        <w:spacing w:line="480" w:lineRule="auto"/>
        <w:jc w:val="center"/>
        <w:rPr>
          <w:b/>
          <w:color w:val="000000" w:themeColor="text1"/>
        </w:rPr>
      </w:pPr>
      <w:r w:rsidRPr="001C0CE8">
        <w:rPr>
          <w:b/>
          <w:color w:val="000000" w:themeColor="text1"/>
        </w:rPr>
        <w:lastRenderedPageBreak/>
        <w:t>Results</w:t>
      </w:r>
    </w:p>
    <w:p w14:paraId="76D7B4EA" w14:textId="77777777" w:rsidR="00BD67EA" w:rsidRPr="001C0CE8" w:rsidRDefault="00C653E2" w:rsidP="009E4A26">
      <w:pPr>
        <w:spacing w:line="480" w:lineRule="auto"/>
        <w:rPr>
          <w:color w:val="000000" w:themeColor="text1"/>
        </w:rPr>
      </w:pPr>
      <w:r w:rsidRPr="001C0CE8">
        <w:rPr>
          <w:b/>
          <w:color w:val="000000" w:themeColor="text1"/>
        </w:rPr>
        <w:t>Replotting data using Mean +/- 1 Standard Deviation.</w:t>
      </w:r>
      <w:r w:rsidRPr="001C0CE8">
        <w:rPr>
          <w:color w:val="000000" w:themeColor="text1"/>
        </w:rPr>
        <w:t xml:space="preserve"> </w:t>
      </w:r>
    </w:p>
    <w:p w14:paraId="2091D7B3" w14:textId="77777777" w:rsidR="004D6A1B" w:rsidRDefault="00C653E2" w:rsidP="00BD67EA">
      <w:pPr>
        <w:spacing w:line="480" w:lineRule="auto"/>
        <w:ind w:firstLine="720"/>
        <w:rPr>
          <w:shd w:val="clear" w:color="auto" w:fill="FFFFFF"/>
        </w:rPr>
      </w:pPr>
      <w:r w:rsidRPr="001C0CE8">
        <w:rPr>
          <w:color w:val="000000" w:themeColor="text1"/>
        </w:rPr>
        <w:t xml:space="preserve">In interpreting </w:t>
      </w:r>
      <w:r w:rsidR="00521538" w:rsidRPr="001C0CE8">
        <w:rPr>
          <w:color w:val="000000" w:themeColor="text1"/>
        </w:rPr>
        <w:t xml:space="preserve">the </w:t>
      </w:r>
      <w:r w:rsidRPr="001C0CE8">
        <w:rPr>
          <w:color w:val="000000" w:themeColor="text1"/>
        </w:rPr>
        <w:t>interactions</w:t>
      </w:r>
      <w:r w:rsidR="00521538" w:rsidRPr="001C0CE8">
        <w:rPr>
          <w:color w:val="000000" w:themeColor="text1"/>
        </w:rPr>
        <w:t xml:space="preserve"> reported in the main text we split the data using </w:t>
      </w:r>
      <w:proofErr w:type="spellStart"/>
      <w:r w:rsidR="00521538" w:rsidRPr="001C0CE8">
        <w:rPr>
          <w:color w:val="000000" w:themeColor="text1"/>
        </w:rPr>
        <w:t>tertiles</w:t>
      </w:r>
      <w:proofErr w:type="spellEnd"/>
      <w:r w:rsidR="00521538" w:rsidRPr="001C0CE8">
        <w:rPr>
          <w:color w:val="000000" w:themeColor="text1"/>
        </w:rPr>
        <w:t>. However</w:t>
      </w:r>
      <w:r w:rsidRPr="001C0CE8">
        <w:rPr>
          <w:color w:val="000000" w:themeColor="text1"/>
        </w:rPr>
        <w:t xml:space="preserve">, </w:t>
      </w:r>
      <w:r w:rsidR="00521538" w:rsidRPr="001C0CE8">
        <w:rPr>
          <w:color w:val="000000" w:themeColor="text1"/>
        </w:rPr>
        <w:t xml:space="preserve">it is </w:t>
      </w:r>
      <w:r w:rsidRPr="001C0CE8">
        <w:rPr>
          <w:color w:val="000000" w:themeColor="text1"/>
        </w:rPr>
        <w:t xml:space="preserve">often </w:t>
      </w:r>
      <w:r w:rsidR="00521538" w:rsidRPr="001C0CE8">
        <w:rPr>
          <w:color w:val="000000" w:themeColor="text1"/>
        </w:rPr>
        <w:t xml:space="preserve">preferable to split </w:t>
      </w:r>
      <w:r w:rsidR="00CB6663" w:rsidRPr="001C0CE8">
        <w:rPr>
          <w:color w:val="000000" w:themeColor="text1"/>
        </w:rPr>
        <w:t>data based</w:t>
      </w:r>
      <w:r w:rsidRPr="001C0CE8">
        <w:rPr>
          <w:color w:val="000000" w:themeColor="text1"/>
        </w:rPr>
        <w:t xml:space="preserve"> on the mean and 1 standard deviation above and below the mean</w:t>
      </w:r>
      <w:r w:rsidR="00EE6E9F" w:rsidRPr="001C0CE8">
        <w:rPr>
          <w:color w:val="000000" w:themeColor="text1"/>
        </w:rPr>
        <w:t>. Figure</w:t>
      </w:r>
      <w:r w:rsidR="00DF1634" w:rsidRPr="001C0CE8">
        <w:rPr>
          <w:color w:val="000000" w:themeColor="text1"/>
        </w:rPr>
        <w:t>s</w:t>
      </w:r>
      <w:r w:rsidR="00EE6E9F" w:rsidRPr="001C0CE8">
        <w:rPr>
          <w:color w:val="000000" w:themeColor="text1"/>
        </w:rPr>
        <w:t xml:space="preserve"> S3</w:t>
      </w:r>
      <w:r w:rsidR="00DF1634" w:rsidRPr="001C0CE8">
        <w:rPr>
          <w:color w:val="000000" w:themeColor="text1"/>
        </w:rPr>
        <w:t xml:space="preserve"> &amp; S4 report</w:t>
      </w:r>
      <w:r w:rsidR="00521538" w:rsidRPr="001C0CE8">
        <w:rPr>
          <w:color w:val="000000" w:themeColor="text1"/>
        </w:rPr>
        <w:t xml:space="preserve"> our data split using the mean +/- 1 standard deviation method</w:t>
      </w:r>
      <w:r w:rsidRPr="001C0CE8">
        <w:rPr>
          <w:color w:val="000000" w:themeColor="text1"/>
        </w:rPr>
        <w:t xml:space="preserve">. In </w:t>
      </w:r>
      <w:r w:rsidR="00521538" w:rsidRPr="001C0CE8">
        <w:rPr>
          <w:color w:val="000000" w:themeColor="text1"/>
        </w:rPr>
        <w:t xml:space="preserve">our </w:t>
      </w:r>
      <w:r w:rsidRPr="001C0CE8">
        <w:rPr>
          <w:color w:val="000000" w:themeColor="text1"/>
        </w:rPr>
        <w:t xml:space="preserve">case, we chose to report on even </w:t>
      </w:r>
      <w:proofErr w:type="spellStart"/>
      <w:r w:rsidRPr="001C0CE8">
        <w:rPr>
          <w:color w:val="000000" w:themeColor="text1"/>
        </w:rPr>
        <w:t>tertile</w:t>
      </w:r>
      <w:proofErr w:type="spellEnd"/>
      <w:r w:rsidRPr="001C0CE8">
        <w:rPr>
          <w:color w:val="000000" w:themeColor="text1"/>
        </w:rPr>
        <w:t xml:space="preserve"> splits rather than the mean and standard deviation approach because our groups were too small upon using the mean +/- 1 standard deviation approach</w:t>
      </w:r>
      <w:r w:rsidR="00BB4396" w:rsidRPr="001C0CE8">
        <w:rPr>
          <w:color w:val="000000" w:themeColor="text1"/>
        </w:rPr>
        <w:t>—particularly for the irritability analyses</w:t>
      </w:r>
      <w:r w:rsidRPr="001C0CE8">
        <w:rPr>
          <w:color w:val="000000" w:themeColor="text1"/>
        </w:rPr>
        <w:t xml:space="preserve">. Nevertheless, we report here how the results change when this analytic approach is taken. </w:t>
      </w:r>
      <w:r w:rsidR="004D6A1B" w:rsidRPr="00576022">
        <w:rPr>
          <w:shd w:val="clear" w:color="auto" w:fill="FFFFFF"/>
        </w:rPr>
        <w:t>To determine the cut-points for this approach we computed the mean ERN magnitude for the entire sample (M=-2.</w:t>
      </w:r>
      <w:r w:rsidR="004D6A1B" w:rsidRPr="00EF4DD1">
        <w:rPr>
          <w:color w:val="FF0000"/>
          <w:shd w:val="clear" w:color="auto" w:fill="FFFFFF"/>
        </w:rPr>
        <w:t>57</w:t>
      </w:r>
      <w:r w:rsidR="004D6A1B" w:rsidRPr="00576022">
        <w:rPr>
          <w:shd w:val="clear" w:color="auto" w:fill="FFFFFF"/>
        </w:rPr>
        <w:t>) and one standard deviation above (</w:t>
      </w:r>
      <w:r w:rsidR="004D6A1B" w:rsidRPr="00EF4DD1">
        <w:rPr>
          <w:shd w:val="clear" w:color="auto" w:fill="FFFFFF"/>
        </w:rPr>
        <w:t>.</w:t>
      </w:r>
      <w:r w:rsidR="004D6A1B" w:rsidRPr="00EF4DD1">
        <w:rPr>
          <w:color w:val="FF0000"/>
          <w:shd w:val="clear" w:color="auto" w:fill="FFFFFF"/>
        </w:rPr>
        <w:t>42</w:t>
      </w:r>
      <w:r w:rsidR="004D6A1B" w:rsidRPr="00576022">
        <w:rPr>
          <w:shd w:val="clear" w:color="auto" w:fill="FFFFFF"/>
        </w:rPr>
        <w:t xml:space="preserve">) and below </w:t>
      </w:r>
      <w:r w:rsidR="004D6A1B" w:rsidRPr="00EF4DD1">
        <w:rPr>
          <w:shd w:val="clear" w:color="auto" w:fill="FFFFFF"/>
        </w:rPr>
        <w:t>-</w:t>
      </w:r>
      <w:r w:rsidR="004D6A1B" w:rsidRPr="00EF4DD1">
        <w:rPr>
          <w:color w:val="FF0000"/>
          <w:shd w:val="clear" w:color="auto" w:fill="FFFFFF"/>
        </w:rPr>
        <w:t>5.55</w:t>
      </w:r>
      <w:r w:rsidR="004D6A1B" w:rsidRPr="00576022">
        <w:rPr>
          <w:shd w:val="clear" w:color="auto" w:fill="FFFFFF"/>
        </w:rPr>
        <w:t>) the mean. Individuals who had ERN scores smaller than -</w:t>
      </w:r>
      <w:r w:rsidR="004D6A1B" w:rsidRPr="00EF4DD1">
        <w:rPr>
          <w:color w:val="FF0000"/>
          <w:shd w:val="clear" w:color="auto" w:fill="FFFFFF"/>
        </w:rPr>
        <w:t xml:space="preserve">5.55 </w:t>
      </w:r>
      <w:r w:rsidR="004D6A1B" w:rsidRPr="00576022">
        <w:rPr>
          <w:shd w:val="clear" w:color="auto" w:fill="FFFFFF"/>
        </w:rPr>
        <w:t>were grouped together as exhibiting a high ERN (n=2</w:t>
      </w:r>
      <w:r w:rsidR="004D6A1B" w:rsidRPr="00EF4DD1">
        <w:rPr>
          <w:color w:val="FF0000"/>
          <w:shd w:val="clear" w:color="auto" w:fill="FFFFFF"/>
        </w:rPr>
        <w:t>1</w:t>
      </w:r>
      <w:r w:rsidR="004D6A1B" w:rsidRPr="00576022">
        <w:rPr>
          <w:shd w:val="clear" w:color="auto" w:fill="FFFFFF"/>
        </w:rPr>
        <w:t>, 1</w:t>
      </w:r>
      <w:r w:rsidR="004D6A1B" w:rsidRPr="00EF4DD1">
        <w:rPr>
          <w:color w:val="FF0000"/>
          <w:shd w:val="clear" w:color="auto" w:fill="FFFFFF"/>
        </w:rPr>
        <w:t>6.5</w:t>
      </w:r>
      <w:r w:rsidR="004D6A1B" w:rsidRPr="00576022">
        <w:rPr>
          <w:shd w:val="clear" w:color="auto" w:fill="FFFFFF"/>
        </w:rPr>
        <w:t>% of sample with any ERN data). Individuals who had ERN scores between -</w:t>
      </w:r>
      <w:r w:rsidR="004D6A1B" w:rsidRPr="00EF4DD1">
        <w:rPr>
          <w:color w:val="FF0000"/>
          <w:shd w:val="clear" w:color="auto" w:fill="FFFFFF"/>
        </w:rPr>
        <w:t xml:space="preserve">5.55 </w:t>
      </w:r>
      <w:r w:rsidR="004D6A1B" w:rsidRPr="00576022">
        <w:rPr>
          <w:shd w:val="clear" w:color="auto" w:fill="FFFFFF"/>
        </w:rPr>
        <w:t>and .</w:t>
      </w:r>
      <w:r w:rsidR="004D6A1B" w:rsidRPr="00EF4DD1">
        <w:rPr>
          <w:color w:val="FF0000"/>
          <w:shd w:val="clear" w:color="auto" w:fill="FFFFFF"/>
        </w:rPr>
        <w:t>42</w:t>
      </w:r>
      <w:r w:rsidR="004D6A1B" w:rsidRPr="00576022">
        <w:rPr>
          <w:shd w:val="clear" w:color="auto" w:fill="FFFFFF"/>
        </w:rPr>
        <w:t xml:space="preserve"> were categorized as having a moderate ERN (n=8</w:t>
      </w:r>
      <w:r w:rsidR="004D6A1B" w:rsidRPr="00EF4DD1">
        <w:rPr>
          <w:color w:val="FF0000"/>
          <w:shd w:val="clear" w:color="auto" w:fill="FFFFFF"/>
        </w:rPr>
        <w:t>7</w:t>
      </w:r>
      <w:r w:rsidR="004D6A1B" w:rsidRPr="00576022">
        <w:rPr>
          <w:shd w:val="clear" w:color="auto" w:fill="FFFFFF"/>
        </w:rPr>
        <w:t>; 6</w:t>
      </w:r>
      <w:r w:rsidR="004D6A1B" w:rsidRPr="00EF4DD1">
        <w:rPr>
          <w:color w:val="FF0000"/>
          <w:shd w:val="clear" w:color="auto" w:fill="FFFFFF"/>
        </w:rPr>
        <w:t>8.5</w:t>
      </w:r>
      <w:r w:rsidR="004D6A1B" w:rsidRPr="00576022">
        <w:rPr>
          <w:shd w:val="clear" w:color="auto" w:fill="FFFFFF"/>
        </w:rPr>
        <w:t>% of sample). Individuals with ERN scores greater than .</w:t>
      </w:r>
      <w:r w:rsidR="004D6A1B" w:rsidRPr="00EF4DD1">
        <w:rPr>
          <w:color w:val="FF0000"/>
          <w:shd w:val="clear" w:color="auto" w:fill="FFFFFF"/>
        </w:rPr>
        <w:t>42</w:t>
      </w:r>
      <w:r w:rsidR="004D6A1B" w:rsidRPr="00576022">
        <w:rPr>
          <w:shd w:val="clear" w:color="auto" w:fill="FFFFFF"/>
        </w:rPr>
        <w:t xml:space="preserve"> were categorized as having a low ERN (n=19, 15% of sample).</w:t>
      </w:r>
    </w:p>
    <w:p w14:paraId="14373669" w14:textId="4CB945AF" w:rsidR="00D400CD" w:rsidRPr="001C0CE8" w:rsidRDefault="00BB4396" w:rsidP="00BD67EA">
      <w:pPr>
        <w:spacing w:line="480" w:lineRule="auto"/>
        <w:ind w:firstLine="720"/>
        <w:rPr>
          <w:color w:val="000000" w:themeColor="text1"/>
        </w:rPr>
      </w:pPr>
      <w:r w:rsidRPr="001C0CE8">
        <w:rPr>
          <w:b/>
          <w:color w:val="000000" w:themeColor="text1"/>
        </w:rPr>
        <w:t>Behavioral inhibition and social anxiety</w:t>
      </w:r>
      <w:r w:rsidRPr="001C0CE8">
        <w:rPr>
          <w:color w:val="000000" w:themeColor="text1"/>
        </w:rPr>
        <w:t xml:space="preserve">. </w:t>
      </w:r>
      <w:r w:rsidR="00C653E2" w:rsidRPr="001C0CE8">
        <w:rPr>
          <w:color w:val="000000" w:themeColor="text1"/>
        </w:rPr>
        <w:t xml:space="preserve">Following this grouping then tested whether the association between BI and social anxiety held for each group. </w:t>
      </w:r>
      <w:r w:rsidR="004D6A1B" w:rsidRPr="00576022">
        <w:rPr>
          <w:shd w:val="clear" w:color="auto" w:fill="FFFFFF"/>
        </w:rPr>
        <w:t>Results indicated that there was a significant association between BI and social anxiety for the large (r(2</w:t>
      </w:r>
      <w:r w:rsidR="004D6A1B" w:rsidRPr="00015618">
        <w:rPr>
          <w:color w:val="FF0000"/>
          <w:shd w:val="clear" w:color="auto" w:fill="FFFFFF"/>
        </w:rPr>
        <w:t>1</w:t>
      </w:r>
      <w:r w:rsidR="004D6A1B" w:rsidRPr="00576022">
        <w:rPr>
          <w:shd w:val="clear" w:color="auto" w:fill="FFFFFF"/>
        </w:rPr>
        <w:t>)=.6</w:t>
      </w:r>
      <w:r w:rsidR="004D6A1B" w:rsidRPr="00015618">
        <w:rPr>
          <w:color w:val="FF0000"/>
          <w:shd w:val="clear" w:color="auto" w:fill="FFFFFF"/>
        </w:rPr>
        <w:t>72</w:t>
      </w:r>
      <w:r w:rsidR="004D6A1B" w:rsidRPr="00576022">
        <w:rPr>
          <w:shd w:val="clear" w:color="auto" w:fill="FFFFFF"/>
        </w:rPr>
        <w:t>, p&lt;.001) and moderate (r(8</w:t>
      </w:r>
      <w:r w:rsidR="004D6A1B" w:rsidRPr="00015618">
        <w:rPr>
          <w:color w:val="FF0000"/>
          <w:shd w:val="clear" w:color="auto" w:fill="FFFFFF"/>
        </w:rPr>
        <w:t>7</w:t>
      </w:r>
      <w:r w:rsidR="004D6A1B" w:rsidRPr="00576022">
        <w:rPr>
          <w:shd w:val="clear" w:color="auto" w:fill="FFFFFF"/>
        </w:rPr>
        <w:t>)=.4</w:t>
      </w:r>
      <w:r w:rsidR="004D6A1B" w:rsidRPr="00015618">
        <w:rPr>
          <w:color w:val="FF0000"/>
          <w:shd w:val="clear" w:color="auto" w:fill="FFFFFF"/>
        </w:rPr>
        <w:t>08</w:t>
      </w:r>
      <w:r w:rsidR="004D6A1B" w:rsidRPr="00576022">
        <w:rPr>
          <w:shd w:val="clear" w:color="auto" w:fill="FFFFFF"/>
        </w:rPr>
        <w:t>, p&lt;.001) ERN groups but not for the low ERN group (p</w:t>
      </w:r>
      <w:r w:rsidR="004D6A1B">
        <w:rPr>
          <w:shd w:val="clear" w:color="auto" w:fill="FFFFFF"/>
        </w:rPr>
        <w:t>&gt;</w:t>
      </w:r>
      <w:r w:rsidR="004D6A1B" w:rsidRPr="00576022">
        <w:rPr>
          <w:shd w:val="clear" w:color="auto" w:fill="FFFFFF"/>
        </w:rPr>
        <w:t>.6</w:t>
      </w:r>
      <w:r w:rsidR="004D6A1B">
        <w:rPr>
          <w:shd w:val="clear" w:color="auto" w:fill="FFFFFF"/>
        </w:rPr>
        <w:t>41</w:t>
      </w:r>
      <w:r w:rsidR="004D6A1B" w:rsidRPr="00576022">
        <w:rPr>
          <w:shd w:val="clear" w:color="auto" w:fill="FFFFFF"/>
        </w:rPr>
        <w:t>)</w:t>
      </w:r>
      <w:r w:rsidR="004D6A1B">
        <w:rPr>
          <w:shd w:val="clear" w:color="auto" w:fill="FFFFFF"/>
        </w:rPr>
        <w:t xml:space="preserve">. </w:t>
      </w:r>
      <w:r w:rsidR="00D400CD" w:rsidRPr="001C0CE8">
        <w:rPr>
          <w:color w:val="000000" w:themeColor="text1"/>
        </w:rPr>
        <w:t>These findings converge with t</w:t>
      </w:r>
      <w:r w:rsidR="00CB6663" w:rsidRPr="001C0CE8">
        <w:rPr>
          <w:color w:val="000000" w:themeColor="text1"/>
        </w:rPr>
        <w:t xml:space="preserve">hose reported in the main text and hold when controlling for childhood irritability. </w:t>
      </w:r>
      <w:r w:rsidR="00DF1634" w:rsidRPr="001C0CE8">
        <w:rPr>
          <w:color w:val="000000" w:themeColor="text1"/>
        </w:rPr>
        <w:t>Compare Figure 2 in the Main Text to Figure S3.</w:t>
      </w:r>
    </w:p>
    <w:p w14:paraId="2436A9EA" w14:textId="75A858AF" w:rsidR="00D400CD" w:rsidRPr="001C0CE8" w:rsidRDefault="00D400CD" w:rsidP="00D400CD">
      <w:pPr>
        <w:spacing w:line="480" w:lineRule="auto"/>
        <w:rPr>
          <w:color w:val="000000" w:themeColor="text1"/>
        </w:rPr>
      </w:pPr>
      <w:r w:rsidRPr="001C0CE8">
        <w:rPr>
          <w:color w:val="000000" w:themeColor="text1"/>
        </w:rPr>
        <w:tab/>
      </w:r>
      <w:r w:rsidR="00BD67EA" w:rsidRPr="001C0CE8">
        <w:rPr>
          <w:b/>
          <w:color w:val="000000" w:themeColor="text1"/>
        </w:rPr>
        <w:t xml:space="preserve">Childhood irritability predicts later ARI. </w:t>
      </w:r>
      <w:r w:rsidRPr="001C0CE8">
        <w:rPr>
          <w:color w:val="000000" w:themeColor="text1"/>
        </w:rPr>
        <w:t xml:space="preserve">We then ran the same analysis using the childhood irritability and average ARI scores. </w:t>
      </w:r>
      <w:r w:rsidR="00F63871" w:rsidRPr="00576022">
        <w:rPr>
          <w:shd w:val="clear" w:color="auto" w:fill="FFFFFF"/>
        </w:rPr>
        <w:t xml:space="preserve">Results indicated that there was a significant </w:t>
      </w:r>
      <w:r w:rsidR="00F63871" w:rsidRPr="00576022">
        <w:rPr>
          <w:shd w:val="clear" w:color="auto" w:fill="FFFFFF"/>
        </w:rPr>
        <w:lastRenderedPageBreak/>
        <w:t>relation between childhood irritability and 12 year irritability in the moderate ERN group (r(4</w:t>
      </w:r>
      <w:r w:rsidR="00F63871" w:rsidRPr="00567803">
        <w:rPr>
          <w:color w:val="FF0000"/>
          <w:shd w:val="clear" w:color="auto" w:fill="FFFFFF"/>
        </w:rPr>
        <w:t>4</w:t>
      </w:r>
      <w:r w:rsidR="00F63871" w:rsidRPr="00576022">
        <w:rPr>
          <w:shd w:val="clear" w:color="auto" w:fill="FFFFFF"/>
        </w:rPr>
        <w:t>)=.4</w:t>
      </w:r>
      <w:r w:rsidR="00F63871" w:rsidRPr="00567803">
        <w:rPr>
          <w:color w:val="FF0000"/>
          <w:shd w:val="clear" w:color="auto" w:fill="FFFFFF"/>
        </w:rPr>
        <w:t>16</w:t>
      </w:r>
      <w:r w:rsidR="00F63871" w:rsidRPr="00576022">
        <w:rPr>
          <w:shd w:val="clear" w:color="auto" w:fill="FFFFFF"/>
        </w:rPr>
        <w:t>, p&lt;.00</w:t>
      </w:r>
      <w:r w:rsidR="00F63871">
        <w:rPr>
          <w:color w:val="FF0000"/>
          <w:shd w:val="clear" w:color="auto" w:fill="FFFFFF"/>
        </w:rPr>
        <w:t>5</w:t>
      </w:r>
      <w:r w:rsidR="00F63871" w:rsidRPr="00576022">
        <w:rPr>
          <w:shd w:val="clear" w:color="auto" w:fill="FFFFFF"/>
        </w:rPr>
        <w:t>) but not in the large ERN group (p&gt;.</w:t>
      </w:r>
      <w:r w:rsidR="00F63871" w:rsidRPr="00567803">
        <w:rPr>
          <w:color w:val="FF0000"/>
          <w:shd w:val="clear" w:color="auto" w:fill="FFFFFF"/>
        </w:rPr>
        <w:t>793</w:t>
      </w:r>
      <w:r w:rsidR="00F63871" w:rsidRPr="00576022">
        <w:rPr>
          <w:shd w:val="clear" w:color="auto" w:fill="FFFFFF"/>
        </w:rPr>
        <w:t>) or the low ERN group (p&gt;.</w:t>
      </w:r>
      <w:r w:rsidR="00F63871" w:rsidRPr="00567803">
        <w:rPr>
          <w:color w:val="FF0000"/>
          <w:shd w:val="clear" w:color="auto" w:fill="FFFFFF"/>
        </w:rPr>
        <w:t>577</w:t>
      </w:r>
      <w:r w:rsidR="00F63871" w:rsidRPr="00576022">
        <w:rPr>
          <w:shd w:val="clear" w:color="auto" w:fill="FFFFFF"/>
        </w:rPr>
        <w:t>). These results hold when controlling for behavioral inhibition. Together, these results do not converge with those reported in the main text</w:t>
      </w:r>
      <w:r w:rsidR="00F63871">
        <w:rPr>
          <w:shd w:val="clear" w:color="auto" w:fill="FFFFFF"/>
        </w:rPr>
        <w:t xml:space="preserve"> </w:t>
      </w:r>
      <w:r w:rsidR="00F63871" w:rsidRPr="00576022">
        <w:rPr>
          <w:shd w:val="clear" w:color="auto" w:fill="FFFFFF"/>
        </w:rPr>
        <w:t>(Compare Figure 3 in the Main text to Figure S4). We suspect that this may be due to data loss in evaluating groups of individuals</w:t>
      </w:r>
      <w:r w:rsidR="00F63871">
        <w:rPr>
          <w:shd w:val="clear" w:color="auto" w:fill="FFFFFF"/>
        </w:rPr>
        <w:t xml:space="preserve"> </w:t>
      </w:r>
      <w:r w:rsidR="00F63871" w:rsidRPr="00576022">
        <w:rPr>
          <w:shd w:val="clear" w:color="auto" w:fill="FFFFFF"/>
        </w:rPr>
        <w:t>who have both irritability phenotype data and</w:t>
      </w:r>
      <w:r w:rsidR="00F63871">
        <w:rPr>
          <w:shd w:val="clear" w:color="auto" w:fill="FFFFFF"/>
        </w:rPr>
        <w:t xml:space="preserve"> </w:t>
      </w:r>
      <w:r w:rsidR="00F63871" w:rsidRPr="00576022">
        <w:rPr>
          <w:shd w:val="clear" w:color="auto" w:fill="FFFFFF"/>
        </w:rPr>
        <w:t>were categorized as high ERN (n=1</w:t>
      </w:r>
      <w:r w:rsidR="00F63871" w:rsidRPr="004B6873">
        <w:rPr>
          <w:color w:val="FF0000"/>
          <w:shd w:val="clear" w:color="auto" w:fill="FFFFFF"/>
        </w:rPr>
        <w:t>1</w:t>
      </w:r>
      <w:r w:rsidR="00F63871" w:rsidRPr="00576022">
        <w:rPr>
          <w:shd w:val="clear" w:color="auto" w:fill="FFFFFF"/>
        </w:rPr>
        <w:t>) or low ERN (n=</w:t>
      </w:r>
      <w:r w:rsidR="00F63871" w:rsidRPr="004B6873">
        <w:rPr>
          <w:color w:val="FF0000"/>
          <w:shd w:val="clear" w:color="auto" w:fill="FFFFFF"/>
        </w:rPr>
        <w:t>8</w:t>
      </w:r>
      <w:r w:rsidR="00F63871" w:rsidRPr="00576022">
        <w:rPr>
          <w:shd w:val="clear" w:color="auto" w:fill="FFFFFF"/>
        </w:rPr>
        <w:t>)</w:t>
      </w:r>
      <w:r w:rsidR="00F63871">
        <w:rPr>
          <w:shd w:val="clear" w:color="auto" w:fill="FFFFFF"/>
        </w:rPr>
        <w:t xml:space="preserve"> </w:t>
      </w:r>
      <w:r w:rsidR="00F63871" w:rsidRPr="00576022">
        <w:rPr>
          <w:shd w:val="clear" w:color="auto" w:fill="FFFFFF"/>
        </w:rPr>
        <w:t>using this +/-1 standard</w:t>
      </w:r>
      <w:r w:rsidR="00F63871">
        <w:rPr>
          <w:shd w:val="clear" w:color="auto" w:fill="FFFFFF"/>
        </w:rPr>
        <w:t xml:space="preserve"> </w:t>
      </w:r>
      <w:r w:rsidR="00F63871" w:rsidRPr="00576022">
        <w:rPr>
          <w:shd w:val="clear" w:color="auto" w:fill="FFFFFF"/>
        </w:rPr>
        <w:t>deviation approach of grouping.</w:t>
      </w:r>
      <w:r w:rsidR="00F63871">
        <w:rPr>
          <w:shd w:val="clear" w:color="auto" w:fill="FFFFFF"/>
        </w:rPr>
        <w:t xml:space="preserve"> </w:t>
      </w:r>
      <w:r w:rsidRPr="001C0CE8">
        <w:rPr>
          <w:color w:val="000000" w:themeColor="text1"/>
        </w:rPr>
        <w:t xml:space="preserve">The data reported in the main text have larger sample sizes per group and thus, we suspect better reflect individual differences in our data set. </w:t>
      </w:r>
      <w:r w:rsidR="00CB6663" w:rsidRPr="001C0CE8">
        <w:rPr>
          <w:color w:val="000000" w:themeColor="text1"/>
        </w:rPr>
        <w:t xml:space="preserve">It is also notable that group size difference between the </w:t>
      </w:r>
      <w:proofErr w:type="spellStart"/>
      <w:r w:rsidR="00CB6663" w:rsidRPr="001C0CE8">
        <w:rPr>
          <w:color w:val="000000" w:themeColor="text1"/>
        </w:rPr>
        <w:t>tertile</w:t>
      </w:r>
      <w:proofErr w:type="spellEnd"/>
      <w:r w:rsidR="00CB6663" w:rsidRPr="001C0CE8">
        <w:rPr>
          <w:color w:val="000000" w:themeColor="text1"/>
        </w:rPr>
        <w:t xml:space="preserve"> split and the +/- 1 standard deviation approach is larger in the irritability analyses than the BI analyses.   </w:t>
      </w:r>
    </w:p>
    <w:p w14:paraId="073828A4" w14:textId="17333BB9" w:rsidR="009E4A26" w:rsidRPr="001C0CE8" w:rsidRDefault="009E4A26" w:rsidP="00D400CD">
      <w:pPr>
        <w:spacing w:line="480" w:lineRule="auto"/>
        <w:rPr>
          <w:color w:val="000000" w:themeColor="text1"/>
        </w:rPr>
      </w:pPr>
      <w:r w:rsidRPr="001C0CE8">
        <w:rPr>
          <w:b/>
          <w:color w:val="000000" w:themeColor="text1"/>
        </w:rPr>
        <w:t xml:space="preserve">Irritability Groups as a multi-categorical IV. </w:t>
      </w:r>
      <w:r w:rsidRPr="001C0CE8">
        <w:rPr>
          <w:color w:val="000000" w:themeColor="text1"/>
        </w:rPr>
        <w:t xml:space="preserve">While the probability of being classified as high stable irritable over the course of childhood is a strong reliable predictor of 12 irritability, we could have also run our focal analyses using irritability group (a categorical variable). This approach results in the same overall pattern of results. </w:t>
      </w:r>
      <w:r w:rsidR="00664A9A" w:rsidRPr="00A7335A">
        <w:rPr>
          <w:shd w:val="clear" w:color="auto" w:fill="FFFFFF"/>
        </w:rPr>
        <w:t>The association between childhood irritability group and age 12 irritability differed as a function of ERN magnitude (b=.</w:t>
      </w:r>
      <w:r w:rsidR="00664A9A" w:rsidRPr="004B6873">
        <w:rPr>
          <w:color w:val="FF0000"/>
          <w:shd w:val="clear" w:color="auto" w:fill="FFFFFF"/>
        </w:rPr>
        <w:t>471</w:t>
      </w:r>
      <w:r w:rsidR="00664A9A" w:rsidRPr="00A7335A">
        <w:rPr>
          <w:shd w:val="clear" w:color="auto" w:fill="FFFFFF"/>
        </w:rPr>
        <w:t>, ΔR2= .2</w:t>
      </w:r>
      <w:r w:rsidR="00664A9A" w:rsidRPr="004B6873">
        <w:rPr>
          <w:color w:val="FF0000"/>
          <w:shd w:val="clear" w:color="auto" w:fill="FFFFFF"/>
        </w:rPr>
        <w:t>03</w:t>
      </w:r>
      <w:r w:rsidR="00664A9A" w:rsidRPr="00A7335A">
        <w:rPr>
          <w:shd w:val="clear" w:color="auto" w:fill="FFFFFF"/>
        </w:rPr>
        <w:t>, F(3,5</w:t>
      </w:r>
      <w:r w:rsidR="00664A9A">
        <w:rPr>
          <w:shd w:val="clear" w:color="auto" w:fill="FFFFFF"/>
        </w:rPr>
        <w:t>5</w:t>
      </w:r>
      <w:r w:rsidR="00664A9A" w:rsidRPr="00A7335A">
        <w:rPr>
          <w:shd w:val="clear" w:color="auto" w:fill="FFFFFF"/>
        </w:rPr>
        <w:t xml:space="preserve">) = </w:t>
      </w:r>
      <w:r w:rsidR="00664A9A" w:rsidRPr="004B6873">
        <w:rPr>
          <w:color w:val="FF0000"/>
          <w:shd w:val="clear" w:color="auto" w:fill="FFFFFF"/>
        </w:rPr>
        <w:t>5.624</w:t>
      </w:r>
      <w:r w:rsidR="00664A9A" w:rsidRPr="00A7335A">
        <w:rPr>
          <w:shd w:val="clear" w:color="auto" w:fill="FFFFFF"/>
        </w:rPr>
        <w:t>, p&lt;.00</w:t>
      </w:r>
      <w:r w:rsidR="00664A9A" w:rsidRPr="004B6873">
        <w:rPr>
          <w:color w:val="FF0000"/>
          <w:shd w:val="clear" w:color="auto" w:fill="FFFFFF"/>
        </w:rPr>
        <w:t>2</w:t>
      </w:r>
      <w:r w:rsidR="00664A9A" w:rsidRPr="00A7335A">
        <w:rPr>
          <w:shd w:val="clear" w:color="auto" w:fill="FFFFFF"/>
        </w:rPr>
        <w:t>)</w:t>
      </w:r>
      <w:r w:rsidR="00664A9A">
        <w:rPr>
          <w:shd w:val="clear" w:color="auto" w:fill="FFFFFF"/>
        </w:rPr>
        <w:t xml:space="preserve">. </w:t>
      </w:r>
      <w:r w:rsidR="00DB696E" w:rsidRPr="001C0CE8">
        <w:rPr>
          <w:color w:val="000000" w:themeColor="text1"/>
        </w:rPr>
        <w:t>Interestingly, here we see the same pattern with those exhibiting high stable irritable children with a low and moderate ERN (</w:t>
      </w:r>
      <w:proofErr w:type="spellStart"/>
      <w:r w:rsidR="00DB696E" w:rsidRPr="001C0CE8">
        <w:rPr>
          <w:i/>
          <w:color w:val="000000" w:themeColor="text1"/>
        </w:rPr>
        <w:t>p</w:t>
      </w:r>
      <w:r w:rsidR="00DB696E" w:rsidRPr="001C0CE8">
        <w:rPr>
          <w:color w:val="000000" w:themeColor="text1"/>
        </w:rPr>
        <w:t>s</w:t>
      </w:r>
      <w:proofErr w:type="spellEnd"/>
      <w:r w:rsidR="00DB696E" w:rsidRPr="001C0CE8">
        <w:rPr>
          <w:color w:val="000000" w:themeColor="text1"/>
        </w:rPr>
        <w:t xml:space="preserve">&lt;.002) showing heightened irritability at age 12. This pattern is not present in those high stable </w:t>
      </w:r>
      <w:r w:rsidR="00521538" w:rsidRPr="001C0CE8">
        <w:rPr>
          <w:color w:val="000000" w:themeColor="text1"/>
        </w:rPr>
        <w:t>irritable</w:t>
      </w:r>
      <w:r w:rsidR="00DB696E" w:rsidRPr="001C0CE8">
        <w:rPr>
          <w:color w:val="000000" w:themeColor="text1"/>
        </w:rPr>
        <w:t xml:space="preserve"> children with a high ERN. Furthermore, in contrast to the focal analyses reported in the main text, we also see an interaction in the group of children who show low-increasing irritability—such that those with low-increasing irritability who exhibit a high ERN show increased irritability at age 12. </w:t>
      </w:r>
    </w:p>
    <w:p w14:paraId="153D04A3" w14:textId="34668B86" w:rsidR="000C08D8" w:rsidRPr="001C0CE8" w:rsidRDefault="00833F1C" w:rsidP="00BD67EA">
      <w:pPr>
        <w:spacing w:line="480" w:lineRule="auto"/>
        <w:rPr>
          <w:color w:val="000000" w:themeColor="text1"/>
        </w:rPr>
      </w:pPr>
      <w:r w:rsidRPr="001C0CE8">
        <w:rPr>
          <w:b/>
          <w:color w:val="000000" w:themeColor="text1"/>
        </w:rPr>
        <w:lastRenderedPageBreak/>
        <w:t>Using Arcsine transformed scores for childhood irritability</w:t>
      </w:r>
      <w:r w:rsidRPr="001C0CE8">
        <w:rPr>
          <w:color w:val="000000" w:themeColor="text1"/>
        </w:rPr>
        <w:t xml:space="preserve">. While our main text reports childhood irritability using non-transformed irritability scores, the results did not change if we instead substituted the arcsine transformed childhood irritability scores. See Table </w:t>
      </w:r>
      <w:r w:rsidR="00D724F9" w:rsidRPr="001C0CE8">
        <w:rPr>
          <w:color w:val="000000" w:themeColor="text1"/>
        </w:rPr>
        <w:t>S4</w:t>
      </w:r>
      <w:r w:rsidR="0041630E" w:rsidRPr="001C0CE8">
        <w:rPr>
          <w:color w:val="000000" w:themeColor="text1"/>
        </w:rPr>
        <w:t xml:space="preserve">. </w:t>
      </w:r>
    </w:p>
    <w:p w14:paraId="537C634E" w14:textId="11BA108D" w:rsidR="00EE6E9F" w:rsidRPr="001C0CE8" w:rsidRDefault="000C08D8" w:rsidP="0004529B">
      <w:pPr>
        <w:spacing w:line="480" w:lineRule="auto"/>
        <w:rPr>
          <w:color w:val="000000" w:themeColor="text1"/>
        </w:rPr>
      </w:pPr>
      <w:r w:rsidRPr="001C0CE8">
        <w:rPr>
          <w:b/>
          <w:color w:val="000000" w:themeColor="text1"/>
        </w:rPr>
        <w:t xml:space="preserve">Supplemental Analysis Strategy. </w:t>
      </w:r>
      <w:r w:rsidRPr="001C0CE8">
        <w:rPr>
          <w:color w:val="000000" w:themeColor="text1"/>
        </w:rPr>
        <w:t>To supplement our analyses in the main text, we re-ran all focal analyses using permutation testing (5000 iterations; utilizing the tool Permutation Analysis of Linear Models (PALM); Winkler et al, 2014). Permutation testing further validated the strength of these relations: BI-Social Anxiety (</w:t>
      </w:r>
      <w:r w:rsidRPr="001C0CE8">
        <w:rPr>
          <w:i/>
          <w:color w:val="000000" w:themeColor="text1"/>
        </w:rPr>
        <w:t>p</w:t>
      </w:r>
      <w:r w:rsidRPr="001C0CE8">
        <w:rPr>
          <w:color w:val="000000" w:themeColor="text1"/>
        </w:rPr>
        <w:t>&lt;.0002), stable childhood irritability-ARI (</w:t>
      </w:r>
      <w:r w:rsidRPr="001C0CE8">
        <w:rPr>
          <w:i/>
          <w:color w:val="000000" w:themeColor="text1"/>
        </w:rPr>
        <w:t>p</w:t>
      </w:r>
      <w:r w:rsidRPr="001C0CE8">
        <w:rPr>
          <w:color w:val="000000" w:themeColor="text1"/>
        </w:rPr>
        <w:t xml:space="preserve">&lt;.0008). Permutation testing further validated the strength of the moderation analyses. The BI </w:t>
      </w:r>
      <w:r w:rsidR="00914D70" w:rsidRPr="001C0CE8">
        <w:rPr>
          <w:color w:val="000000" w:themeColor="text1"/>
        </w:rPr>
        <w:t xml:space="preserve">x </w:t>
      </w:r>
      <w:r w:rsidRPr="001C0CE8">
        <w:rPr>
          <w:color w:val="000000" w:themeColor="text1"/>
        </w:rPr>
        <w:t xml:space="preserve">ERN </w:t>
      </w:r>
      <w:r w:rsidRPr="001C0CE8">
        <w:rPr>
          <w:i/>
          <w:color w:val="000000" w:themeColor="text1"/>
        </w:rPr>
        <w:t>t</w:t>
      </w:r>
      <w:r w:rsidRPr="001C0CE8">
        <w:rPr>
          <w:color w:val="000000" w:themeColor="text1"/>
        </w:rPr>
        <w:t xml:space="preserve">(122)=-2.00, </w:t>
      </w:r>
      <w:r w:rsidRPr="001C0CE8">
        <w:rPr>
          <w:i/>
          <w:color w:val="000000" w:themeColor="text1"/>
        </w:rPr>
        <w:t>p</w:t>
      </w:r>
      <w:r w:rsidRPr="001C0CE8">
        <w:rPr>
          <w:color w:val="000000" w:themeColor="text1"/>
        </w:rPr>
        <w:t>&lt;.022; IRR</w:t>
      </w:r>
      <w:r w:rsidR="00914D70" w:rsidRPr="001C0CE8">
        <w:rPr>
          <w:color w:val="000000" w:themeColor="text1"/>
        </w:rPr>
        <w:t xml:space="preserve"> x </w:t>
      </w:r>
      <w:r w:rsidRPr="001C0CE8">
        <w:rPr>
          <w:color w:val="000000" w:themeColor="text1"/>
        </w:rPr>
        <w:t xml:space="preserve">ERN </w:t>
      </w:r>
      <w:r w:rsidRPr="001C0CE8">
        <w:rPr>
          <w:i/>
          <w:color w:val="000000" w:themeColor="text1"/>
        </w:rPr>
        <w:t>t</w:t>
      </w:r>
      <w:r w:rsidRPr="001C0CE8">
        <w:rPr>
          <w:color w:val="000000" w:themeColor="text1"/>
        </w:rPr>
        <w:t xml:space="preserve">(59)=2.93, </w:t>
      </w:r>
      <w:r w:rsidRPr="001C0CE8">
        <w:rPr>
          <w:i/>
          <w:color w:val="000000" w:themeColor="text1"/>
        </w:rPr>
        <w:t>p</w:t>
      </w:r>
      <w:r w:rsidRPr="001C0CE8">
        <w:rPr>
          <w:color w:val="000000" w:themeColor="text1"/>
        </w:rPr>
        <w:t xml:space="preserve">&lt;.001). By replicating our focal findings using permutation testing, we demonstrate that our results are robust to non-normality and control </w:t>
      </w:r>
      <w:r w:rsidR="00914D70" w:rsidRPr="001C0CE8">
        <w:rPr>
          <w:color w:val="000000" w:themeColor="text1"/>
        </w:rPr>
        <w:t xml:space="preserve">precisely </w:t>
      </w:r>
      <w:r w:rsidRPr="001C0CE8">
        <w:rPr>
          <w:color w:val="000000" w:themeColor="text1"/>
        </w:rPr>
        <w:t xml:space="preserve">the Type I error rate. </w:t>
      </w:r>
    </w:p>
    <w:p w14:paraId="040140C9" w14:textId="15762AFE" w:rsidR="00EE6E9F" w:rsidRPr="001C0CE8" w:rsidRDefault="00EE6E9F" w:rsidP="00EE6E9F">
      <w:pPr>
        <w:rPr>
          <w:i/>
          <w:color w:val="000000" w:themeColor="text1"/>
        </w:rPr>
      </w:pPr>
      <w:r w:rsidRPr="001C0CE8">
        <w:br w:type="page"/>
      </w:r>
      <w:r w:rsidR="00EF578B" w:rsidRPr="00EF4DD1">
        <w:rPr>
          <w:noProof/>
        </w:rPr>
        <w:lastRenderedPageBreak/>
        <w:drawing>
          <wp:inline distT="0" distB="0" distL="0" distR="0" wp14:anchorId="242B475D" wp14:editId="526CC46F">
            <wp:extent cx="5386192" cy="35315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25687" cy="3557420"/>
                    </a:xfrm>
                    <a:prstGeom prst="rect">
                      <a:avLst/>
                    </a:prstGeom>
                  </pic:spPr>
                </pic:pic>
              </a:graphicData>
            </a:graphic>
          </wp:inline>
        </w:drawing>
      </w:r>
    </w:p>
    <w:p w14:paraId="5571DBB6" w14:textId="3EA622E6" w:rsidR="00C653E2" w:rsidRPr="003877CF" w:rsidRDefault="00EE6E9F">
      <w:pPr>
        <w:rPr>
          <w:color w:val="000000" w:themeColor="text1"/>
        </w:rPr>
      </w:pPr>
      <w:r w:rsidRPr="003877CF">
        <w:rPr>
          <w:i/>
          <w:color w:val="FF0000"/>
        </w:rPr>
        <w:t>Figure S1</w:t>
      </w:r>
      <w:r w:rsidRPr="001C0CE8">
        <w:rPr>
          <w:i/>
          <w:color w:val="000000" w:themeColor="text1"/>
        </w:rPr>
        <w:t>.</w:t>
      </w:r>
      <w:r w:rsidRPr="001C0CE8">
        <w:rPr>
          <w:color w:val="000000" w:themeColor="text1"/>
        </w:rPr>
        <w:t xml:space="preserve"> Illustrates the distribution of ERN scores.</w:t>
      </w:r>
      <w:r w:rsidRPr="001C0CE8">
        <w:rPr>
          <w:color w:val="000000" w:themeColor="text1"/>
        </w:rPr>
        <w:br w:type="page"/>
      </w:r>
    </w:p>
    <w:p w14:paraId="7BEB2EB7" w14:textId="39EA4E20" w:rsidR="004F3D4C" w:rsidRPr="001C0CE8" w:rsidRDefault="004F3D4C" w:rsidP="004F3D4C">
      <w:pPr>
        <w:rPr>
          <w:i/>
          <w:color w:val="000000" w:themeColor="text1"/>
        </w:rPr>
      </w:pPr>
      <w:r w:rsidRPr="001C0CE8">
        <w:rPr>
          <w:i/>
          <w:color w:val="000000" w:themeColor="text1"/>
        </w:rPr>
        <w:lastRenderedPageBreak/>
        <w:t>Table S1. Model fit indices for latent class growth analysis of childhood irritability.</w:t>
      </w:r>
    </w:p>
    <w:p w14:paraId="086C0BD5" w14:textId="77777777" w:rsidR="004F3D4C" w:rsidRPr="001C0CE8" w:rsidRDefault="004F3D4C" w:rsidP="004F3D4C">
      <w:pPr>
        <w:rPr>
          <w:color w:val="000000" w:themeColor="text1"/>
        </w:rPr>
      </w:pPr>
    </w:p>
    <w:tbl>
      <w:tblPr>
        <w:tblW w:w="10005" w:type="dxa"/>
        <w:jc w:val="center"/>
        <w:tblLayout w:type="fixed"/>
        <w:tblLook w:val="04A0" w:firstRow="1" w:lastRow="0" w:firstColumn="1" w:lastColumn="0" w:noHBand="0" w:noVBand="1"/>
      </w:tblPr>
      <w:tblGrid>
        <w:gridCol w:w="1172"/>
        <w:gridCol w:w="1116"/>
        <w:gridCol w:w="1116"/>
        <w:gridCol w:w="1116"/>
        <w:gridCol w:w="1060"/>
        <w:gridCol w:w="1060"/>
        <w:gridCol w:w="1060"/>
        <w:gridCol w:w="1060"/>
        <w:gridCol w:w="1245"/>
      </w:tblGrid>
      <w:tr w:rsidR="004F3D4C" w:rsidRPr="001C0CE8" w14:paraId="39677EFA" w14:textId="77777777" w:rsidTr="00D73C06">
        <w:trPr>
          <w:trHeight w:val="300"/>
          <w:jc w:val="center"/>
        </w:trPr>
        <w:tc>
          <w:tcPr>
            <w:tcW w:w="1172" w:type="dxa"/>
            <w:tcBorders>
              <w:top w:val="single" w:sz="4" w:space="0" w:color="auto"/>
              <w:left w:val="nil"/>
              <w:bottom w:val="single" w:sz="4" w:space="0" w:color="auto"/>
              <w:right w:val="nil"/>
            </w:tcBorders>
            <w:shd w:val="clear" w:color="auto" w:fill="auto"/>
            <w:noWrap/>
            <w:vAlign w:val="bottom"/>
            <w:hideMark/>
          </w:tcPr>
          <w:p w14:paraId="340EACD7" w14:textId="77777777" w:rsidR="004F3D4C" w:rsidRPr="001C0CE8" w:rsidRDefault="004F3D4C" w:rsidP="00D73C06">
            <w:pPr>
              <w:jc w:val="center"/>
              <w:rPr>
                <w:color w:val="000000" w:themeColor="text1"/>
              </w:rPr>
            </w:pPr>
            <w:r w:rsidRPr="001C0CE8">
              <w:rPr>
                <w:color w:val="000000" w:themeColor="text1"/>
              </w:rPr>
              <w:t>Latent Classes Modeled</w:t>
            </w:r>
          </w:p>
        </w:tc>
        <w:tc>
          <w:tcPr>
            <w:tcW w:w="1116" w:type="dxa"/>
            <w:tcBorders>
              <w:top w:val="single" w:sz="4" w:space="0" w:color="auto"/>
              <w:left w:val="nil"/>
              <w:bottom w:val="single" w:sz="4" w:space="0" w:color="auto"/>
              <w:right w:val="nil"/>
            </w:tcBorders>
            <w:shd w:val="clear" w:color="auto" w:fill="auto"/>
            <w:noWrap/>
            <w:vAlign w:val="bottom"/>
            <w:hideMark/>
          </w:tcPr>
          <w:p w14:paraId="3209925E" w14:textId="77777777" w:rsidR="004F3D4C" w:rsidRPr="001C0CE8" w:rsidRDefault="004F3D4C" w:rsidP="00D73C06">
            <w:pPr>
              <w:jc w:val="center"/>
              <w:rPr>
                <w:color w:val="000000" w:themeColor="text1"/>
              </w:rPr>
            </w:pPr>
            <w:r w:rsidRPr="001C0CE8">
              <w:rPr>
                <w:color w:val="000000" w:themeColor="text1"/>
              </w:rPr>
              <w:t>AIC</w:t>
            </w:r>
          </w:p>
        </w:tc>
        <w:tc>
          <w:tcPr>
            <w:tcW w:w="1116" w:type="dxa"/>
            <w:tcBorders>
              <w:top w:val="single" w:sz="4" w:space="0" w:color="auto"/>
              <w:left w:val="nil"/>
              <w:bottom w:val="single" w:sz="4" w:space="0" w:color="auto"/>
              <w:right w:val="nil"/>
            </w:tcBorders>
            <w:shd w:val="clear" w:color="auto" w:fill="auto"/>
            <w:noWrap/>
            <w:vAlign w:val="bottom"/>
            <w:hideMark/>
          </w:tcPr>
          <w:p w14:paraId="3440E6F5" w14:textId="77777777" w:rsidR="004F3D4C" w:rsidRPr="001C0CE8" w:rsidRDefault="004F3D4C" w:rsidP="00D73C06">
            <w:pPr>
              <w:jc w:val="center"/>
              <w:rPr>
                <w:color w:val="000000" w:themeColor="text1"/>
              </w:rPr>
            </w:pPr>
            <w:r w:rsidRPr="001C0CE8">
              <w:rPr>
                <w:color w:val="000000" w:themeColor="text1"/>
              </w:rPr>
              <w:t>BIC</w:t>
            </w:r>
          </w:p>
        </w:tc>
        <w:tc>
          <w:tcPr>
            <w:tcW w:w="1116" w:type="dxa"/>
            <w:tcBorders>
              <w:top w:val="single" w:sz="4" w:space="0" w:color="auto"/>
              <w:left w:val="nil"/>
              <w:bottom w:val="single" w:sz="4" w:space="0" w:color="auto"/>
              <w:right w:val="nil"/>
            </w:tcBorders>
            <w:shd w:val="clear" w:color="auto" w:fill="auto"/>
            <w:noWrap/>
            <w:vAlign w:val="bottom"/>
            <w:hideMark/>
          </w:tcPr>
          <w:p w14:paraId="38E9116E" w14:textId="77777777" w:rsidR="004F3D4C" w:rsidRPr="001C0CE8" w:rsidRDefault="004F3D4C" w:rsidP="00D73C06">
            <w:pPr>
              <w:jc w:val="center"/>
              <w:rPr>
                <w:color w:val="000000" w:themeColor="text1"/>
              </w:rPr>
            </w:pPr>
            <w:r w:rsidRPr="001C0CE8">
              <w:rPr>
                <w:color w:val="000000" w:themeColor="text1"/>
              </w:rPr>
              <w:t>SSBIC</w:t>
            </w:r>
          </w:p>
        </w:tc>
        <w:tc>
          <w:tcPr>
            <w:tcW w:w="1060" w:type="dxa"/>
            <w:tcBorders>
              <w:top w:val="single" w:sz="4" w:space="0" w:color="auto"/>
              <w:left w:val="nil"/>
              <w:bottom w:val="single" w:sz="4" w:space="0" w:color="auto"/>
              <w:right w:val="nil"/>
            </w:tcBorders>
            <w:shd w:val="clear" w:color="auto" w:fill="auto"/>
            <w:noWrap/>
            <w:vAlign w:val="bottom"/>
            <w:hideMark/>
          </w:tcPr>
          <w:p w14:paraId="604E8D4A" w14:textId="77777777" w:rsidR="004F3D4C" w:rsidRPr="001C0CE8" w:rsidRDefault="004F3D4C" w:rsidP="00D73C06">
            <w:pPr>
              <w:jc w:val="center"/>
              <w:rPr>
                <w:color w:val="000000" w:themeColor="text1"/>
              </w:rPr>
            </w:pPr>
            <w:r w:rsidRPr="001C0CE8">
              <w:rPr>
                <w:color w:val="000000" w:themeColor="text1"/>
              </w:rPr>
              <w:t>Entropy</w:t>
            </w:r>
          </w:p>
        </w:tc>
        <w:tc>
          <w:tcPr>
            <w:tcW w:w="1060" w:type="dxa"/>
            <w:tcBorders>
              <w:top w:val="single" w:sz="4" w:space="0" w:color="auto"/>
              <w:left w:val="nil"/>
              <w:bottom w:val="single" w:sz="4" w:space="0" w:color="auto"/>
              <w:right w:val="nil"/>
            </w:tcBorders>
            <w:shd w:val="clear" w:color="auto" w:fill="auto"/>
            <w:noWrap/>
            <w:vAlign w:val="bottom"/>
            <w:hideMark/>
          </w:tcPr>
          <w:p w14:paraId="408F320A" w14:textId="77777777" w:rsidR="004F3D4C" w:rsidRPr="001C0CE8" w:rsidRDefault="004F3D4C" w:rsidP="00D73C06">
            <w:pPr>
              <w:jc w:val="center"/>
              <w:rPr>
                <w:color w:val="000000" w:themeColor="text1"/>
              </w:rPr>
            </w:pPr>
            <w:r w:rsidRPr="001C0CE8">
              <w:rPr>
                <w:color w:val="000000" w:themeColor="text1"/>
              </w:rPr>
              <w:t>VLMR</w:t>
            </w:r>
          </w:p>
          <w:p w14:paraId="507F8186" w14:textId="77777777" w:rsidR="004F3D4C" w:rsidRPr="001C0CE8" w:rsidRDefault="004F3D4C" w:rsidP="00D73C06">
            <w:pPr>
              <w:jc w:val="center"/>
              <w:rPr>
                <w:color w:val="000000" w:themeColor="text1"/>
              </w:rPr>
            </w:pPr>
            <w:r w:rsidRPr="001C0CE8">
              <w:rPr>
                <w:color w:val="000000" w:themeColor="text1"/>
              </w:rPr>
              <w:t>(</w:t>
            </w:r>
            <w:r w:rsidRPr="001C0CE8">
              <w:rPr>
                <w:i/>
                <w:color w:val="000000" w:themeColor="text1"/>
              </w:rPr>
              <w:t>p</w:t>
            </w:r>
            <w:r w:rsidRPr="001C0CE8">
              <w:rPr>
                <w:color w:val="000000" w:themeColor="text1"/>
              </w:rPr>
              <w:t>)</w:t>
            </w:r>
          </w:p>
        </w:tc>
        <w:tc>
          <w:tcPr>
            <w:tcW w:w="1060" w:type="dxa"/>
            <w:tcBorders>
              <w:top w:val="single" w:sz="4" w:space="0" w:color="auto"/>
              <w:left w:val="nil"/>
              <w:bottom w:val="single" w:sz="4" w:space="0" w:color="auto"/>
              <w:right w:val="nil"/>
            </w:tcBorders>
            <w:shd w:val="clear" w:color="auto" w:fill="auto"/>
            <w:noWrap/>
            <w:vAlign w:val="bottom"/>
            <w:hideMark/>
          </w:tcPr>
          <w:p w14:paraId="4698CDFE" w14:textId="77777777" w:rsidR="004F3D4C" w:rsidRPr="001C0CE8" w:rsidRDefault="004F3D4C" w:rsidP="00D73C06">
            <w:pPr>
              <w:jc w:val="center"/>
              <w:rPr>
                <w:color w:val="000000" w:themeColor="text1"/>
              </w:rPr>
            </w:pPr>
            <w:r w:rsidRPr="001C0CE8">
              <w:rPr>
                <w:color w:val="000000" w:themeColor="text1"/>
              </w:rPr>
              <w:t>LMR</w:t>
            </w:r>
          </w:p>
          <w:p w14:paraId="6F235AB8" w14:textId="77777777" w:rsidR="004F3D4C" w:rsidRPr="001C0CE8" w:rsidRDefault="004F3D4C" w:rsidP="00D73C06">
            <w:pPr>
              <w:jc w:val="center"/>
              <w:rPr>
                <w:i/>
                <w:color w:val="000000" w:themeColor="text1"/>
              </w:rPr>
            </w:pPr>
            <w:r w:rsidRPr="001C0CE8">
              <w:rPr>
                <w:i/>
                <w:color w:val="000000" w:themeColor="text1"/>
              </w:rPr>
              <w:t>(p)</w:t>
            </w:r>
          </w:p>
        </w:tc>
        <w:tc>
          <w:tcPr>
            <w:tcW w:w="1060" w:type="dxa"/>
            <w:tcBorders>
              <w:top w:val="single" w:sz="4" w:space="0" w:color="auto"/>
              <w:left w:val="nil"/>
              <w:bottom w:val="single" w:sz="4" w:space="0" w:color="auto"/>
              <w:right w:val="nil"/>
            </w:tcBorders>
            <w:shd w:val="clear" w:color="auto" w:fill="auto"/>
            <w:noWrap/>
            <w:vAlign w:val="bottom"/>
            <w:hideMark/>
          </w:tcPr>
          <w:p w14:paraId="3A5C2FB1" w14:textId="77777777" w:rsidR="004F3D4C" w:rsidRPr="001C0CE8" w:rsidRDefault="004F3D4C" w:rsidP="00D73C06">
            <w:pPr>
              <w:jc w:val="center"/>
              <w:rPr>
                <w:color w:val="000000" w:themeColor="text1"/>
              </w:rPr>
            </w:pPr>
            <w:r w:rsidRPr="001C0CE8">
              <w:rPr>
                <w:color w:val="000000" w:themeColor="text1"/>
              </w:rPr>
              <w:t>BLRT</w:t>
            </w:r>
          </w:p>
          <w:p w14:paraId="7D9E7409" w14:textId="77777777" w:rsidR="004F3D4C" w:rsidRPr="001C0CE8" w:rsidRDefault="004F3D4C" w:rsidP="00D73C06">
            <w:pPr>
              <w:jc w:val="center"/>
              <w:rPr>
                <w:i/>
                <w:color w:val="000000" w:themeColor="text1"/>
              </w:rPr>
            </w:pPr>
            <w:r w:rsidRPr="001C0CE8">
              <w:rPr>
                <w:i/>
                <w:color w:val="000000" w:themeColor="text1"/>
              </w:rPr>
              <w:t>(p)</w:t>
            </w:r>
          </w:p>
        </w:tc>
        <w:tc>
          <w:tcPr>
            <w:tcW w:w="1245" w:type="dxa"/>
            <w:tcBorders>
              <w:top w:val="single" w:sz="4" w:space="0" w:color="auto"/>
              <w:left w:val="nil"/>
              <w:bottom w:val="single" w:sz="4" w:space="0" w:color="auto"/>
              <w:right w:val="nil"/>
            </w:tcBorders>
            <w:shd w:val="clear" w:color="auto" w:fill="auto"/>
            <w:noWrap/>
            <w:vAlign w:val="bottom"/>
            <w:hideMark/>
          </w:tcPr>
          <w:p w14:paraId="42D67C33" w14:textId="77777777" w:rsidR="004F3D4C" w:rsidRPr="001C0CE8" w:rsidRDefault="004F3D4C" w:rsidP="00D73C06">
            <w:pPr>
              <w:jc w:val="center"/>
              <w:rPr>
                <w:color w:val="000000" w:themeColor="text1"/>
              </w:rPr>
            </w:pPr>
            <w:r w:rsidRPr="001C0CE8">
              <w:rPr>
                <w:color w:val="000000" w:themeColor="text1"/>
              </w:rPr>
              <w:t>Smallest class</w:t>
            </w:r>
          </w:p>
        </w:tc>
      </w:tr>
      <w:tr w:rsidR="004F3D4C" w:rsidRPr="001C0CE8" w14:paraId="38499AC8" w14:textId="77777777" w:rsidTr="00D73C06">
        <w:trPr>
          <w:trHeight w:val="300"/>
          <w:jc w:val="center"/>
        </w:trPr>
        <w:tc>
          <w:tcPr>
            <w:tcW w:w="1172" w:type="dxa"/>
            <w:tcBorders>
              <w:top w:val="single" w:sz="4" w:space="0" w:color="auto"/>
              <w:left w:val="nil"/>
              <w:bottom w:val="nil"/>
              <w:right w:val="nil"/>
            </w:tcBorders>
            <w:shd w:val="clear" w:color="auto" w:fill="auto"/>
            <w:noWrap/>
            <w:vAlign w:val="bottom"/>
            <w:hideMark/>
          </w:tcPr>
          <w:p w14:paraId="527F1D7A" w14:textId="77777777" w:rsidR="004F3D4C" w:rsidRPr="001C0CE8" w:rsidRDefault="004F3D4C" w:rsidP="00D73C06">
            <w:pPr>
              <w:jc w:val="right"/>
              <w:rPr>
                <w:color w:val="000000" w:themeColor="text1"/>
              </w:rPr>
            </w:pPr>
            <w:r w:rsidRPr="001C0CE8">
              <w:rPr>
                <w:color w:val="000000" w:themeColor="text1"/>
              </w:rPr>
              <w:t>2</w:t>
            </w:r>
          </w:p>
        </w:tc>
        <w:tc>
          <w:tcPr>
            <w:tcW w:w="1116" w:type="dxa"/>
            <w:tcBorders>
              <w:top w:val="single" w:sz="4" w:space="0" w:color="auto"/>
              <w:left w:val="nil"/>
              <w:bottom w:val="nil"/>
              <w:right w:val="nil"/>
            </w:tcBorders>
            <w:shd w:val="clear" w:color="auto" w:fill="auto"/>
            <w:noWrap/>
            <w:vAlign w:val="bottom"/>
            <w:hideMark/>
          </w:tcPr>
          <w:p w14:paraId="719AB74C" w14:textId="77777777" w:rsidR="004F3D4C" w:rsidRPr="001C0CE8" w:rsidRDefault="004F3D4C" w:rsidP="00D73C06">
            <w:pPr>
              <w:jc w:val="right"/>
              <w:rPr>
                <w:color w:val="000000" w:themeColor="text1"/>
              </w:rPr>
            </w:pPr>
            <w:r w:rsidRPr="001C0CE8">
              <w:rPr>
                <w:color w:val="000000" w:themeColor="text1"/>
              </w:rPr>
              <w:t>3401.583</w:t>
            </w:r>
          </w:p>
        </w:tc>
        <w:tc>
          <w:tcPr>
            <w:tcW w:w="1116" w:type="dxa"/>
            <w:tcBorders>
              <w:top w:val="single" w:sz="4" w:space="0" w:color="auto"/>
              <w:left w:val="nil"/>
              <w:bottom w:val="nil"/>
              <w:right w:val="nil"/>
            </w:tcBorders>
            <w:shd w:val="clear" w:color="auto" w:fill="auto"/>
            <w:noWrap/>
            <w:vAlign w:val="bottom"/>
            <w:hideMark/>
          </w:tcPr>
          <w:p w14:paraId="5776C09D" w14:textId="77777777" w:rsidR="004F3D4C" w:rsidRPr="001C0CE8" w:rsidRDefault="004F3D4C" w:rsidP="00D73C06">
            <w:pPr>
              <w:jc w:val="right"/>
              <w:rPr>
                <w:color w:val="000000" w:themeColor="text1"/>
              </w:rPr>
            </w:pPr>
            <w:r w:rsidRPr="001C0CE8">
              <w:rPr>
                <w:color w:val="000000" w:themeColor="text1"/>
              </w:rPr>
              <w:t>3436.677</w:t>
            </w:r>
          </w:p>
        </w:tc>
        <w:tc>
          <w:tcPr>
            <w:tcW w:w="1116" w:type="dxa"/>
            <w:tcBorders>
              <w:top w:val="single" w:sz="4" w:space="0" w:color="auto"/>
              <w:left w:val="nil"/>
              <w:bottom w:val="nil"/>
              <w:right w:val="nil"/>
            </w:tcBorders>
            <w:shd w:val="clear" w:color="auto" w:fill="auto"/>
            <w:noWrap/>
            <w:vAlign w:val="bottom"/>
            <w:hideMark/>
          </w:tcPr>
          <w:p w14:paraId="01C8375B" w14:textId="77777777" w:rsidR="004F3D4C" w:rsidRPr="001C0CE8" w:rsidRDefault="004F3D4C" w:rsidP="00D73C06">
            <w:pPr>
              <w:jc w:val="right"/>
              <w:rPr>
                <w:color w:val="000000" w:themeColor="text1"/>
              </w:rPr>
            </w:pPr>
            <w:r w:rsidRPr="001C0CE8">
              <w:rPr>
                <w:color w:val="000000" w:themeColor="text1"/>
              </w:rPr>
              <w:t>3404.977</w:t>
            </w:r>
          </w:p>
        </w:tc>
        <w:tc>
          <w:tcPr>
            <w:tcW w:w="1060" w:type="dxa"/>
            <w:tcBorders>
              <w:top w:val="single" w:sz="4" w:space="0" w:color="auto"/>
              <w:left w:val="nil"/>
              <w:bottom w:val="nil"/>
              <w:right w:val="nil"/>
            </w:tcBorders>
            <w:shd w:val="clear" w:color="auto" w:fill="auto"/>
            <w:noWrap/>
            <w:vAlign w:val="bottom"/>
            <w:hideMark/>
          </w:tcPr>
          <w:p w14:paraId="79005C3F" w14:textId="77777777" w:rsidR="004F3D4C" w:rsidRPr="001C0CE8" w:rsidRDefault="004F3D4C" w:rsidP="00D73C06">
            <w:pPr>
              <w:jc w:val="right"/>
              <w:rPr>
                <w:color w:val="000000" w:themeColor="text1"/>
              </w:rPr>
            </w:pPr>
            <w:r w:rsidRPr="001C0CE8">
              <w:rPr>
                <w:color w:val="000000" w:themeColor="text1"/>
              </w:rPr>
              <w:t>0.805</w:t>
            </w:r>
          </w:p>
        </w:tc>
        <w:tc>
          <w:tcPr>
            <w:tcW w:w="1060" w:type="dxa"/>
            <w:tcBorders>
              <w:top w:val="single" w:sz="4" w:space="0" w:color="auto"/>
              <w:left w:val="nil"/>
              <w:bottom w:val="nil"/>
              <w:right w:val="nil"/>
            </w:tcBorders>
            <w:shd w:val="clear" w:color="auto" w:fill="auto"/>
            <w:noWrap/>
            <w:vAlign w:val="bottom"/>
            <w:hideMark/>
          </w:tcPr>
          <w:p w14:paraId="1DDFD3F4" w14:textId="77777777" w:rsidR="004F3D4C" w:rsidRPr="001C0CE8" w:rsidRDefault="004F3D4C" w:rsidP="00D73C06">
            <w:pPr>
              <w:rPr>
                <w:color w:val="000000" w:themeColor="text1"/>
              </w:rPr>
            </w:pPr>
            <w:r w:rsidRPr="001C0CE8">
              <w:rPr>
                <w:color w:val="000000" w:themeColor="text1"/>
              </w:rPr>
              <w:t>&lt;.001</w:t>
            </w:r>
          </w:p>
        </w:tc>
        <w:tc>
          <w:tcPr>
            <w:tcW w:w="1060" w:type="dxa"/>
            <w:tcBorders>
              <w:top w:val="single" w:sz="4" w:space="0" w:color="auto"/>
              <w:left w:val="nil"/>
              <w:bottom w:val="nil"/>
              <w:right w:val="nil"/>
            </w:tcBorders>
            <w:shd w:val="clear" w:color="auto" w:fill="auto"/>
            <w:noWrap/>
            <w:vAlign w:val="bottom"/>
            <w:hideMark/>
          </w:tcPr>
          <w:p w14:paraId="2ED2F3CF" w14:textId="77777777" w:rsidR="004F3D4C" w:rsidRPr="001C0CE8" w:rsidRDefault="004F3D4C" w:rsidP="00D73C06">
            <w:pPr>
              <w:rPr>
                <w:color w:val="000000" w:themeColor="text1"/>
              </w:rPr>
            </w:pPr>
            <w:r w:rsidRPr="001C0CE8">
              <w:rPr>
                <w:color w:val="000000" w:themeColor="text1"/>
              </w:rPr>
              <w:t>&lt;.001</w:t>
            </w:r>
          </w:p>
        </w:tc>
        <w:tc>
          <w:tcPr>
            <w:tcW w:w="1060" w:type="dxa"/>
            <w:tcBorders>
              <w:top w:val="single" w:sz="4" w:space="0" w:color="auto"/>
              <w:left w:val="nil"/>
              <w:bottom w:val="nil"/>
              <w:right w:val="nil"/>
            </w:tcBorders>
            <w:shd w:val="clear" w:color="auto" w:fill="auto"/>
            <w:noWrap/>
            <w:vAlign w:val="bottom"/>
            <w:hideMark/>
          </w:tcPr>
          <w:p w14:paraId="6DE02091" w14:textId="77777777" w:rsidR="004F3D4C" w:rsidRPr="001C0CE8" w:rsidRDefault="004F3D4C" w:rsidP="00D73C06">
            <w:pPr>
              <w:rPr>
                <w:color w:val="000000" w:themeColor="text1"/>
              </w:rPr>
            </w:pPr>
            <w:r w:rsidRPr="001C0CE8">
              <w:rPr>
                <w:color w:val="000000" w:themeColor="text1"/>
              </w:rPr>
              <w:t>&lt;.001</w:t>
            </w:r>
          </w:p>
        </w:tc>
        <w:tc>
          <w:tcPr>
            <w:tcW w:w="1245" w:type="dxa"/>
            <w:tcBorders>
              <w:top w:val="single" w:sz="4" w:space="0" w:color="auto"/>
              <w:left w:val="nil"/>
              <w:bottom w:val="nil"/>
              <w:right w:val="nil"/>
            </w:tcBorders>
            <w:shd w:val="clear" w:color="auto" w:fill="auto"/>
            <w:noWrap/>
            <w:vAlign w:val="bottom"/>
            <w:hideMark/>
          </w:tcPr>
          <w:p w14:paraId="4A4E48BF" w14:textId="77777777" w:rsidR="004F3D4C" w:rsidRPr="001C0CE8" w:rsidRDefault="004F3D4C" w:rsidP="00D73C06">
            <w:pPr>
              <w:jc w:val="center"/>
              <w:rPr>
                <w:color w:val="000000" w:themeColor="text1"/>
              </w:rPr>
            </w:pPr>
            <w:r w:rsidRPr="001C0CE8">
              <w:rPr>
                <w:color w:val="000000" w:themeColor="text1"/>
              </w:rPr>
              <w:t>31%</w:t>
            </w:r>
          </w:p>
        </w:tc>
      </w:tr>
      <w:tr w:rsidR="004F3D4C" w:rsidRPr="001C0CE8" w14:paraId="3E85663D" w14:textId="77777777" w:rsidTr="00D73C06">
        <w:trPr>
          <w:trHeight w:val="300"/>
          <w:jc w:val="center"/>
        </w:trPr>
        <w:tc>
          <w:tcPr>
            <w:tcW w:w="1172" w:type="dxa"/>
            <w:tcBorders>
              <w:top w:val="nil"/>
              <w:left w:val="nil"/>
              <w:bottom w:val="nil"/>
              <w:right w:val="nil"/>
            </w:tcBorders>
            <w:shd w:val="clear" w:color="auto" w:fill="auto"/>
            <w:noWrap/>
            <w:vAlign w:val="bottom"/>
            <w:hideMark/>
          </w:tcPr>
          <w:p w14:paraId="7AC3CADC" w14:textId="77777777" w:rsidR="004F3D4C" w:rsidRPr="001C0CE8" w:rsidRDefault="004F3D4C" w:rsidP="00D73C06">
            <w:pPr>
              <w:jc w:val="right"/>
              <w:rPr>
                <w:color w:val="000000" w:themeColor="text1"/>
              </w:rPr>
            </w:pPr>
            <w:r w:rsidRPr="001C0CE8">
              <w:rPr>
                <w:color w:val="000000" w:themeColor="text1"/>
              </w:rPr>
              <w:t>3</w:t>
            </w:r>
          </w:p>
        </w:tc>
        <w:tc>
          <w:tcPr>
            <w:tcW w:w="1116" w:type="dxa"/>
            <w:tcBorders>
              <w:top w:val="nil"/>
              <w:left w:val="nil"/>
              <w:bottom w:val="nil"/>
              <w:right w:val="nil"/>
            </w:tcBorders>
            <w:shd w:val="clear" w:color="auto" w:fill="auto"/>
            <w:noWrap/>
            <w:vAlign w:val="bottom"/>
            <w:hideMark/>
          </w:tcPr>
          <w:p w14:paraId="444A62D1" w14:textId="77777777" w:rsidR="004F3D4C" w:rsidRPr="001C0CE8" w:rsidRDefault="004F3D4C" w:rsidP="00D73C06">
            <w:pPr>
              <w:jc w:val="right"/>
              <w:rPr>
                <w:color w:val="000000" w:themeColor="text1"/>
              </w:rPr>
            </w:pPr>
            <w:r w:rsidRPr="001C0CE8">
              <w:rPr>
                <w:color w:val="000000" w:themeColor="text1"/>
              </w:rPr>
              <w:t>3376.494</w:t>
            </w:r>
          </w:p>
        </w:tc>
        <w:tc>
          <w:tcPr>
            <w:tcW w:w="1116" w:type="dxa"/>
            <w:tcBorders>
              <w:top w:val="nil"/>
              <w:left w:val="nil"/>
              <w:bottom w:val="nil"/>
              <w:right w:val="nil"/>
            </w:tcBorders>
            <w:shd w:val="clear" w:color="auto" w:fill="auto"/>
            <w:noWrap/>
            <w:vAlign w:val="bottom"/>
            <w:hideMark/>
          </w:tcPr>
          <w:p w14:paraId="74BDC05E" w14:textId="77777777" w:rsidR="004F3D4C" w:rsidRPr="001C0CE8" w:rsidRDefault="004F3D4C" w:rsidP="00D73C06">
            <w:pPr>
              <w:jc w:val="right"/>
              <w:rPr>
                <w:color w:val="000000" w:themeColor="text1"/>
              </w:rPr>
            </w:pPr>
            <w:r w:rsidRPr="001C0CE8">
              <w:rPr>
                <w:color w:val="000000" w:themeColor="text1"/>
              </w:rPr>
              <w:t>3422.116</w:t>
            </w:r>
          </w:p>
        </w:tc>
        <w:tc>
          <w:tcPr>
            <w:tcW w:w="1116" w:type="dxa"/>
            <w:tcBorders>
              <w:top w:val="nil"/>
              <w:left w:val="nil"/>
              <w:bottom w:val="nil"/>
              <w:right w:val="nil"/>
            </w:tcBorders>
            <w:shd w:val="clear" w:color="auto" w:fill="auto"/>
            <w:noWrap/>
            <w:vAlign w:val="bottom"/>
            <w:hideMark/>
          </w:tcPr>
          <w:p w14:paraId="2E89CB30" w14:textId="77777777" w:rsidR="004F3D4C" w:rsidRPr="001C0CE8" w:rsidRDefault="004F3D4C" w:rsidP="00D73C06">
            <w:pPr>
              <w:jc w:val="right"/>
              <w:rPr>
                <w:color w:val="000000" w:themeColor="text1"/>
              </w:rPr>
            </w:pPr>
            <w:r w:rsidRPr="001C0CE8">
              <w:rPr>
                <w:color w:val="000000" w:themeColor="text1"/>
              </w:rPr>
              <w:t>3380.906</w:t>
            </w:r>
          </w:p>
        </w:tc>
        <w:tc>
          <w:tcPr>
            <w:tcW w:w="1060" w:type="dxa"/>
            <w:tcBorders>
              <w:top w:val="nil"/>
              <w:left w:val="nil"/>
              <w:bottom w:val="nil"/>
              <w:right w:val="nil"/>
            </w:tcBorders>
            <w:shd w:val="clear" w:color="auto" w:fill="auto"/>
            <w:noWrap/>
            <w:vAlign w:val="bottom"/>
            <w:hideMark/>
          </w:tcPr>
          <w:p w14:paraId="7744BFC9" w14:textId="77777777" w:rsidR="004F3D4C" w:rsidRPr="001C0CE8" w:rsidRDefault="004F3D4C" w:rsidP="00D73C06">
            <w:pPr>
              <w:jc w:val="right"/>
              <w:rPr>
                <w:color w:val="000000" w:themeColor="text1"/>
              </w:rPr>
            </w:pPr>
            <w:r w:rsidRPr="001C0CE8">
              <w:rPr>
                <w:color w:val="000000" w:themeColor="text1"/>
              </w:rPr>
              <w:t>0.732</w:t>
            </w:r>
          </w:p>
        </w:tc>
        <w:tc>
          <w:tcPr>
            <w:tcW w:w="1060" w:type="dxa"/>
            <w:tcBorders>
              <w:top w:val="nil"/>
              <w:left w:val="nil"/>
              <w:bottom w:val="nil"/>
              <w:right w:val="nil"/>
            </w:tcBorders>
            <w:shd w:val="clear" w:color="auto" w:fill="auto"/>
            <w:noWrap/>
            <w:vAlign w:val="bottom"/>
            <w:hideMark/>
          </w:tcPr>
          <w:p w14:paraId="237E6993" w14:textId="77777777" w:rsidR="004F3D4C" w:rsidRPr="001C0CE8" w:rsidRDefault="004F3D4C" w:rsidP="00D73C06">
            <w:pPr>
              <w:jc w:val="right"/>
              <w:rPr>
                <w:color w:val="000000" w:themeColor="text1"/>
              </w:rPr>
            </w:pPr>
            <w:r w:rsidRPr="001C0CE8">
              <w:rPr>
                <w:color w:val="000000" w:themeColor="text1"/>
              </w:rPr>
              <w:t>0.3777</w:t>
            </w:r>
          </w:p>
        </w:tc>
        <w:tc>
          <w:tcPr>
            <w:tcW w:w="1060" w:type="dxa"/>
            <w:tcBorders>
              <w:top w:val="nil"/>
              <w:left w:val="nil"/>
              <w:bottom w:val="nil"/>
              <w:right w:val="nil"/>
            </w:tcBorders>
            <w:shd w:val="clear" w:color="auto" w:fill="auto"/>
            <w:noWrap/>
            <w:vAlign w:val="bottom"/>
            <w:hideMark/>
          </w:tcPr>
          <w:p w14:paraId="43A4E114" w14:textId="77777777" w:rsidR="004F3D4C" w:rsidRPr="001C0CE8" w:rsidRDefault="004F3D4C" w:rsidP="00D73C06">
            <w:pPr>
              <w:jc w:val="right"/>
              <w:rPr>
                <w:color w:val="000000" w:themeColor="text1"/>
              </w:rPr>
            </w:pPr>
            <w:r w:rsidRPr="001C0CE8">
              <w:rPr>
                <w:color w:val="000000" w:themeColor="text1"/>
              </w:rPr>
              <w:t>0.3923</w:t>
            </w:r>
          </w:p>
        </w:tc>
        <w:tc>
          <w:tcPr>
            <w:tcW w:w="1060" w:type="dxa"/>
            <w:tcBorders>
              <w:top w:val="nil"/>
              <w:left w:val="nil"/>
              <w:bottom w:val="nil"/>
              <w:right w:val="nil"/>
            </w:tcBorders>
            <w:shd w:val="clear" w:color="auto" w:fill="auto"/>
            <w:noWrap/>
            <w:vAlign w:val="bottom"/>
            <w:hideMark/>
          </w:tcPr>
          <w:p w14:paraId="275B8A58" w14:textId="77777777" w:rsidR="004F3D4C" w:rsidRPr="001C0CE8" w:rsidRDefault="004F3D4C" w:rsidP="00D73C06">
            <w:pPr>
              <w:rPr>
                <w:color w:val="000000" w:themeColor="text1"/>
              </w:rPr>
            </w:pPr>
            <w:r w:rsidRPr="001C0CE8">
              <w:rPr>
                <w:color w:val="000000" w:themeColor="text1"/>
              </w:rPr>
              <w:t>&lt;.001</w:t>
            </w:r>
          </w:p>
        </w:tc>
        <w:tc>
          <w:tcPr>
            <w:tcW w:w="1245" w:type="dxa"/>
            <w:tcBorders>
              <w:top w:val="nil"/>
              <w:left w:val="nil"/>
              <w:bottom w:val="nil"/>
              <w:right w:val="nil"/>
            </w:tcBorders>
            <w:shd w:val="clear" w:color="auto" w:fill="auto"/>
            <w:noWrap/>
            <w:vAlign w:val="bottom"/>
            <w:hideMark/>
          </w:tcPr>
          <w:p w14:paraId="7DD70FC8" w14:textId="77777777" w:rsidR="004F3D4C" w:rsidRPr="001C0CE8" w:rsidRDefault="004F3D4C" w:rsidP="00D73C06">
            <w:pPr>
              <w:jc w:val="center"/>
              <w:rPr>
                <w:color w:val="000000" w:themeColor="text1"/>
              </w:rPr>
            </w:pPr>
            <w:r w:rsidRPr="001C0CE8">
              <w:rPr>
                <w:color w:val="000000" w:themeColor="text1"/>
              </w:rPr>
              <w:t>11%</w:t>
            </w:r>
          </w:p>
        </w:tc>
      </w:tr>
      <w:tr w:rsidR="004F3D4C" w:rsidRPr="001C0CE8" w14:paraId="5C80F3C2" w14:textId="77777777" w:rsidTr="00D73C06">
        <w:trPr>
          <w:trHeight w:val="300"/>
          <w:jc w:val="center"/>
        </w:trPr>
        <w:tc>
          <w:tcPr>
            <w:tcW w:w="1172" w:type="dxa"/>
            <w:tcBorders>
              <w:top w:val="nil"/>
              <w:left w:val="nil"/>
              <w:bottom w:val="nil"/>
              <w:right w:val="nil"/>
            </w:tcBorders>
            <w:shd w:val="clear" w:color="auto" w:fill="auto"/>
            <w:noWrap/>
            <w:vAlign w:val="bottom"/>
            <w:hideMark/>
          </w:tcPr>
          <w:p w14:paraId="1EB0124C" w14:textId="77777777" w:rsidR="004F3D4C" w:rsidRPr="001C0CE8" w:rsidRDefault="004F3D4C" w:rsidP="00D73C06">
            <w:pPr>
              <w:jc w:val="right"/>
              <w:rPr>
                <w:b/>
                <w:bCs/>
                <w:color w:val="000000" w:themeColor="text1"/>
              </w:rPr>
            </w:pPr>
            <w:r w:rsidRPr="001C0CE8">
              <w:rPr>
                <w:b/>
                <w:bCs/>
                <w:color w:val="000000" w:themeColor="text1"/>
              </w:rPr>
              <w:t>4</w:t>
            </w:r>
          </w:p>
        </w:tc>
        <w:tc>
          <w:tcPr>
            <w:tcW w:w="1116" w:type="dxa"/>
            <w:tcBorders>
              <w:top w:val="nil"/>
              <w:left w:val="nil"/>
              <w:bottom w:val="nil"/>
              <w:right w:val="nil"/>
            </w:tcBorders>
            <w:shd w:val="clear" w:color="auto" w:fill="auto"/>
            <w:noWrap/>
            <w:vAlign w:val="bottom"/>
            <w:hideMark/>
          </w:tcPr>
          <w:p w14:paraId="63BAA2CE" w14:textId="77777777" w:rsidR="004F3D4C" w:rsidRPr="001C0CE8" w:rsidRDefault="004F3D4C" w:rsidP="00D73C06">
            <w:pPr>
              <w:jc w:val="right"/>
              <w:rPr>
                <w:b/>
                <w:color w:val="000000" w:themeColor="text1"/>
              </w:rPr>
            </w:pPr>
            <w:r w:rsidRPr="001C0CE8">
              <w:rPr>
                <w:b/>
                <w:color w:val="000000" w:themeColor="text1"/>
              </w:rPr>
              <w:t>3351.609</w:t>
            </w:r>
          </w:p>
        </w:tc>
        <w:tc>
          <w:tcPr>
            <w:tcW w:w="1116" w:type="dxa"/>
            <w:tcBorders>
              <w:top w:val="nil"/>
              <w:left w:val="nil"/>
              <w:bottom w:val="nil"/>
              <w:right w:val="nil"/>
            </w:tcBorders>
            <w:shd w:val="clear" w:color="auto" w:fill="auto"/>
            <w:noWrap/>
            <w:vAlign w:val="bottom"/>
            <w:hideMark/>
          </w:tcPr>
          <w:p w14:paraId="0A04B7B1" w14:textId="77777777" w:rsidR="004F3D4C" w:rsidRPr="001C0CE8" w:rsidRDefault="004F3D4C" w:rsidP="00D73C06">
            <w:pPr>
              <w:jc w:val="right"/>
              <w:rPr>
                <w:b/>
                <w:color w:val="000000" w:themeColor="text1"/>
              </w:rPr>
            </w:pPr>
            <w:r w:rsidRPr="001C0CE8">
              <w:rPr>
                <w:b/>
                <w:color w:val="000000" w:themeColor="text1"/>
              </w:rPr>
              <w:t>3407.76</w:t>
            </w:r>
          </w:p>
        </w:tc>
        <w:tc>
          <w:tcPr>
            <w:tcW w:w="1116" w:type="dxa"/>
            <w:tcBorders>
              <w:top w:val="nil"/>
              <w:left w:val="nil"/>
              <w:bottom w:val="nil"/>
              <w:right w:val="nil"/>
            </w:tcBorders>
            <w:shd w:val="clear" w:color="auto" w:fill="auto"/>
            <w:noWrap/>
            <w:vAlign w:val="bottom"/>
            <w:hideMark/>
          </w:tcPr>
          <w:p w14:paraId="7207C8A1" w14:textId="77777777" w:rsidR="004F3D4C" w:rsidRPr="001C0CE8" w:rsidRDefault="004F3D4C" w:rsidP="00D73C06">
            <w:pPr>
              <w:jc w:val="right"/>
              <w:rPr>
                <w:b/>
                <w:color w:val="000000" w:themeColor="text1"/>
              </w:rPr>
            </w:pPr>
            <w:r w:rsidRPr="001C0CE8">
              <w:rPr>
                <w:b/>
                <w:color w:val="000000" w:themeColor="text1"/>
              </w:rPr>
              <w:t>3357.04</w:t>
            </w:r>
          </w:p>
        </w:tc>
        <w:tc>
          <w:tcPr>
            <w:tcW w:w="1060" w:type="dxa"/>
            <w:tcBorders>
              <w:top w:val="nil"/>
              <w:left w:val="nil"/>
              <w:bottom w:val="nil"/>
              <w:right w:val="nil"/>
            </w:tcBorders>
            <w:shd w:val="clear" w:color="auto" w:fill="auto"/>
            <w:noWrap/>
            <w:vAlign w:val="bottom"/>
            <w:hideMark/>
          </w:tcPr>
          <w:p w14:paraId="2FA8C5B2" w14:textId="77777777" w:rsidR="004F3D4C" w:rsidRPr="001C0CE8" w:rsidRDefault="004F3D4C" w:rsidP="00D73C06">
            <w:pPr>
              <w:jc w:val="right"/>
              <w:rPr>
                <w:b/>
                <w:color w:val="000000" w:themeColor="text1"/>
              </w:rPr>
            </w:pPr>
            <w:r w:rsidRPr="001C0CE8">
              <w:rPr>
                <w:b/>
                <w:color w:val="000000" w:themeColor="text1"/>
              </w:rPr>
              <w:t>0.745</w:t>
            </w:r>
          </w:p>
        </w:tc>
        <w:tc>
          <w:tcPr>
            <w:tcW w:w="1060" w:type="dxa"/>
            <w:tcBorders>
              <w:top w:val="nil"/>
              <w:left w:val="nil"/>
              <w:bottom w:val="nil"/>
              <w:right w:val="nil"/>
            </w:tcBorders>
            <w:shd w:val="clear" w:color="auto" w:fill="auto"/>
            <w:noWrap/>
            <w:vAlign w:val="bottom"/>
            <w:hideMark/>
          </w:tcPr>
          <w:p w14:paraId="78B50538" w14:textId="77777777" w:rsidR="004F3D4C" w:rsidRPr="001C0CE8" w:rsidRDefault="004F3D4C" w:rsidP="00D73C06">
            <w:pPr>
              <w:jc w:val="right"/>
              <w:rPr>
                <w:b/>
                <w:color w:val="000000" w:themeColor="text1"/>
              </w:rPr>
            </w:pPr>
            <w:r w:rsidRPr="001C0CE8">
              <w:rPr>
                <w:b/>
                <w:color w:val="000000" w:themeColor="text1"/>
              </w:rPr>
              <w:t>0.681</w:t>
            </w:r>
          </w:p>
        </w:tc>
        <w:tc>
          <w:tcPr>
            <w:tcW w:w="1060" w:type="dxa"/>
            <w:tcBorders>
              <w:top w:val="nil"/>
              <w:left w:val="nil"/>
              <w:bottom w:val="nil"/>
              <w:right w:val="nil"/>
            </w:tcBorders>
            <w:shd w:val="clear" w:color="auto" w:fill="auto"/>
            <w:noWrap/>
            <w:vAlign w:val="bottom"/>
            <w:hideMark/>
          </w:tcPr>
          <w:p w14:paraId="53962117" w14:textId="77777777" w:rsidR="004F3D4C" w:rsidRPr="001C0CE8" w:rsidRDefault="004F3D4C" w:rsidP="00D73C06">
            <w:pPr>
              <w:jc w:val="right"/>
              <w:rPr>
                <w:b/>
                <w:color w:val="000000" w:themeColor="text1"/>
              </w:rPr>
            </w:pPr>
            <w:r w:rsidRPr="001C0CE8">
              <w:rPr>
                <w:b/>
                <w:color w:val="000000" w:themeColor="text1"/>
              </w:rPr>
              <w:t>0.6856</w:t>
            </w:r>
          </w:p>
        </w:tc>
        <w:tc>
          <w:tcPr>
            <w:tcW w:w="1060" w:type="dxa"/>
            <w:tcBorders>
              <w:top w:val="nil"/>
              <w:left w:val="nil"/>
              <w:bottom w:val="nil"/>
              <w:right w:val="nil"/>
            </w:tcBorders>
            <w:shd w:val="clear" w:color="auto" w:fill="auto"/>
            <w:noWrap/>
            <w:vAlign w:val="bottom"/>
            <w:hideMark/>
          </w:tcPr>
          <w:p w14:paraId="418050FD" w14:textId="77777777" w:rsidR="004F3D4C" w:rsidRPr="001C0CE8" w:rsidRDefault="004F3D4C" w:rsidP="00D73C06">
            <w:pPr>
              <w:rPr>
                <w:b/>
                <w:color w:val="000000" w:themeColor="text1"/>
              </w:rPr>
            </w:pPr>
            <w:r w:rsidRPr="001C0CE8">
              <w:rPr>
                <w:b/>
                <w:color w:val="000000" w:themeColor="text1"/>
              </w:rPr>
              <w:t>&lt;.001</w:t>
            </w:r>
          </w:p>
        </w:tc>
        <w:tc>
          <w:tcPr>
            <w:tcW w:w="1245" w:type="dxa"/>
            <w:tcBorders>
              <w:top w:val="nil"/>
              <w:left w:val="nil"/>
              <w:bottom w:val="nil"/>
              <w:right w:val="nil"/>
            </w:tcBorders>
            <w:shd w:val="clear" w:color="auto" w:fill="auto"/>
            <w:noWrap/>
            <w:vAlign w:val="bottom"/>
            <w:hideMark/>
          </w:tcPr>
          <w:p w14:paraId="72AFC762" w14:textId="77777777" w:rsidR="004F3D4C" w:rsidRPr="001C0CE8" w:rsidRDefault="004F3D4C" w:rsidP="00D73C06">
            <w:pPr>
              <w:jc w:val="center"/>
              <w:rPr>
                <w:b/>
                <w:color w:val="000000" w:themeColor="text1"/>
              </w:rPr>
            </w:pPr>
            <w:r w:rsidRPr="001C0CE8">
              <w:rPr>
                <w:b/>
                <w:color w:val="000000" w:themeColor="text1"/>
              </w:rPr>
              <w:t>10.50%</w:t>
            </w:r>
          </w:p>
        </w:tc>
      </w:tr>
      <w:tr w:rsidR="004F3D4C" w:rsidRPr="001C0CE8" w14:paraId="62041C78" w14:textId="77777777" w:rsidTr="00D73C06">
        <w:trPr>
          <w:trHeight w:val="300"/>
          <w:jc w:val="center"/>
        </w:trPr>
        <w:tc>
          <w:tcPr>
            <w:tcW w:w="1172" w:type="dxa"/>
            <w:tcBorders>
              <w:top w:val="nil"/>
              <w:left w:val="nil"/>
              <w:right w:val="nil"/>
            </w:tcBorders>
            <w:shd w:val="clear" w:color="auto" w:fill="auto"/>
            <w:noWrap/>
            <w:vAlign w:val="bottom"/>
            <w:hideMark/>
          </w:tcPr>
          <w:p w14:paraId="5A144EBD" w14:textId="77777777" w:rsidR="004F3D4C" w:rsidRPr="001C0CE8" w:rsidRDefault="004F3D4C" w:rsidP="00D73C06">
            <w:pPr>
              <w:jc w:val="right"/>
              <w:rPr>
                <w:color w:val="000000" w:themeColor="text1"/>
              </w:rPr>
            </w:pPr>
            <w:r w:rsidRPr="001C0CE8">
              <w:rPr>
                <w:color w:val="000000" w:themeColor="text1"/>
              </w:rPr>
              <w:t>5</w:t>
            </w:r>
          </w:p>
        </w:tc>
        <w:tc>
          <w:tcPr>
            <w:tcW w:w="1116" w:type="dxa"/>
            <w:tcBorders>
              <w:top w:val="nil"/>
              <w:left w:val="nil"/>
              <w:right w:val="nil"/>
            </w:tcBorders>
            <w:shd w:val="clear" w:color="auto" w:fill="auto"/>
            <w:noWrap/>
            <w:vAlign w:val="bottom"/>
            <w:hideMark/>
          </w:tcPr>
          <w:p w14:paraId="581D8CC3" w14:textId="77777777" w:rsidR="004F3D4C" w:rsidRPr="001C0CE8" w:rsidRDefault="004F3D4C" w:rsidP="00D73C06">
            <w:pPr>
              <w:jc w:val="right"/>
              <w:rPr>
                <w:color w:val="000000" w:themeColor="text1"/>
              </w:rPr>
            </w:pPr>
            <w:r w:rsidRPr="001C0CE8">
              <w:rPr>
                <w:color w:val="000000" w:themeColor="text1"/>
              </w:rPr>
              <w:t>3312.916</w:t>
            </w:r>
          </w:p>
        </w:tc>
        <w:tc>
          <w:tcPr>
            <w:tcW w:w="1116" w:type="dxa"/>
            <w:tcBorders>
              <w:top w:val="nil"/>
              <w:left w:val="nil"/>
              <w:right w:val="nil"/>
            </w:tcBorders>
            <w:shd w:val="clear" w:color="auto" w:fill="auto"/>
            <w:noWrap/>
            <w:vAlign w:val="bottom"/>
            <w:hideMark/>
          </w:tcPr>
          <w:p w14:paraId="00AE0875" w14:textId="77777777" w:rsidR="004F3D4C" w:rsidRPr="001C0CE8" w:rsidRDefault="004F3D4C" w:rsidP="00D73C06">
            <w:pPr>
              <w:jc w:val="right"/>
              <w:rPr>
                <w:color w:val="000000" w:themeColor="text1"/>
              </w:rPr>
            </w:pPr>
            <w:r w:rsidRPr="001C0CE8">
              <w:rPr>
                <w:color w:val="000000" w:themeColor="text1"/>
              </w:rPr>
              <w:t>3379.594</w:t>
            </w:r>
          </w:p>
        </w:tc>
        <w:tc>
          <w:tcPr>
            <w:tcW w:w="1116" w:type="dxa"/>
            <w:tcBorders>
              <w:top w:val="nil"/>
              <w:left w:val="nil"/>
              <w:right w:val="nil"/>
            </w:tcBorders>
            <w:shd w:val="clear" w:color="auto" w:fill="auto"/>
            <w:noWrap/>
            <w:vAlign w:val="bottom"/>
            <w:hideMark/>
          </w:tcPr>
          <w:p w14:paraId="2F872E65" w14:textId="77777777" w:rsidR="004F3D4C" w:rsidRPr="001C0CE8" w:rsidRDefault="004F3D4C" w:rsidP="00D73C06">
            <w:pPr>
              <w:jc w:val="right"/>
              <w:rPr>
                <w:color w:val="000000" w:themeColor="text1"/>
              </w:rPr>
            </w:pPr>
            <w:r w:rsidRPr="001C0CE8">
              <w:rPr>
                <w:color w:val="000000" w:themeColor="text1"/>
              </w:rPr>
              <w:t>3319.364</w:t>
            </w:r>
          </w:p>
        </w:tc>
        <w:tc>
          <w:tcPr>
            <w:tcW w:w="1060" w:type="dxa"/>
            <w:tcBorders>
              <w:top w:val="nil"/>
              <w:left w:val="nil"/>
              <w:right w:val="nil"/>
            </w:tcBorders>
            <w:shd w:val="clear" w:color="auto" w:fill="auto"/>
            <w:noWrap/>
            <w:vAlign w:val="bottom"/>
            <w:hideMark/>
          </w:tcPr>
          <w:p w14:paraId="700BB3E1" w14:textId="77777777" w:rsidR="004F3D4C" w:rsidRPr="001C0CE8" w:rsidRDefault="004F3D4C" w:rsidP="00D73C06">
            <w:pPr>
              <w:jc w:val="right"/>
              <w:rPr>
                <w:color w:val="000000" w:themeColor="text1"/>
              </w:rPr>
            </w:pPr>
            <w:r w:rsidRPr="001C0CE8">
              <w:rPr>
                <w:color w:val="000000" w:themeColor="text1"/>
              </w:rPr>
              <w:t>0.809</w:t>
            </w:r>
          </w:p>
        </w:tc>
        <w:tc>
          <w:tcPr>
            <w:tcW w:w="1060" w:type="dxa"/>
            <w:tcBorders>
              <w:top w:val="nil"/>
              <w:left w:val="nil"/>
              <w:right w:val="nil"/>
            </w:tcBorders>
            <w:shd w:val="clear" w:color="auto" w:fill="auto"/>
            <w:noWrap/>
            <w:vAlign w:val="bottom"/>
            <w:hideMark/>
          </w:tcPr>
          <w:p w14:paraId="0C00A641" w14:textId="77777777" w:rsidR="004F3D4C" w:rsidRPr="001C0CE8" w:rsidRDefault="004F3D4C" w:rsidP="00D73C06">
            <w:pPr>
              <w:jc w:val="right"/>
              <w:rPr>
                <w:color w:val="000000" w:themeColor="text1"/>
              </w:rPr>
            </w:pPr>
            <w:r w:rsidRPr="001C0CE8">
              <w:rPr>
                <w:color w:val="000000" w:themeColor="text1"/>
              </w:rPr>
              <w:t>0.0014</w:t>
            </w:r>
          </w:p>
        </w:tc>
        <w:tc>
          <w:tcPr>
            <w:tcW w:w="1060" w:type="dxa"/>
            <w:tcBorders>
              <w:top w:val="nil"/>
              <w:left w:val="nil"/>
              <w:right w:val="nil"/>
            </w:tcBorders>
            <w:shd w:val="clear" w:color="auto" w:fill="auto"/>
            <w:noWrap/>
            <w:vAlign w:val="bottom"/>
            <w:hideMark/>
          </w:tcPr>
          <w:p w14:paraId="0FF6CFE0" w14:textId="77777777" w:rsidR="004F3D4C" w:rsidRPr="001C0CE8" w:rsidRDefault="004F3D4C" w:rsidP="00D73C06">
            <w:pPr>
              <w:jc w:val="right"/>
              <w:rPr>
                <w:color w:val="000000" w:themeColor="text1"/>
              </w:rPr>
            </w:pPr>
            <w:r w:rsidRPr="001C0CE8">
              <w:rPr>
                <w:color w:val="000000" w:themeColor="text1"/>
              </w:rPr>
              <w:t>0.0019</w:t>
            </w:r>
          </w:p>
        </w:tc>
        <w:tc>
          <w:tcPr>
            <w:tcW w:w="1060" w:type="dxa"/>
            <w:tcBorders>
              <w:top w:val="nil"/>
              <w:left w:val="nil"/>
              <w:right w:val="nil"/>
            </w:tcBorders>
            <w:shd w:val="clear" w:color="auto" w:fill="auto"/>
            <w:noWrap/>
            <w:vAlign w:val="bottom"/>
            <w:hideMark/>
          </w:tcPr>
          <w:p w14:paraId="0A918A10" w14:textId="77777777" w:rsidR="004F3D4C" w:rsidRPr="001C0CE8" w:rsidRDefault="004F3D4C" w:rsidP="00D73C06">
            <w:pPr>
              <w:rPr>
                <w:color w:val="000000" w:themeColor="text1"/>
              </w:rPr>
            </w:pPr>
            <w:r w:rsidRPr="001C0CE8">
              <w:rPr>
                <w:color w:val="000000" w:themeColor="text1"/>
              </w:rPr>
              <w:t>&lt;.001</w:t>
            </w:r>
          </w:p>
        </w:tc>
        <w:tc>
          <w:tcPr>
            <w:tcW w:w="1245" w:type="dxa"/>
            <w:tcBorders>
              <w:top w:val="nil"/>
              <w:left w:val="nil"/>
              <w:right w:val="nil"/>
            </w:tcBorders>
            <w:shd w:val="clear" w:color="auto" w:fill="auto"/>
            <w:noWrap/>
            <w:vAlign w:val="bottom"/>
            <w:hideMark/>
          </w:tcPr>
          <w:p w14:paraId="0C6A3872" w14:textId="77777777" w:rsidR="004F3D4C" w:rsidRPr="001C0CE8" w:rsidRDefault="004F3D4C" w:rsidP="00D73C06">
            <w:pPr>
              <w:jc w:val="center"/>
              <w:rPr>
                <w:color w:val="000000" w:themeColor="text1"/>
              </w:rPr>
            </w:pPr>
            <w:r w:rsidRPr="001C0CE8">
              <w:rPr>
                <w:color w:val="000000" w:themeColor="text1"/>
              </w:rPr>
              <w:t>&lt;1%</w:t>
            </w:r>
          </w:p>
        </w:tc>
      </w:tr>
      <w:tr w:rsidR="004F3D4C" w:rsidRPr="001C0CE8" w14:paraId="52552151" w14:textId="77777777" w:rsidTr="00D73C06">
        <w:trPr>
          <w:trHeight w:val="300"/>
          <w:jc w:val="center"/>
        </w:trPr>
        <w:tc>
          <w:tcPr>
            <w:tcW w:w="1172" w:type="dxa"/>
            <w:tcBorders>
              <w:top w:val="nil"/>
              <w:left w:val="nil"/>
              <w:bottom w:val="single" w:sz="4" w:space="0" w:color="auto"/>
              <w:right w:val="nil"/>
            </w:tcBorders>
            <w:shd w:val="clear" w:color="auto" w:fill="auto"/>
            <w:noWrap/>
            <w:vAlign w:val="bottom"/>
            <w:hideMark/>
          </w:tcPr>
          <w:p w14:paraId="52C50421" w14:textId="77777777" w:rsidR="004F3D4C" w:rsidRPr="001C0CE8" w:rsidRDefault="004F3D4C" w:rsidP="00D73C06">
            <w:pPr>
              <w:jc w:val="right"/>
              <w:rPr>
                <w:color w:val="000000" w:themeColor="text1"/>
              </w:rPr>
            </w:pPr>
            <w:r w:rsidRPr="001C0CE8">
              <w:rPr>
                <w:color w:val="000000" w:themeColor="text1"/>
              </w:rPr>
              <w:t>6</w:t>
            </w:r>
          </w:p>
        </w:tc>
        <w:tc>
          <w:tcPr>
            <w:tcW w:w="1116" w:type="dxa"/>
            <w:tcBorders>
              <w:top w:val="nil"/>
              <w:left w:val="nil"/>
              <w:bottom w:val="single" w:sz="4" w:space="0" w:color="auto"/>
              <w:right w:val="nil"/>
            </w:tcBorders>
            <w:shd w:val="clear" w:color="auto" w:fill="auto"/>
            <w:noWrap/>
            <w:vAlign w:val="bottom"/>
            <w:hideMark/>
          </w:tcPr>
          <w:p w14:paraId="6B3C4C57" w14:textId="77777777" w:rsidR="004F3D4C" w:rsidRPr="001C0CE8" w:rsidRDefault="004F3D4C" w:rsidP="00D73C06">
            <w:pPr>
              <w:jc w:val="right"/>
              <w:rPr>
                <w:color w:val="000000" w:themeColor="text1"/>
              </w:rPr>
            </w:pPr>
            <w:r w:rsidRPr="001C0CE8">
              <w:rPr>
                <w:color w:val="000000" w:themeColor="text1"/>
              </w:rPr>
              <w:t>3297.261</w:t>
            </w:r>
          </w:p>
        </w:tc>
        <w:tc>
          <w:tcPr>
            <w:tcW w:w="1116" w:type="dxa"/>
            <w:tcBorders>
              <w:top w:val="nil"/>
              <w:left w:val="nil"/>
              <w:bottom w:val="single" w:sz="4" w:space="0" w:color="auto"/>
              <w:right w:val="nil"/>
            </w:tcBorders>
            <w:shd w:val="clear" w:color="auto" w:fill="auto"/>
            <w:noWrap/>
            <w:vAlign w:val="bottom"/>
            <w:hideMark/>
          </w:tcPr>
          <w:p w14:paraId="03498418" w14:textId="77777777" w:rsidR="004F3D4C" w:rsidRPr="001C0CE8" w:rsidRDefault="004F3D4C" w:rsidP="00D73C06">
            <w:pPr>
              <w:jc w:val="right"/>
              <w:rPr>
                <w:color w:val="000000" w:themeColor="text1"/>
              </w:rPr>
            </w:pPr>
            <w:r w:rsidRPr="001C0CE8">
              <w:rPr>
                <w:color w:val="000000" w:themeColor="text1"/>
              </w:rPr>
              <w:t>3374.467</w:t>
            </w:r>
          </w:p>
        </w:tc>
        <w:tc>
          <w:tcPr>
            <w:tcW w:w="1116" w:type="dxa"/>
            <w:tcBorders>
              <w:top w:val="nil"/>
              <w:left w:val="nil"/>
              <w:bottom w:val="single" w:sz="4" w:space="0" w:color="auto"/>
              <w:right w:val="nil"/>
            </w:tcBorders>
            <w:shd w:val="clear" w:color="auto" w:fill="auto"/>
            <w:noWrap/>
            <w:vAlign w:val="bottom"/>
            <w:hideMark/>
          </w:tcPr>
          <w:p w14:paraId="365D4225" w14:textId="77777777" w:rsidR="004F3D4C" w:rsidRPr="001C0CE8" w:rsidRDefault="004F3D4C" w:rsidP="00D73C06">
            <w:pPr>
              <w:jc w:val="right"/>
              <w:rPr>
                <w:color w:val="000000" w:themeColor="text1"/>
              </w:rPr>
            </w:pPr>
            <w:r w:rsidRPr="001C0CE8">
              <w:rPr>
                <w:color w:val="000000" w:themeColor="text1"/>
              </w:rPr>
              <w:t>3304.727</w:t>
            </w:r>
          </w:p>
        </w:tc>
        <w:tc>
          <w:tcPr>
            <w:tcW w:w="1060" w:type="dxa"/>
            <w:tcBorders>
              <w:top w:val="nil"/>
              <w:left w:val="nil"/>
              <w:bottom w:val="single" w:sz="4" w:space="0" w:color="auto"/>
              <w:right w:val="nil"/>
            </w:tcBorders>
            <w:shd w:val="clear" w:color="auto" w:fill="auto"/>
            <w:noWrap/>
            <w:vAlign w:val="bottom"/>
            <w:hideMark/>
          </w:tcPr>
          <w:p w14:paraId="32BF4C7A" w14:textId="77777777" w:rsidR="004F3D4C" w:rsidRPr="001C0CE8" w:rsidRDefault="004F3D4C" w:rsidP="00D73C06">
            <w:pPr>
              <w:jc w:val="right"/>
              <w:rPr>
                <w:color w:val="000000" w:themeColor="text1"/>
              </w:rPr>
            </w:pPr>
            <w:r w:rsidRPr="001C0CE8">
              <w:rPr>
                <w:color w:val="000000" w:themeColor="text1"/>
              </w:rPr>
              <w:t>0.813</w:t>
            </w:r>
          </w:p>
        </w:tc>
        <w:tc>
          <w:tcPr>
            <w:tcW w:w="1060" w:type="dxa"/>
            <w:tcBorders>
              <w:top w:val="nil"/>
              <w:left w:val="nil"/>
              <w:bottom w:val="single" w:sz="4" w:space="0" w:color="auto"/>
              <w:right w:val="nil"/>
            </w:tcBorders>
            <w:shd w:val="clear" w:color="auto" w:fill="auto"/>
            <w:noWrap/>
            <w:vAlign w:val="bottom"/>
            <w:hideMark/>
          </w:tcPr>
          <w:p w14:paraId="6FE5B64A" w14:textId="77777777" w:rsidR="004F3D4C" w:rsidRPr="001C0CE8" w:rsidRDefault="004F3D4C" w:rsidP="00D73C06">
            <w:pPr>
              <w:jc w:val="right"/>
              <w:rPr>
                <w:color w:val="000000" w:themeColor="text1"/>
              </w:rPr>
            </w:pPr>
            <w:r w:rsidRPr="001C0CE8">
              <w:rPr>
                <w:color w:val="000000" w:themeColor="text1"/>
              </w:rPr>
              <w:t>0.0348</w:t>
            </w:r>
          </w:p>
        </w:tc>
        <w:tc>
          <w:tcPr>
            <w:tcW w:w="1060" w:type="dxa"/>
            <w:tcBorders>
              <w:top w:val="nil"/>
              <w:left w:val="nil"/>
              <w:bottom w:val="single" w:sz="4" w:space="0" w:color="auto"/>
              <w:right w:val="nil"/>
            </w:tcBorders>
            <w:shd w:val="clear" w:color="auto" w:fill="auto"/>
            <w:noWrap/>
            <w:vAlign w:val="bottom"/>
            <w:hideMark/>
          </w:tcPr>
          <w:p w14:paraId="5A8F2A25" w14:textId="77777777" w:rsidR="004F3D4C" w:rsidRPr="001C0CE8" w:rsidRDefault="004F3D4C" w:rsidP="00D73C06">
            <w:pPr>
              <w:jc w:val="right"/>
              <w:rPr>
                <w:color w:val="000000" w:themeColor="text1"/>
              </w:rPr>
            </w:pPr>
            <w:r w:rsidRPr="001C0CE8">
              <w:rPr>
                <w:color w:val="000000" w:themeColor="text1"/>
              </w:rPr>
              <w:t>0.0426</w:t>
            </w:r>
          </w:p>
        </w:tc>
        <w:tc>
          <w:tcPr>
            <w:tcW w:w="1060" w:type="dxa"/>
            <w:tcBorders>
              <w:top w:val="nil"/>
              <w:left w:val="nil"/>
              <w:bottom w:val="single" w:sz="4" w:space="0" w:color="auto"/>
              <w:right w:val="nil"/>
            </w:tcBorders>
            <w:shd w:val="clear" w:color="auto" w:fill="auto"/>
            <w:noWrap/>
            <w:vAlign w:val="bottom"/>
            <w:hideMark/>
          </w:tcPr>
          <w:p w14:paraId="4150B19F" w14:textId="77777777" w:rsidR="004F3D4C" w:rsidRPr="001C0CE8" w:rsidRDefault="004F3D4C" w:rsidP="00D73C06">
            <w:pPr>
              <w:rPr>
                <w:color w:val="000000" w:themeColor="text1"/>
              </w:rPr>
            </w:pPr>
            <w:r w:rsidRPr="001C0CE8">
              <w:rPr>
                <w:color w:val="000000" w:themeColor="text1"/>
              </w:rPr>
              <w:t>&lt;.001</w:t>
            </w:r>
          </w:p>
        </w:tc>
        <w:tc>
          <w:tcPr>
            <w:tcW w:w="1245" w:type="dxa"/>
            <w:tcBorders>
              <w:top w:val="nil"/>
              <w:left w:val="nil"/>
              <w:bottom w:val="single" w:sz="4" w:space="0" w:color="auto"/>
              <w:right w:val="nil"/>
            </w:tcBorders>
            <w:shd w:val="clear" w:color="auto" w:fill="auto"/>
            <w:noWrap/>
            <w:vAlign w:val="bottom"/>
            <w:hideMark/>
          </w:tcPr>
          <w:p w14:paraId="4FBAF4FB" w14:textId="77777777" w:rsidR="004F3D4C" w:rsidRPr="001C0CE8" w:rsidRDefault="004F3D4C" w:rsidP="00D73C06">
            <w:pPr>
              <w:jc w:val="center"/>
              <w:rPr>
                <w:color w:val="000000" w:themeColor="text1"/>
              </w:rPr>
            </w:pPr>
            <w:r w:rsidRPr="001C0CE8">
              <w:rPr>
                <w:color w:val="000000" w:themeColor="text1"/>
              </w:rPr>
              <w:t>&lt;1%</w:t>
            </w:r>
          </w:p>
        </w:tc>
      </w:tr>
    </w:tbl>
    <w:p w14:paraId="26EBFBFD" w14:textId="77777777" w:rsidR="004F3D4C" w:rsidRPr="001C0CE8" w:rsidRDefault="004F3D4C" w:rsidP="004F3D4C">
      <w:pPr>
        <w:rPr>
          <w:color w:val="000000" w:themeColor="text1"/>
        </w:rPr>
      </w:pPr>
    </w:p>
    <w:p w14:paraId="462EF167" w14:textId="77777777" w:rsidR="004F3D4C" w:rsidRPr="001C0CE8" w:rsidRDefault="004F3D4C" w:rsidP="004F3D4C">
      <w:pPr>
        <w:rPr>
          <w:color w:val="000000" w:themeColor="text1"/>
        </w:rPr>
      </w:pPr>
      <w:r w:rsidRPr="001C0CE8">
        <w:rPr>
          <w:color w:val="000000" w:themeColor="text1"/>
        </w:rPr>
        <w:t>Note: Best-fitting model (4 classes; shown in bold) was determined based on considering all model fit indices and interpretability. AIC = Akaike Information Criterion; BIC = Bayesian Information Criterion; BLRT = Bootstrapped Likelihood Ratio Test; LC = number of latent classes; LMR-LRT = Lo-</w:t>
      </w:r>
      <w:proofErr w:type="spellStart"/>
      <w:r w:rsidRPr="001C0CE8">
        <w:rPr>
          <w:color w:val="000000" w:themeColor="text1"/>
        </w:rPr>
        <w:t>Mendell</w:t>
      </w:r>
      <w:proofErr w:type="spellEnd"/>
      <w:r w:rsidRPr="001C0CE8">
        <w:rPr>
          <w:color w:val="000000" w:themeColor="text1"/>
        </w:rPr>
        <w:t xml:space="preserve">-Rubin Adjusted Likelihood Ratio Test; SSABIC = sample size-adjusted BIC; VLMR = </w:t>
      </w:r>
      <w:proofErr w:type="spellStart"/>
      <w:r w:rsidRPr="001C0CE8">
        <w:rPr>
          <w:color w:val="000000" w:themeColor="text1"/>
        </w:rPr>
        <w:t>Vuong</w:t>
      </w:r>
      <w:proofErr w:type="spellEnd"/>
      <w:r w:rsidRPr="001C0CE8">
        <w:rPr>
          <w:color w:val="000000" w:themeColor="text1"/>
        </w:rPr>
        <w:t>-Lo-</w:t>
      </w:r>
      <w:proofErr w:type="spellStart"/>
      <w:r w:rsidRPr="001C0CE8">
        <w:rPr>
          <w:color w:val="000000" w:themeColor="text1"/>
        </w:rPr>
        <w:t>Mendell</w:t>
      </w:r>
      <w:proofErr w:type="spellEnd"/>
      <w:r w:rsidRPr="001C0CE8">
        <w:rPr>
          <w:color w:val="000000" w:themeColor="text1"/>
        </w:rPr>
        <w:t xml:space="preserve">-Rubin Likelihood Ratio Test. </w:t>
      </w:r>
    </w:p>
    <w:p w14:paraId="11EFC3C1" w14:textId="77777777" w:rsidR="004F3D4C" w:rsidRPr="001C0CE8" w:rsidRDefault="004F3D4C" w:rsidP="004F3D4C">
      <w:pPr>
        <w:rPr>
          <w:color w:val="000000" w:themeColor="text1"/>
        </w:rPr>
      </w:pPr>
    </w:p>
    <w:p w14:paraId="118B53B9" w14:textId="77777777" w:rsidR="000C08D8" w:rsidRPr="001C0CE8" w:rsidRDefault="000C08D8" w:rsidP="000C08D8">
      <w:pPr>
        <w:rPr>
          <w:i/>
          <w:color w:val="000000" w:themeColor="text1"/>
        </w:rPr>
      </w:pPr>
    </w:p>
    <w:p w14:paraId="7E7F7E97" w14:textId="4654CF6B" w:rsidR="000C08D8" w:rsidRPr="003877CF" w:rsidRDefault="004F3D4C" w:rsidP="000C08D8">
      <w:pPr>
        <w:rPr>
          <w:i/>
          <w:color w:val="000000" w:themeColor="text1"/>
        </w:rPr>
      </w:pPr>
      <w:r w:rsidRPr="001C0CE8">
        <w:rPr>
          <w:i/>
          <w:color w:val="000000" w:themeColor="text1"/>
        </w:rPr>
        <w:br w:type="page"/>
      </w:r>
    </w:p>
    <w:p w14:paraId="7C285D50" w14:textId="77777777" w:rsidR="000C08D8" w:rsidRPr="001C0CE8" w:rsidRDefault="000C08D8" w:rsidP="000C08D8">
      <w:pPr>
        <w:rPr>
          <w:color w:val="000000" w:themeColor="text1"/>
        </w:rPr>
      </w:pPr>
      <w:r w:rsidRPr="001C0CE8">
        <w:rPr>
          <w:noProof/>
          <w:color w:val="000000" w:themeColor="text1"/>
        </w:rPr>
        <w:lastRenderedPageBreak/>
        <mc:AlternateContent>
          <mc:Choice Requires="wps">
            <w:drawing>
              <wp:anchor distT="0" distB="0" distL="114300" distR="114300" simplePos="0" relativeHeight="251660288" behindDoc="0" locked="0" layoutInCell="1" allowOverlap="1" wp14:anchorId="240CD712" wp14:editId="1BA38FA1">
                <wp:simplePos x="0" y="0"/>
                <wp:positionH relativeFrom="column">
                  <wp:posOffset>4572000</wp:posOffset>
                </wp:positionH>
                <wp:positionV relativeFrom="paragraph">
                  <wp:posOffset>1062990</wp:posOffset>
                </wp:positionV>
                <wp:extent cx="2073910" cy="368935"/>
                <wp:effectExtent l="0" t="0" r="0" b="0"/>
                <wp:wrapNone/>
                <wp:docPr id="7" name="TextBox 2"/>
                <wp:cNvGraphicFramePr/>
                <a:graphic xmlns:a="http://schemas.openxmlformats.org/drawingml/2006/main">
                  <a:graphicData uri="http://schemas.microsoft.com/office/word/2010/wordprocessingShape">
                    <wps:wsp>
                      <wps:cNvSpPr txBox="1"/>
                      <wps:spPr>
                        <a:xfrm flipH="1">
                          <a:off x="0" y="0"/>
                          <a:ext cx="2073910" cy="368935"/>
                        </a:xfrm>
                        <a:prstGeom prst="rect">
                          <a:avLst/>
                        </a:prstGeom>
                        <a:noFill/>
                      </wps:spPr>
                      <wps:txbx>
                        <w:txbxContent>
                          <w:p w14:paraId="26BED868" w14:textId="77777777" w:rsidR="000C08D8" w:rsidRPr="004257D2" w:rsidRDefault="000C08D8" w:rsidP="000C08D8">
                            <w:pPr>
                              <w:pStyle w:val="NormalWeb"/>
                              <w:spacing w:before="0" w:beforeAutospacing="0" w:after="0" w:afterAutospacing="0"/>
                              <w:rPr>
                                <w:sz w:val="28"/>
                                <w:szCs w:val="28"/>
                              </w:rPr>
                            </w:pPr>
                            <w:r w:rsidRPr="004257D2">
                              <w:rPr>
                                <w:rFonts w:asciiTheme="minorHAnsi" w:hAnsi="Calibri" w:cstheme="minorBidi"/>
                                <w:color w:val="000000" w:themeColor="text1"/>
                                <w:kern w:val="24"/>
                                <w:sz w:val="28"/>
                                <w:szCs w:val="28"/>
                              </w:rPr>
                              <w:t>C2 26 (11%)</w:t>
                            </w:r>
                          </w:p>
                        </w:txbxContent>
                      </wps:txbx>
                      <wps:bodyPr wrap="square" rtlCol="0">
                        <a:spAutoFit/>
                      </wps:bodyPr>
                    </wps:wsp>
                  </a:graphicData>
                </a:graphic>
              </wp:anchor>
            </w:drawing>
          </mc:Choice>
          <mc:Fallback>
            <w:pict>
              <v:shapetype w14:anchorId="240CD712" id="_x0000_t202" coordsize="21600,21600" o:spt="202" path="m,l,21600r21600,l21600,xe">
                <v:stroke joinstyle="miter"/>
                <v:path gradientshapeok="t" o:connecttype="rect"/>
              </v:shapetype>
              <v:shape id="TextBox 2" o:spid="_x0000_s1026" type="#_x0000_t202" style="position:absolute;margin-left:5in;margin-top:83.7pt;width:163.3pt;height:29.05pt;flip:x;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" filled="f" stroked="f">
                <v:textbox style="mso-fit-shape-to-text:t">
                  <w:txbxContent>
                    <w:p w14:paraId="26BED868" w14:textId="77777777" w:rsidR="000C08D8" w:rsidRPr="004257D2" w:rsidRDefault="000C08D8" w:rsidP="000C08D8">
                      <w:pPr>
                        <w:pStyle w:val="NormalWeb"/>
                        <w:spacing w:before="0" w:beforeAutospacing="0" w:after="0" w:afterAutospacing="0"/>
                        <w:rPr>
                          <w:sz w:val="28"/>
                          <w:szCs w:val="28"/>
                        </w:rPr>
                      </w:pPr>
                      <w:r w:rsidRPr="004257D2">
                        <w:rPr>
                          <w:rFonts w:asciiTheme="minorHAnsi" w:hAnsi="Calibri" w:cstheme="minorBidi"/>
                          <w:color w:val="000000" w:themeColor="text1"/>
                          <w:kern w:val="24"/>
                          <w:sz w:val="28"/>
                          <w:szCs w:val="28"/>
                        </w:rPr>
                        <w:t>C2 26 (11%)</w:t>
                      </w:r>
                    </w:p>
                  </w:txbxContent>
                </v:textbox>
              </v:shape>
            </w:pict>
          </mc:Fallback>
        </mc:AlternateContent>
      </w:r>
      <w:r w:rsidRPr="001C0CE8">
        <w:rPr>
          <w:noProof/>
          <w:color w:val="000000" w:themeColor="text1"/>
        </w:rPr>
        <mc:AlternateContent>
          <mc:Choice Requires="wps">
            <w:drawing>
              <wp:anchor distT="0" distB="0" distL="114300" distR="114300" simplePos="0" relativeHeight="251661312" behindDoc="0" locked="0" layoutInCell="1" allowOverlap="1" wp14:anchorId="6CC9CEE7" wp14:editId="151375B2">
                <wp:simplePos x="0" y="0"/>
                <wp:positionH relativeFrom="column">
                  <wp:posOffset>4591050</wp:posOffset>
                </wp:positionH>
                <wp:positionV relativeFrom="paragraph">
                  <wp:posOffset>2091690</wp:posOffset>
                </wp:positionV>
                <wp:extent cx="2073910" cy="368935"/>
                <wp:effectExtent l="0" t="0" r="0" b="0"/>
                <wp:wrapNone/>
                <wp:docPr id="8" name="TextBox 3"/>
                <wp:cNvGraphicFramePr/>
                <a:graphic xmlns:a="http://schemas.openxmlformats.org/drawingml/2006/main">
                  <a:graphicData uri="http://schemas.microsoft.com/office/word/2010/wordprocessingShape">
                    <wps:wsp>
                      <wps:cNvSpPr txBox="1"/>
                      <wps:spPr>
                        <a:xfrm flipH="1">
                          <a:off x="0" y="0"/>
                          <a:ext cx="2073910" cy="368935"/>
                        </a:xfrm>
                        <a:prstGeom prst="rect">
                          <a:avLst/>
                        </a:prstGeom>
                        <a:noFill/>
                      </wps:spPr>
                      <wps:txbx>
                        <w:txbxContent>
                          <w:p w14:paraId="24EF5FB2" w14:textId="77777777" w:rsidR="000C08D8" w:rsidRPr="004257D2" w:rsidRDefault="000C08D8" w:rsidP="000C08D8">
                            <w:pPr>
                              <w:pStyle w:val="NormalWeb"/>
                              <w:spacing w:before="0" w:beforeAutospacing="0" w:after="0" w:afterAutospacing="0"/>
                              <w:rPr>
                                <w:sz w:val="28"/>
                                <w:szCs w:val="28"/>
                              </w:rPr>
                            </w:pPr>
                            <w:r w:rsidRPr="004257D2">
                              <w:rPr>
                                <w:rFonts w:asciiTheme="minorHAnsi" w:hAnsi="Calibri" w:cstheme="minorBidi"/>
                                <w:color w:val="000000" w:themeColor="text1"/>
                                <w:kern w:val="24"/>
                                <w:sz w:val="28"/>
                                <w:szCs w:val="28"/>
                              </w:rPr>
                              <w:t>C3 44 (18%)</w:t>
                            </w:r>
                          </w:p>
                        </w:txbxContent>
                      </wps:txbx>
                      <wps:bodyPr wrap="square" rtlCol="0">
                        <a:spAutoFit/>
                      </wps:bodyPr>
                    </wps:wsp>
                  </a:graphicData>
                </a:graphic>
              </wp:anchor>
            </w:drawing>
          </mc:Choice>
          <mc:Fallback>
            <w:pict>
              <v:shape w14:anchorId="6CC9CEE7" id="TextBox 3" o:spid="_x0000_s1027" type="#_x0000_t202" style="position:absolute;margin-left:361.5pt;margin-top:164.7pt;width:163.3pt;height:29.05pt;flip:x;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" filled="f" stroked="f">
                <v:textbox style="mso-fit-shape-to-text:t">
                  <w:txbxContent>
                    <w:p w14:paraId="24EF5FB2" w14:textId="77777777" w:rsidR="000C08D8" w:rsidRPr="004257D2" w:rsidRDefault="000C08D8" w:rsidP="000C08D8">
                      <w:pPr>
                        <w:pStyle w:val="NormalWeb"/>
                        <w:spacing w:before="0" w:beforeAutospacing="0" w:after="0" w:afterAutospacing="0"/>
                        <w:rPr>
                          <w:sz w:val="28"/>
                          <w:szCs w:val="28"/>
                        </w:rPr>
                      </w:pPr>
                      <w:r w:rsidRPr="004257D2">
                        <w:rPr>
                          <w:rFonts w:asciiTheme="minorHAnsi" w:hAnsi="Calibri" w:cstheme="minorBidi"/>
                          <w:color w:val="000000" w:themeColor="text1"/>
                          <w:kern w:val="24"/>
                          <w:sz w:val="28"/>
                          <w:szCs w:val="28"/>
                        </w:rPr>
                        <w:t>C3 44 (18%)</w:t>
                      </w:r>
                    </w:p>
                  </w:txbxContent>
                </v:textbox>
              </v:shape>
            </w:pict>
          </mc:Fallback>
        </mc:AlternateContent>
      </w:r>
      <w:r w:rsidRPr="001C0CE8">
        <w:rPr>
          <w:noProof/>
          <w:color w:val="000000" w:themeColor="text1"/>
        </w:rPr>
        <mc:AlternateContent>
          <mc:Choice Requires="wps">
            <w:drawing>
              <wp:anchor distT="0" distB="0" distL="114300" distR="114300" simplePos="0" relativeHeight="251662336" behindDoc="0" locked="0" layoutInCell="1" allowOverlap="1" wp14:anchorId="2696F838" wp14:editId="08BD4BEC">
                <wp:simplePos x="0" y="0"/>
                <wp:positionH relativeFrom="column">
                  <wp:posOffset>4533900</wp:posOffset>
                </wp:positionH>
                <wp:positionV relativeFrom="paragraph">
                  <wp:posOffset>2653665</wp:posOffset>
                </wp:positionV>
                <wp:extent cx="2074461" cy="369332"/>
                <wp:effectExtent l="0" t="0" r="0" b="0"/>
                <wp:wrapNone/>
                <wp:docPr id="9" name="TextBox 5"/>
                <wp:cNvGraphicFramePr/>
                <a:graphic xmlns:a="http://schemas.openxmlformats.org/drawingml/2006/main">
                  <a:graphicData uri="http://schemas.microsoft.com/office/word/2010/wordprocessingShape">
                    <wps:wsp>
                      <wps:cNvSpPr txBox="1"/>
                      <wps:spPr>
                        <a:xfrm flipH="1">
                          <a:off x="0" y="0"/>
                          <a:ext cx="2074461" cy="369332"/>
                        </a:xfrm>
                        <a:prstGeom prst="rect">
                          <a:avLst/>
                        </a:prstGeom>
                        <a:noFill/>
                      </wps:spPr>
                      <wps:txbx>
                        <w:txbxContent>
                          <w:p w14:paraId="6E8618C8" w14:textId="77777777" w:rsidR="000C08D8" w:rsidRPr="004257D2" w:rsidRDefault="000C08D8" w:rsidP="000C08D8">
                            <w:pPr>
                              <w:pStyle w:val="NormalWeb"/>
                              <w:spacing w:before="0" w:beforeAutospacing="0" w:after="0" w:afterAutospacing="0"/>
                              <w:rPr>
                                <w:sz w:val="28"/>
                                <w:szCs w:val="28"/>
                              </w:rPr>
                            </w:pPr>
                            <w:r w:rsidRPr="004257D2">
                              <w:rPr>
                                <w:rFonts w:asciiTheme="minorHAnsi" w:hAnsi="Calibri" w:cstheme="minorBidi"/>
                                <w:color w:val="000000" w:themeColor="text1"/>
                                <w:kern w:val="24"/>
                                <w:sz w:val="28"/>
                                <w:szCs w:val="28"/>
                              </w:rPr>
                              <w:t>C1 138 (56%)</w:t>
                            </w:r>
                          </w:p>
                        </w:txbxContent>
                      </wps:txbx>
                      <wps:bodyPr wrap="square" rtlCol="0">
                        <a:spAutoFit/>
                      </wps:bodyPr>
                    </wps:wsp>
                  </a:graphicData>
                </a:graphic>
              </wp:anchor>
            </w:drawing>
          </mc:Choice>
          <mc:Fallback>
            <w:pict>
              <v:shape w14:anchorId="2696F838" id="TextBox 5" o:spid="_x0000_s1028" type="#_x0000_t202" style="position:absolute;margin-left:357pt;margin-top:208.95pt;width:163.35pt;height:29.1pt;flip:x;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" filled="f" stroked="f">
                <v:textbox style="mso-fit-shape-to-text:t">
                  <w:txbxContent>
                    <w:p w14:paraId="6E8618C8" w14:textId="77777777" w:rsidR="000C08D8" w:rsidRPr="004257D2" w:rsidRDefault="000C08D8" w:rsidP="000C08D8">
                      <w:pPr>
                        <w:pStyle w:val="NormalWeb"/>
                        <w:spacing w:before="0" w:beforeAutospacing="0" w:after="0" w:afterAutospacing="0"/>
                        <w:rPr>
                          <w:sz w:val="28"/>
                          <w:szCs w:val="28"/>
                        </w:rPr>
                      </w:pPr>
                      <w:r w:rsidRPr="004257D2">
                        <w:rPr>
                          <w:rFonts w:asciiTheme="minorHAnsi" w:hAnsi="Calibri" w:cstheme="minorBidi"/>
                          <w:color w:val="000000" w:themeColor="text1"/>
                          <w:kern w:val="24"/>
                          <w:sz w:val="28"/>
                          <w:szCs w:val="28"/>
                        </w:rPr>
                        <w:t>C1 138 (56%)</w:t>
                      </w:r>
                    </w:p>
                  </w:txbxContent>
                </v:textbox>
              </v:shape>
            </w:pict>
          </mc:Fallback>
        </mc:AlternateContent>
      </w:r>
      <w:r w:rsidRPr="001C0CE8">
        <w:rPr>
          <w:noProof/>
          <w:color w:val="000000" w:themeColor="text1"/>
        </w:rPr>
        <mc:AlternateContent>
          <mc:Choice Requires="wps">
            <w:drawing>
              <wp:anchor distT="0" distB="0" distL="114300" distR="114300" simplePos="0" relativeHeight="251659264" behindDoc="0" locked="0" layoutInCell="1" allowOverlap="1" wp14:anchorId="61164C76" wp14:editId="2F803FC2">
                <wp:simplePos x="0" y="0"/>
                <wp:positionH relativeFrom="column">
                  <wp:posOffset>4591050</wp:posOffset>
                </wp:positionH>
                <wp:positionV relativeFrom="paragraph">
                  <wp:posOffset>539115</wp:posOffset>
                </wp:positionV>
                <wp:extent cx="2073910" cy="368935"/>
                <wp:effectExtent l="0" t="0" r="0" b="0"/>
                <wp:wrapNone/>
                <wp:docPr id="6" name="TextBox 4"/>
                <wp:cNvGraphicFramePr/>
                <a:graphic xmlns:a="http://schemas.openxmlformats.org/drawingml/2006/main">
                  <a:graphicData uri="http://schemas.microsoft.com/office/word/2010/wordprocessingShape">
                    <wps:wsp>
                      <wps:cNvSpPr txBox="1"/>
                      <wps:spPr>
                        <a:xfrm flipH="1">
                          <a:off x="0" y="0"/>
                          <a:ext cx="2073910" cy="368935"/>
                        </a:xfrm>
                        <a:prstGeom prst="rect">
                          <a:avLst/>
                        </a:prstGeom>
                        <a:noFill/>
                      </wps:spPr>
                      <wps:txbx>
                        <w:txbxContent>
                          <w:p w14:paraId="052B4CAE" w14:textId="77777777" w:rsidR="000C08D8" w:rsidRPr="004257D2" w:rsidRDefault="000C08D8" w:rsidP="000C08D8">
                            <w:pPr>
                              <w:pStyle w:val="NormalWeb"/>
                              <w:spacing w:before="0" w:beforeAutospacing="0" w:after="0" w:afterAutospacing="0"/>
                              <w:rPr>
                                <w:sz w:val="28"/>
                                <w:szCs w:val="28"/>
                              </w:rPr>
                            </w:pPr>
                            <w:r w:rsidRPr="004257D2">
                              <w:rPr>
                                <w:rFonts w:asciiTheme="minorHAnsi" w:hAnsi="Calibri" w:cstheme="minorBidi"/>
                                <w:color w:val="000000" w:themeColor="text1"/>
                                <w:kern w:val="24"/>
                                <w:sz w:val="28"/>
                                <w:szCs w:val="28"/>
                              </w:rPr>
                              <w:t>C4 39 (16%)</w:t>
                            </w:r>
                          </w:p>
                        </w:txbxContent>
                      </wps:txbx>
                      <wps:bodyPr wrap="square" rtlCol="0">
                        <a:spAutoFit/>
                      </wps:bodyPr>
                    </wps:wsp>
                  </a:graphicData>
                </a:graphic>
              </wp:anchor>
            </w:drawing>
          </mc:Choice>
          <mc:Fallback>
            <w:pict>
              <v:shape w14:anchorId="61164C76" id="TextBox 4" o:spid="_x0000_s1029" type="#_x0000_t202" style="position:absolute;margin-left:361.5pt;margin-top:42.45pt;width:163.3pt;height:29.05pt;flip:x;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" filled="f" stroked="f">
                <v:textbox style="mso-fit-shape-to-text:t">
                  <w:txbxContent>
                    <w:p w14:paraId="052B4CAE" w14:textId="77777777" w:rsidR="000C08D8" w:rsidRPr="004257D2" w:rsidRDefault="000C08D8" w:rsidP="000C08D8">
                      <w:pPr>
                        <w:pStyle w:val="NormalWeb"/>
                        <w:spacing w:before="0" w:beforeAutospacing="0" w:after="0" w:afterAutospacing="0"/>
                        <w:rPr>
                          <w:sz w:val="28"/>
                          <w:szCs w:val="28"/>
                        </w:rPr>
                      </w:pPr>
                      <w:r w:rsidRPr="004257D2">
                        <w:rPr>
                          <w:rFonts w:asciiTheme="minorHAnsi" w:hAnsi="Calibri" w:cstheme="minorBidi"/>
                          <w:color w:val="000000" w:themeColor="text1"/>
                          <w:kern w:val="24"/>
                          <w:sz w:val="28"/>
                          <w:szCs w:val="28"/>
                        </w:rPr>
                        <w:t>C4 39 (16%)</w:t>
                      </w:r>
                    </w:p>
                  </w:txbxContent>
                </v:textbox>
              </v:shape>
            </w:pict>
          </mc:Fallback>
        </mc:AlternateContent>
      </w:r>
      <w:r w:rsidRPr="001C0CE8">
        <w:rPr>
          <w:noProof/>
          <w:color w:val="000000" w:themeColor="text1"/>
        </w:rPr>
        <w:drawing>
          <wp:inline distT="0" distB="0" distL="0" distR="0" wp14:anchorId="661AB6BD" wp14:editId="29E15285">
            <wp:extent cx="5114925" cy="3867150"/>
            <wp:effectExtent l="0" t="0" r="3175" b="0"/>
            <wp:docPr id="3" name="Chart 3">
              <a:extLst xmlns:a="http://schemas.openxmlformats.org/drawingml/2006/main">
                <a:ext uri="{FF2B5EF4-FFF2-40B4-BE49-F238E27FC236}">
                  <a16:creationId xmlns:a16="http://schemas.microsoft.com/office/drawing/2014/main" id="{00000000-0008-0000-02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1C0CE8">
        <w:rPr>
          <w:noProof/>
          <w:color w:val="000000" w:themeColor="text1"/>
        </w:rPr>
        <w:t xml:space="preserve"> </w:t>
      </w:r>
    </w:p>
    <w:p w14:paraId="3390CD02" w14:textId="77777777" w:rsidR="000C08D8" w:rsidRPr="001C0CE8" w:rsidRDefault="000C08D8" w:rsidP="000C08D8">
      <w:pPr>
        <w:rPr>
          <w:color w:val="000000" w:themeColor="text1"/>
        </w:rPr>
      </w:pPr>
    </w:p>
    <w:p w14:paraId="5515A4CF" w14:textId="77777777" w:rsidR="000C08D8" w:rsidRPr="001C0CE8" w:rsidRDefault="000C08D8" w:rsidP="000C08D8">
      <w:pPr>
        <w:rPr>
          <w:color w:val="000000" w:themeColor="text1"/>
        </w:rPr>
      </w:pPr>
    </w:p>
    <w:p w14:paraId="7E5DD3F3" w14:textId="16E80990" w:rsidR="00235844" w:rsidRPr="001C0CE8" w:rsidRDefault="000C08D8">
      <w:pPr>
        <w:rPr>
          <w:color w:val="000000" w:themeColor="text1"/>
        </w:rPr>
      </w:pPr>
      <w:r w:rsidRPr="001C0CE8">
        <w:rPr>
          <w:i/>
          <w:color w:val="000000" w:themeColor="text1"/>
        </w:rPr>
        <w:t>Figure S</w:t>
      </w:r>
      <w:r w:rsidR="00EE6E9F" w:rsidRPr="001C0CE8">
        <w:rPr>
          <w:i/>
          <w:color w:val="000000" w:themeColor="text1"/>
        </w:rPr>
        <w:t>2</w:t>
      </w:r>
      <w:r w:rsidRPr="001C0CE8">
        <w:rPr>
          <w:i/>
          <w:color w:val="000000" w:themeColor="text1"/>
        </w:rPr>
        <w:t>.</w:t>
      </w:r>
      <w:r w:rsidRPr="001C0CE8">
        <w:rPr>
          <w:color w:val="000000" w:themeColor="text1"/>
        </w:rPr>
        <w:t xml:space="preserve"> Depicts the trajectory classes of irritability. Lines indicate estimated trajectory of each class. C1= Class 1, etc. Numbers indicate count of individuals in each class and percentages indicate percent of sample assigned to each class. </w:t>
      </w:r>
    </w:p>
    <w:p w14:paraId="08329793" w14:textId="17ED8C37" w:rsidR="0004529B" w:rsidRPr="001C0CE8" w:rsidRDefault="0004529B">
      <w:pPr>
        <w:rPr>
          <w:color w:val="000000" w:themeColor="text1"/>
        </w:rPr>
      </w:pPr>
    </w:p>
    <w:p w14:paraId="3D32A96B" w14:textId="77777777" w:rsidR="004F3D4C" w:rsidRPr="001C0CE8" w:rsidRDefault="0004529B" w:rsidP="004F3D4C">
      <w:pPr>
        <w:spacing w:line="480" w:lineRule="auto"/>
        <w:rPr>
          <w:i/>
          <w:color w:val="000000" w:themeColor="text1"/>
        </w:rPr>
      </w:pPr>
      <w:r w:rsidRPr="001C0CE8">
        <w:rPr>
          <w:color w:val="000000" w:themeColor="text1"/>
        </w:rPr>
        <w:br w:type="page"/>
      </w:r>
      <w:r w:rsidR="004F3D4C" w:rsidRPr="001C0CE8">
        <w:rPr>
          <w:i/>
          <w:color w:val="000000" w:themeColor="text1"/>
        </w:rPr>
        <w:lastRenderedPageBreak/>
        <w:t>Table S2. Pearson Correlation Coefficients Indicating the Relation between parent and child report ARI and Internalizing and Externalizing subscales of CBCL at age 12.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F3D4C" w:rsidRPr="001C0CE8" w14:paraId="2B0920B3" w14:textId="77777777" w:rsidTr="00D17C42">
        <w:tc>
          <w:tcPr>
            <w:tcW w:w="3116" w:type="dxa"/>
            <w:tcBorders>
              <w:top w:val="single" w:sz="4" w:space="0" w:color="auto"/>
              <w:bottom w:val="single" w:sz="4" w:space="0" w:color="auto"/>
            </w:tcBorders>
          </w:tcPr>
          <w:p w14:paraId="5B9A3B58" w14:textId="77777777" w:rsidR="004F3D4C" w:rsidRPr="001C0CE8" w:rsidRDefault="004F3D4C" w:rsidP="00D17C42">
            <w:pPr>
              <w:spacing w:line="480" w:lineRule="auto"/>
              <w:rPr>
                <w:color w:val="000000" w:themeColor="text1"/>
              </w:rPr>
            </w:pPr>
          </w:p>
        </w:tc>
        <w:tc>
          <w:tcPr>
            <w:tcW w:w="3117" w:type="dxa"/>
            <w:tcBorders>
              <w:top w:val="single" w:sz="4" w:space="0" w:color="auto"/>
              <w:bottom w:val="single" w:sz="4" w:space="0" w:color="auto"/>
            </w:tcBorders>
          </w:tcPr>
          <w:p w14:paraId="46E39821" w14:textId="77777777" w:rsidR="004F3D4C" w:rsidRPr="001C0CE8" w:rsidRDefault="004F3D4C" w:rsidP="00D17C42">
            <w:pPr>
              <w:spacing w:line="480" w:lineRule="auto"/>
              <w:rPr>
                <w:color w:val="000000" w:themeColor="text1"/>
              </w:rPr>
            </w:pPr>
            <w:r w:rsidRPr="001C0CE8">
              <w:rPr>
                <w:color w:val="000000" w:themeColor="text1"/>
              </w:rPr>
              <w:t>Internalizing CBCL age 12</w:t>
            </w:r>
          </w:p>
        </w:tc>
        <w:tc>
          <w:tcPr>
            <w:tcW w:w="3117" w:type="dxa"/>
            <w:tcBorders>
              <w:top w:val="single" w:sz="4" w:space="0" w:color="auto"/>
              <w:bottom w:val="single" w:sz="4" w:space="0" w:color="auto"/>
            </w:tcBorders>
          </w:tcPr>
          <w:p w14:paraId="244FF8D1" w14:textId="77777777" w:rsidR="004F3D4C" w:rsidRPr="001C0CE8" w:rsidRDefault="004F3D4C" w:rsidP="00D17C42">
            <w:pPr>
              <w:spacing w:line="480" w:lineRule="auto"/>
              <w:rPr>
                <w:color w:val="000000" w:themeColor="text1"/>
              </w:rPr>
            </w:pPr>
            <w:r w:rsidRPr="001C0CE8">
              <w:rPr>
                <w:color w:val="000000" w:themeColor="text1"/>
              </w:rPr>
              <w:t>Externalizing CBCL age 12</w:t>
            </w:r>
          </w:p>
        </w:tc>
      </w:tr>
      <w:tr w:rsidR="004F3D4C" w:rsidRPr="001C0CE8" w14:paraId="199EC507" w14:textId="77777777" w:rsidTr="00D17C42">
        <w:tc>
          <w:tcPr>
            <w:tcW w:w="3116" w:type="dxa"/>
            <w:tcBorders>
              <w:top w:val="single" w:sz="4" w:space="0" w:color="auto"/>
            </w:tcBorders>
          </w:tcPr>
          <w:p w14:paraId="18384467" w14:textId="77777777" w:rsidR="004F3D4C" w:rsidRPr="001C0CE8" w:rsidRDefault="004F3D4C" w:rsidP="00D17C42">
            <w:pPr>
              <w:spacing w:line="480" w:lineRule="auto"/>
              <w:rPr>
                <w:color w:val="000000" w:themeColor="text1"/>
              </w:rPr>
            </w:pPr>
            <w:r w:rsidRPr="001C0CE8">
              <w:rPr>
                <w:color w:val="000000" w:themeColor="text1"/>
              </w:rPr>
              <w:t>Parent ARI</w:t>
            </w:r>
          </w:p>
        </w:tc>
        <w:tc>
          <w:tcPr>
            <w:tcW w:w="3117" w:type="dxa"/>
            <w:tcBorders>
              <w:top w:val="single" w:sz="4" w:space="0" w:color="auto"/>
            </w:tcBorders>
          </w:tcPr>
          <w:p w14:paraId="41A4E0EF" w14:textId="77777777" w:rsidR="004F3D4C" w:rsidRPr="001C0CE8" w:rsidRDefault="004F3D4C" w:rsidP="00D17C42">
            <w:pPr>
              <w:spacing w:line="480" w:lineRule="auto"/>
              <w:rPr>
                <w:color w:val="000000" w:themeColor="text1"/>
              </w:rPr>
            </w:pPr>
            <w:r w:rsidRPr="001C0CE8">
              <w:rPr>
                <w:color w:val="000000" w:themeColor="text1"/>
              </w:rPr>
              <w:t>.310**</w:t>
            </w:r>
          </w:p>
        </w:tc>
        <w:tc>
          <w:tcPr>
            <w:tcW w:w="3117" w:type="dxa"/>
            <w:tcBorders>
              <w:top w:val="single" w:sz="4" w:space="0" w:color="auto"/>
            </w:tcBorders>
          </w:tcPr>
          <w:p w14:paraId="6D560F88" w14:textId="77777777" w:rsidR="004F3D4C" w:rsidRPr="001C0CE8" w:rsidRDefault="004F3D4C" w:rsidP="00D17C42">
            <w:pPr>
              <w:spacing w:line="480" w:lineRule="auto"/>
              <w:rPr>
                <w:color w:val="000000" w:themeColor="text1"/>
              </w:rPr>
            </w:pPr>
            <w:r w:rsidRPr="001C0CE8">
              <w:rPr>
                <w:color w:val="000000" w:themeColor="text1"/>
              </w:rPr>
              <w:t>.448***</w:t>
            </w:r>
          </w:p>
        </w:tc>
      </w:tr>
      <w:tr w:rsidR="004F3D4C" w:rsidRPr="001C0CE8" w14:paraId="14ADB941" w14:textId="77777777" w:rsidTr="00D17C42">
        <w:tc>
          <w:tcPr>
            <w:tcW w:w="3116" w:type="dxa"/>
            <w:tcBorders>
              <w:bottom w:val="single" w:sz="4" w:space="0" w:color="auto"/>
            </w:tcBorders>
          </w:tcPr>
          <w:p w14:paraId="7AF95151" w14:textId="77777777" w:rsidR="004F3D4C" w:rsidRPr="001C0CE8" w:rsidRDefault="004F3D4C" w:rsidP="00D17C42">
            <w:pPr>
              <w:spacing w:line="480" w:lineRule="auto"/>
              <w:rPr>
                <w:color w:val="000000" w:themeColor="text1"/>
              </w:rPr>
            </w:pPr>
            <w:r w:rsidRPr="001C0CE8">
              <w:rPr>
                <w:color w:val="000000" w:themeColor="text1"/>
              </w:rPr>
              <w:t>Child ARI</w:t>
            </w:r>
          </w:p>
        </w:tc>
        <w:tc>
          <w:tcPr>
            <w:tcW w:w="3117" w:type="dxa"/>
            <w:tcBorders>
              <w:bottom w:val="single" w:sz="4" w:space="0" w:color="auto"/>
            </w:tcBorders>
          </w:tcPr>
          <w:p w14:paraId="49B17DF8" w14:textId="77777777" w:rsidR="004F3D4C" w:rsidRPr="001C0CE8" w:rsidRDefault="004F3D4C" w:rsidP="00D17C42">
            <w:pPr>
              <w:spacing w:line="480" w:lineRule="auto"/>
              <w:rPr>
                <w:color w:val="000000" w:themeColor="text1"/>
              </w:rPr>
            </w:pPr>
            <w:r w:rsidRPr="001C0CE8">
              <w:rPr>
                <w:color w:val="000000" w:themeColor="text1"/>
              </w:rPr>
              <w:t>.083</w:t>
            </w:r>
          </w:p>
        </w:tc>
        <w:tc>
          <w:tcPr>
            <w:tcW w:w="3117" w:type="dxa"/>
            <w:tcBorders>
              <w:bottom w:val="single" w:sz="4" w:space="0" w:color="auto"/>
            </w:tcBorders>
          </w:tcPr>
          <w:p w14:paraId="393A8283" w14:textId="77777777" w:rsidR="004F3D4C" w:rsidRPr="001C0CE8" w:rsidRDefault="004F3D4C" w:rsidP="00D17C42">
            <w:pPr>
              <w:spacing w:line="480" w:lineRule="auto"/>
              <w:rPr>
                <w:color w:val="000000" w:themeColor="text1"/>
              </w:rPr>
            </w:pPr>
            <w:r w:rsidRPr="001C0CE8">
              <w:rPr>
                <w:color w:val="000000" w:themeColor="text1"/>
              </w:rPr>
              <w:t>.290*</w:t>
            </w:r>
          </w:p>
        </w:tc>
      </w:tr>
    </w:tbl>
    <w:p w14:paraId="67A8A809" w14:textId="77777777" w:rsidR="004F3D4C" w:rsidRPr="001C0CE8" w:rsidRDefault="004F3D4C" w:rsidP="004F3D4C">
      <w:pPr>
        <w:spacing w:line="480" w:lineRule="auto"/>
        <w:rPr>
          <w:color w:val="000000" w:themeColor="text1"/>
        </w:rPr>
      </w:pPr>
      <w:r w:rsidRPr="001C0CE8">
        <w:rPr>
          <w:color w:val="000000" w:themeColor="text1"/>
        </w:rPr>
        <w:t>***p&lt;.001, **p&lt;.005, *p&lt;.01</w:t>
      </w:r>
    </w:p>
    <w:p w14:paraId="4C434EAA" w14:textId="77777777" w:rsidR="004F3D4C" w:rsidRPr="001C0CE8" w:rsidRDefault="004F3D4C" w:rsidP="004F3D4C">
      <w:pPr>
        <w:rPr>
          <w:i/>
          <w:color w:val="000000" w:themeColor="text1"/>
        </w:rPr>
      </w:pPr>
    </w:p>
    <w:p w14:paraId="4D2DB117" w14:textId="77777777" w:rsidR="004F3D4C" w:rsidRPr="001C0CE8" w:rsidRDefault="004F3D4C" w:rsidP="004F3D4C">
      <w:pPr>
        <w:rPr>
          <w:i/>
          <w:color w:val="000000" w:themeColor="text1"/>
        </w:rPr>
      </w:pPr>
    </w:p>
    <w:p w14:paraId="0F28DB19" w14:textId="2D69FBA4" w:rsidR="0004529B" w:rsidRPr="001C0CE8" w:rsidRDefault="0004529B">
      <w:pPr>
        <w:rPr>
          <w:color w:val="000000" w:themeColor="text1"/>
        </w:rPr>
      </w:pPr>
    </w:p>
    <w:p w14:paraId="44EFC2FB" w14:textId="77777777" w:rsidR="004F3D4C" w:rsidRPr="001C0CE8" w:rsidRDefault="004F3D4C">
      <w:pPr>
        <w:rPr>
          <w:i/>
          <w:color w:val="000000" w:themeColor="text1"/>
        </w:rPr>
      </w:pPr>
      <w:r w:rsidRPr="001C0CE8">
        <w:rPr>
          <w:i/>
          <w:color w:val="000000" w:themeColor="text1"/>
        </w:rPr>
        <w:br w:type="page"/>
      </w:r>
    </w:p>
    <w:p w14:paraId="02C73B61" w14:textId="167F748D" w:rsidR="0004529B" w:rsidRPr="001C0CE8" w:rsidRDefault="0004529B" w:rsidP="0004529B">
      <w:pPr>
        <w:rPr>
          <w:i/>
          <w:color w:val="000000" w:themeColor="text1"/>
        </w:rPr>
      </w:pPr>
      <w:r w:rsidRPr="001C0CE8">
        <w:rPr>
          <w:i/>
          <w:color w:val="000000" w:themeColor="text1"/>
        </w:rPr>
        <w:lastRenderedPageBreak/>
        <w:t>Table S</w:t>
      </w:r>
      <w:r w:rsidR="0087062B" w:rsidRPr="001C0CE8">
        <w:rPr>
          <w:i/>
          <w:color w:val="000000" w:themeColor="text1"/>
        </w:rPr>
        <w:t>3</w:t>
      </w:r>
      <w:r w:rsidRPr="001C0CE8">
        <w:rPr>
          <w:i/>
          <w:color w:val="000000" w:themeColor="text1"/>
        </w:rPr>
        <w:t>. Correlation coefficients for each irritability classification and ARI at age 12</w:t>
      </w:r>
    </w:p>
    <w:p w14:paraId="3A2287E1" w14:textId="59C393E2" w:rsidR="0004529B" w:rsidRPr="001C0CE8" w:rsidRDefault="0004529B" w:rsidP="0004529B">
      <w:pPr>
        <w:rPr>
          <w:color w:val="000000" w:themeColor="text1"/>
        </w:rPr>
      </w:pPr>
    </w:p>
    <w:tbl>
      <w:tblPr>
        <w:tblStyle w:val="TableGrid"/>
        <w:tblW w:w="0" w:type="auto"/>
        <w:tblLook w:val="04A0" w:firstRow="1" w:lastRow="0" w:firstColumn="1" w:lastColumn="0" w:noHBand="0" w:noVBand="1"/>
      </w:tblPr>
      <w:tblGrid>
        <w:gridCol w:w="4675"/>
        <w:gridCol w:w="1530"/>
      </w:tblGrid>
      <w:tr w:rsidR="0004529B" w:rsidRPr="001C0CE8" w14:paraId="62A280C8" w14:textId="77777777" w:rsidTr="001E7323">
        <w:tc>
          <w:tcPr>
            <w:tcW w:w="4675" w:type="dxa"/>
            <w:tcBorders>
              <w:top w:val="single" w:sz="4" w:space="0" w:color="auto"/>
              <w:left w:val="nil"/>
              <w:bottom w:val="single" w:sz="4" w:space="0" w:color="auto"/>
              <w:right w:val="nil"/>
            </w:tcBorders>
          </w:tcPr>
          <w:p w14:paraId="58A518B9" w14:textId="2CD94C0D" w:rsidR="0004529B" w:rsidRPr="001C0CE8" w:rsidRDefault="0004529B" w:rsidP="001E7323">
            <w:pPr>
              <w:ind w:right="1410"/>
              <w:rPr>
                <w:color w:val="000000" w:themeColor="text1"/>
              </w:rPr>
            </w:pPr>
            <w:r w:rsidRPr="001C0CE8">
              <w:rPr>
                <w:color w:val="000000" w:themeColor="text1"/>
              </w:rPr>
              <w:t>Irritability class</w:t>
            </w:r>
          </w:p>
        </w:tc>
        <w:tc>
          <w:tcPr>
            <w:tcW w:w="1530" w:type="dxa"/>
            <w:tcBorders>
              <w:top w:val="single" w:sz="4" w:space="0" w:color="auto"/>
              <w:left w:val="nil"/>
              <w:bottom w:val="single" w:sz="4" w:space="0" w:color="auto"/>
              <w:right w:val="nil"/>
            </w:tcBorders>
          </w:tcPr>
          <w:p w14:paraId="50B248DF" w14:textId="56F4D01E" w:rsidR="0004529B" w:rsidRPr="001C0CE8" w:rsidRDefault="004F0C37" w:rsidP="001E7323">
            <w:pPr>
              <w:ind w:left="-100"/>
              <w:rPr>
                <w:color w:val="000000" w:themeColor="text1"/>
              </w:rPr>
            </w:pPr>
            <w:r w:rsidRPr="001C0CE8">
              <w:rPr>
                <w:color w:val="000000" w:themeColor="text1"/>
              </w:rPr>
              <w:t>ARI age 12</w:t>
            </w:r>
          </w:p>
        </w:tc>
      </w:tr>
      <w:tr w:rsidR="0004529B" w:rsidRPr="001C0CE8" w14:paraId="055D01CC" w14:textId="77777777" w:rsidTr="001E7323">
        <w:tc>
          <w:tcPr>
            <w:tcW w:w="4675" w:type="dxa"/>
            <w:tcBorders>
              <w:top w:val="single" w:sz="4" w:space="0" w:color="auto"/>
              <w:left w:val="nil"/>
              <w:bottom w:val="nil"/>
              <w:right w:val="nil"/>
            </w:tcBorders>
          </w:tcPr>
          <w:p w14:paraId="0F335678" w14:textId="5DAC7D68" w:rsidR="0004529B" w:rsidRPr="001C0CE8" w:rsidRDefault="0004529B" w:rsidP="001E7323">
            <w:pPr>
              <w:ind w:right="1410"/>
              <w:rPr>
                <w:color w:val="000000" w:themeColor="text1"/>
              </w:rPr>
            </w:pPr>
            <w:r w:rsidRPr="001C0CE8">
              <w:rPr>
                <w:color w:val="000000" w:themeColor="text1"/>
              </w:rPr>
              <w:t>C1-Low stable irritable</w:t>
            </w:r>
          </w:p>
        </w:tc>
        <w:tc>
          <w:tcPr>
            <w:tcW w:w="1530" w:type="dxa"/>
            <w:tcBorders>
              <w:top w:val="single" w:sz="4" w:space="0" w:color="auto"/>
              <w:left w:val="nil"/>
              <w:bottom w:val="nil"/>
              <w:right w:val="nil"/>
            </w:tcBorders>
          </w:tcPr>
          <w:p w14:paraId="3F88FCF4" w14:textId="33F36BCB" w:rsidR="0004529B" w:rsidRPr="001C0CE8" w:rsidRDefault="0004529B" w:rsidP="001E7323">
            <w:pPr>
              <w:ind w:left="-100"/>
              <w:rPr>
                <w:color w:val="000000" w:themeColor="text1"/>
              </w:rPr>
            </w:pPr>
            <w:r w:rsidRPr="001C0CE8">
              <w:rPr>
                <w:color w:val="000000" w:themeColor="text1"/>
              </w:rPr>
              <w:t>-.282*</w:t>
            </w:r>
          </w:p>
        </w:tc>
      </w:tr>
      <w:tr w:rsidR="0004529B" w:rsidRPr="001C0CE8" w14:paraId="6EF2729E" w14:textId="77777777" w:rsidTr="001E7323">
        <w:tc>
          <w:tcPr>
            <w:tcW w:w="4675" w:type="dxa"/>
            <w:tcBorders>
              <w:top w:val="nil"/>
              <w:left w:val="nil"/>
              <w:bottom w:val="nil"/>
              <w:right w:val="nil"/>
            </w:tcBorders>
          </w:tcPr>
          <w:p w14:paraId="5C1AAAD3" w14:textId="4949DE05" w:rsidR="0004529B" w:rsidRPr="001C0CE8" w:rsidRDefault="0004529B" w:rsidP="001E7323">
            <w:pPr>
              <w:ind w:right="1410"/>
              <w:rPr>
                <w:color w:val="000000" w:themeColor="text1"/>
              </w:rPr>
            </w:pPr>
            <w:r w:rsidRPr="001C0CE8">
              <w:rPr>
                <w:color w:val="000000" w:themeColor="text1"/>
              </w:rPr>
              <w:t xml:space="preserve">C2-Low increasing </w:t>
            </w:r>
          </w:p>
        </w:tc>
        <w:tc>
          <w:tcPr>
            <w:tcW w:w="1530" w:type="dxa"/>
            <w:tcBorders>
              <w:top w:val="nil"/>
              <w:left w:val="nil"/>
              <w:bottom w:val="nil"/>
              <w:right w:val="nil"/>
            </w:tcBorders>
          </w:tcPr>
          <w:p w14:paraId="061857F1" w14:textId="3CD326D2" w:rsidR="0004529B" w:rsidRPr="001C0CE8" w:rsidRDefault="0004529B" w:rsidP="001E7323">
            <w:pPr>
              <w:ind w:left="-100"/>
              <w:rPr>
                <w:color w:val="000000" w:themeColor="text1"/>
              </w:rPr>
            </w:pPr>
            <w:r w:rsidRPr="001C0CE8">
              <w:rPr>
                <w:color w:val="000000" w:themeColor="text1"/>
              </w:rPr>
              <w:t>.112</w:t>
            </w:r>
          </w:p>
        </w:tc>
      </w:tr>
      <w:tr w:rsidR="0004529B" w:rsidRPr="001C0CE8" w14:paraId="65552152" w14:textId="77777777" w:rsidTr="001E7323">
        <w:tc>
          <w:tcPr>
            <w:tcW w:w="4675" w:type="dxa"/>
            <w:tcBorders>
              <w:top w:val="nil"/>
              <w:left w:val="nil"/>
              <w:bottom w:val="nil"/>
              <w:right w:val="nil"/>
            </w:tcBorders>
          </w:tcPr>
          <w:p w14:paraId="66240ED5" w14:textId="3D7A0763" w:rsidR="0004529B" w:rsidRPr="001C0CE8" w:rsidRDefault="0004529B" w:rsidP="0004529B">
            <w:pPr>
              <w:rPr>
                <w:color w:val="000000" w:themeColor="text1"/>
              </w:rPr>
            </w:pPr>
            <w:r w:rsidRPr="001C0CE8">
              <w:rPr>
                <w:color w:val="000000" w:themeColor="text1"/>
              </w:rPr>
              <w:t>C3-High decreasing</w:t>
            </w:r>
          </w:p>
        </w:tc>
        <w:tc>
          <w:tcPr>
            <w:tcW w:w="1530" w:type="dxa"/>
            <w:tcBorders>
              <w:top w:val="nil"/>
              <w:left w:val="nil"/>
              <w:bottom w:val="nil"/>
              <w:right w:val="nil"/>
            </w:tcBorders>
          </w:tcPr>
          <w:p w14:paraId="1059EFE7" w14:textId="542F59BF" w:rsidR="0004529B" w:rsidRPr="001C0CE8" w:rsidRDefault="0004529B" w:rsidP="001E7323">
            <w:pPr>
              <w:ind w:left="-100"/>
              <w:rPr>
                <w:color w:val="000000" w:themeColor="text1"/>
              </w:rPr>
            </w:pPr>
            <w:r w:rsidRPr="001C0CE8">
              <w:rPr>
                <w:color w:val="000000" w:themeColor="text1"/>
              </w:rPr>
              <w:t>-.042</w:t>
            </w:r>
          </w:p>
        </w:tc>
      </w:tr>
      <w:tr w:rsidR="0004529B" w:rsidRPr="001C0CE8" w14:paraId="094C0143" w14:textId="77777777" w:rsidTr="001E7323">
        <w:tc>
          <w:tcPr>
            <w:tcW w:w="4675" w:type="dxa"/>
            <w:tcBorders>
              <w:top w:val="nil"/>
              <w:left w:val="nil"/>
              <w:bottom w:val="single" w:sz="4" w:space="0" w:color="auto"/>
              <w:right w:val="nil"/>
            </w:tcBorders>
          </w:tcPr>
          <w:p w14:paraId="0DEC2DAB" w14:textId="21106F51" w:rsidR="0004529B" w:rsidRPr="001C0CE8" w:rsidRDefault="0004529B" w:rsidP="0004529B">
            <w:pPr>
              <w:rPr>
                <w:color w:val="000000" w:themeColor="text1"/>
              </w:rPr>
            </w:pPr>
            <w:r w:rsidRPr="001C0CE8">
              <w:rPr>
                <w:color w:val="000000" w:themeColor="text1"/>
              </w:rPr>
              <w:t>C4- High stable irritable</w:t>
            </w:r>
          </w:p>
        </w:tc>
        <w:tc>
          <w:tcPr>
            <w:tcW w:w="1530" w:type="dxa"/>
            <w:tcBorders>
              <w:top w:val="nil"/>
              <w:left w:val="nil"/>
              <w:bottom w:val="single" w:sz="4" w:space="0" w:color="auto"/>
              <w:right w:val="nil"/>
            </w:tcBorders>
          </w:tcPr>
          <w:p w14:paraId="38A0BBA8" w14:textId="14939DBB" w:rsidR="0004529B" w:rsidRPr="001C0CE8" w:rsidRDefault="0004529B" w:rsidP="001E7323">
            <w:pPr>
              <w:ind w:left="-100"/>
              <w:rPr>
                <w:color w:val="000000" w:themeColor="text1"/>
              </w:rPr>
            </w:pPr>
            <w:r w:rsidRPr="001C0CE8">
              <w:rPr>
                <w:color w:val="000000" w:themeColor="text1"/>
              </w:rPr>
              <w:t>.350**</w:t>
            </w:r>
          </w:p>
        </w:tc>
      </w:tr>
    </w:tbl>
    <w:p w14:paraId="3F0D3A71" w14:textId="77777777" w:rsidR="0004529B" w:rsidRPr="001C0CE8" w:rsidRDefault="0004529B" w:rsidP="0004529B">
      <w:pPr>
        <w:rPr>
          <w:i/>
          <w:color w:val="000000" w:themeColor="text1"/>
        </w:rPr>
      </w:pPr>
    </w:p>
    <w:p w14:paraId="58EE9C07" w14:textId="6AB5E739" w:rsidR="0004529B" w:rsidRPr="001C0CE8" w:rsidRDefault="0004529B">
      <w:pPr>
        <w:rPr>
          <w:i/>
          <w:color w:val="000000" w:themeColor="text1"/>
        </w:rPr>
      </w:pPr>
      <w:r w:rsidRPr="001C0CE8">
        <w:rPr>
          <w:i/>
          <w:color w:val="000000" w:themeColor="text1"/>
        </w:rPr>
        <w:t>*p&lt;.01, **p&lt;.001</w:t>
      </w:r>
    </w:p>
    <w:p w14:paraId="5F746114" w14:textId="0EBD2146" w:rsidR="00C807C3" w:rsidRPr="001C0CE8" w:rsidRDefault="00C807C3">
      <w:pPr>
        <w:rPr>
          <w:i/>
          <w:color w:val="000000" w:themeColor="text1"/>
        </w:rPr>
      </w:pPr>
    </w:p>
    <w:p w14:paraId="5A517389" w14:textId="77777777" w:rsidR="002363E9" w:rsidRDefault="002363E9" w:rsidP="0041630E"/>
    <w:p w14:paraId="43177F42" w14:textId="77777777" w:rsidR="002363E9" w:rsidRDefault="002363E9" w:rsidP="0041630E"/>
    <w:p w14:paraId="1A1A15F3" w14:textId="77777777" w:rsidR="002363E9" w:rsidRDefault="002363E9" w:rsidP="0041630E"/>
    <w:p w14:paraId="30A40B4A" w14:textId="77777777" w:rsidR="002363E9" w:rsidRDefault="002363E9" w:rsidP="0041630E"/>
    <w:p w14:paraId="7DE8919B" w14:textId="77777777" w:rsidR="002363E9" w:rsidRDefault="002363E9" w:rsidP="0041630E"/>
    <w:p w14:paraId="154D212F" w14:textId="77777777" w:rsidR="002363E9" w:rsidRDefault="002363E9" w:rsidP="0041630E"/>
    <w:p w14:paraId="2C7E9E97" w14:textId="77777777" w:rsidR="002363E9" w:rsidRDefault="002363E9" w:rsidP="0041630E"/>
    <w:p w14:paraId="054594B7" w14:textId="77777777" w:rsidR="002363E9" w:rsidRDefault="002363E9" w:rsidP="0041630E"/>
    <w:p w14:paraId="58CE7BFF" w14:textId="77777777" w:rsidR="002363E9" w:rsidRDefault="002363E9" w:rsidP="0041630E"/>
    <w:p w14:paraId="03ED7AFC" w14:textId="77777777" w:rsidR="002363E9" w:rsidRDefault="002363E9" w:rsidP="0041630E"/>
    <w:p w14:paraId="670FAE4F" w14:textId="77777777" w:rsidR="002363E9" w:rsidRDefault="002363E9" w:rsidP="0041630E"/>
    <w:p w14:paraId="70D08D57" w14:textId="77777777" w:rsidR="002363E9" w:rsidRDefault="002363E9" w:rsidP="0041630E"/>
    <w:p w14:paraId="0FF42F31" w14:textId="77777777" w:rsidR="002363E9" w:rsidRDefault="002363E9" w:rsidP="0041630E"/>
    <w:p w14:paraId="4CD45447" w14:textId="77777777" w:rsidR="002363E9" w:rsidRDefault="002363E9" w:rsidP="0041630E"/>
    <w:p w14:paraId="327C386D" w14:textId="77777777" w:rsidR="002363E9" w:rsidRDefault="002363E9" w:rsidP="0041630E"/>
    <w:p w14:paraId="69865162" w14:textId="77777777" w:rsidR="002363E9" w:rsidRDefault="002363E9" w:rsidP="0041630E"/>
    <w:p w14:paraId="03573DEF" w14:textId="77777777" w:rsidR="002363E9" w:rsidRDefault="002363E9" w:rsidP="0041630E"/>
    <w:p w14:paraId="3AD24965" w14:textId="77777777" w:rsidR="002363E9" w:rsidRDefault="002363E9" w:rsidP="0041630E"/>
    <w:p w14:paraId="7FA607BE" w14:textId="77777777" w:rsidR="002363E9" w:rsidRDefault="002363E9" w:rsidP="0041630E"/>
    <w:p w14:paraId="249AAE4D" w14:textId="77777777" w:rsidR="002363E9" w:rsidRDefault="002363E9" w:rsidP="0041630E"/>
    <w:p w14:paraId="5274BFD0" w14:textId="77777777" w:rsidR="002363E9" w:rsidRDefault="002363E9" w:rsidP="0041630E"/>
    <w:p w14:paraId="740ED75F" w14:textId="77777777" w:rsidR="002363E9" w:rsidRDefault="002363E9" w:rsidP="0041630E"/>
    <w:p w14:paraId="7826A98A" w14:textId="77777777" w:rsidR="002363E9" w:rsidRDefault="002363E9" w:rsidP="0041630E"/>
    <w:p w14:paraId="6AF6C244" w14:textId="77777777" w:rsidR="002363E9" w:rsidRDefault="002363E9" w:rsidP="0041630E"/>
    <w:p w14:paraId="4A865A19" w14:textId="77777777" w:rsidR="002363E9" w:rsidRDefault="002363E9" w:rsidP="0041630E"/>
    <w:p w14:paraId="401238C7" w14:textId="77777777" w:rsidR="002363E9" w:rsidRDefault="002363E9" w:rsidP="0041630E"/>
    <w:p w14:paraId="596436A7" w14:textId="77777777" w:rsidR="002363E9" w:rsidRDefault="002363E9" w:rsidP="0041630E"/>
    <w:p w14:paraId="0BE8BBD3" w14:textId="77777777" w:rsidR="002363E9" w:rsidRDefault="002363E9" w:rsidP="0041630E"/>
    <w:p w14:paraId="41718605" w14:textId="77777777" w:rsidR="002363E9" w:rsidRDefault="002363E9" w:rsidP="0041630E"/>
    <w:p w14:paraId="1F0DD304" w14:textId="77777777" w:rsidR="002363E9" w:rsidRDefault="002363E9" w:rsidP="0041630E"/>
    <w:p w14:paraId="70165348" w14:textId="77777777" w:rsidR="002363E9" w:rsidRDefault="002363E9" w:rsidP="0041630E"/>
    <w:p w14:paraId="602DDA58" w14:textId="77777777" w:rsidR="002363E9" w:rsidRDefault="002363E9" w:rsidP="0041630E"/>
    <w:p w14:paraId="59CBAD9D" w14:textId="77777777" w:rsidR="002363E9" w:rsidRDefault="002363E9" w:rsidP="0041630E"/>
    <w:p w14:paraId="51C766D9" w14:textId="77777777" w:rsidR="002363E9" w:rsidRDefault="002363E9" w:rsidP="0041630E"/>
    <w:p w14:paraId="3ABDE7D0" w14:textId="77777777" w:rsidR="002363E9" w:rsidRDefault="002363E9" w:rsidP="0041630E"/>
    <w:p w14:paraId="304F1C24" w14:textId="77777777" w:rsidR="002363E9" w:rsidRDefault="002363E9" w:rsidP="0041630E"/>
    <w:p w14:paraId="3E8DAD34" w14:textId="2272FC8B" w:rsidR="0041630E" w:rsidRPr="001C0CE8" w:rsidRDefault="0041630E" w:rsidP="0041630E">
      <w:pPr>
        <w:rPr>
          <w:i/>
          <w:color w:val="000000" w:themeColor="text1"/>
        </w:rPr>
      </w:pPr>
      <w:r w:rsidRPr="003877CF">
        <w:rPr>
          <w:i/>
          <w:color w:val="FF0000"/>
        </w:rPr>
        <w:lastRenderedPageBreak/>
        <w:t>Table S4.</w:t>
      </w:r>
    </w:p>
    <w:p w14:paraId="29DEAF54" w14:textId="709A2781" w:rsidR="00BE4387" w:rsidRPr="001C0CE8" w:rsidRDefault="0041630E" w:rsidP="0041630E">
      <w:pPr>
        <w:rPr>
          <w:color w:val="000000" w:themeColor="text1"/>
        </w:rPr>
      </w:pPr>
      <w:r w:rsidRPr="001C0CE8">
        <w:rPr>
          <w:color w:val="000000" w:themeColor="text1"/>
        </w:rPr>
        <w:t>Regression results predicting ARI at age 12 (using arcsine transformed childhood irritability scores)</w:t>
      </w:r>
    </w:p>
    <w:p w14:paraId="2BDFF798" w14:textId="77777777" w:rsidR="0041630E" w:rsidRPr="001C0CE8" w:rsidRDefault="0041630E" w:rsidP="0041630E">
      <w:pPr>
        <w:rPr>
          <w:color w:val="000000" w:themeColor="text1"/>
        </w:rPr>
      </w:pPr>
    </w:p>
    <w:tbl>
      <w:tblPr>
        <w:tblStyle w:val="TableGrid"/>
        <w:tblW w:w="9650" w:type="dxa"/>
        <w:tblLook w:val="04A0" w:firstRow="1" w:lastRow="0" w:firstColumn="1" w:lastColumn="0" w:noHBand="0" w:noVBand="1"/>
      </w:tblPr>
      <w:tblGrid>
        <w:gridCol w:w="933"/>
        <w:gridCol w:w="2788"/>
        <w:gridCol w:w="804"/>
        <w:gridCol w:w="1123"/>
        <w:gridCol w:w="1068"/>
        <w:gridCol w:w="1086"/>
        <w:gridCol w:w="1848"/>
      </w:tblGrid>
      <w:tr w:rsidR="0041630E" w:rsidRPr="001C0CE8" w14:paraId="6C0EBD42" w14:textId="77777777" w:rsidTr="0059513A">
        <w:tc>
          <w:tcPr>
            <w:tcW w:w="933" w:type="dxa"/>
            <w:tcBorders>
              <w:left w:val="nil"/>
              <w:bottom w:val="single" w:sz="4" w:space="0" w:color="auto"/>
              <w:right w:val="nil"/>
            </w:tcBorders>
          </w:tcPr>
          <w:p w14:paraId="4A2A3DA3" w14:textId="77777777" w:rsidR="0041630E" w:rsidRPr="001C0CE8" w:rsidRDefault="0041630E" w:rsidP="0059513A">
            <w:pPr>
              <w:rPr>
                <w:color w:val="000000" w:themeColor="text1"/>
              </w:rPr>
            </w:pPr>
            <w:r w:rsidRPr="001C0CE8">
              <w:rPr>
                <w:color w:val="000000" w:themeColor="text1"/>
              </w:rPr>
              <w:t xml:space="preserve">Model </w:t>
            </w:r>
          </w:p>
        </w:tc>
        <w:tc>
          <w:tcPr>
            <w:tcW w:w="2788" w:type="dxa"/>
            <w:tcBorders>
              <w:left w:val="nil"/>
              <w:bottom w:val="single" w:sz="4" w:space="0" w:color="auto"/>
              <w:right w:val="nil"/>
            </w:tcBorders>
          </w:tcPr>
          <w:p w14:paraId="518B71A0" w14:textId="77777777" w:rsidR="0041630E" w:rsidRPr="001C0CE8" w:rsidRDefault="0041630E" w:rsidP="0059513A">
            <w:pPr>
              <w:rPr>
                <w:color w:val="000000" w:themeColor="text1"/>
              </w:rPr>
            </w:pPr>
            <w:r w:rsidRPr="001C0CE8">
              <w:rPr>
                <w:color w:val="000000" w:themeColor="text1"/>
              </w:rPr>
              <w:t>Predictor</w:t>
            </w:r>
          </w:p>
        </w:tc>
        <w:tc>
          <w:tcPr>
            <w:tcW w:w="804" w:type="dxa"/>
            <w:tcBorders>
              <w:left w:val="nil"/>
              <w:bottom w:val="single" w:sz="4" w:space="0" w:color="auto"/>
              <w:right w:val="nil"/>
            </w:tcBorders>
          </w:tcPr>
          <w:p w14:paraId="6D92F80A" w14:textId="77777777" w:rsidR="0041630E" w:rsidRPr="001C0CE8" w:rsidRDefault="0041630E" w:rsidP="0059513A">
            <w:pPr>
              <w:jc w:val="center"/>
              <w:rPr>
                <w:i/>
                <w:color w:val="000000" w:themeColor="text1"/>
              </w:rPr>
            </w:pPr>
            <w:r w:rsidRPr="001C0CE8">
              <w:rPr>
                <w:color w:val="000000" w:themeColor="text1"/>
              </w:rPr>
              <w:sym w:font="Symbol" w:char="F062"/>
            </w:r>
          </w:p>
        </w:tc>
        <w:tc>
          <w:tcPr>
            <w:tcW w:w="1123" w:type="dxa"/>
            <w:tcBorders>
              <w:left w:val="nil"/>
              <w:bottom w:val="single" w:sz="4" w:space="0" w:color="auto"/>
              <w:right w:val="nil"/>
            </w:tcBorders>
          </w:tcPr>
          <w:p w14:paraId="3A428D92" w14:textId="77777777" w:rsidR="0041630E" w:rsidRPr="001C0CE8" w:rsidRDefault="0041630E" w:rsidP="0059513A">
            <w:pPr>
              <w:jc w:val="center"/>
              <w:rPr>
                <w:i/>
                <w:color w:val="000000" w:themeColor="text1"/>
              </w:rPr>
            </w:pPr>
            <w:r w:rsidRPr="001C0CE8">
              <w:rPr>
                <w:i/>
                <w:color w:val="000000" w:themeColor="text1"/>
              </w:rPr>
              <w:t>SE B</w:t>
            </w:r>
          </w:p>
        </w:tc>
        <w:tc>
          <w:tcPr>
            <w:tcW w:w="1068" w:type="dxa"/>
            <w:tcBorders>
              <w:left w:val="nil"/>
              <w:bottom w:val="single" w:sz="4" w:space="0" w:color="auto"/>
              <w:right w:val="nil"/>
            </w:tcBorders>
          </w:tcPr>
          <w:p w14:paraId="263DF049" w14:textId="77777777" w:rsidR="0041630E" w:rsidRPr="001C0CE8" w:rsidRDefault="0041630E" w:rsidP="0059513A">
            <w:pPr>
              <w:jc w:val="center"/>
              <w:rPr>
                <w:i/>
                <w:color w:val="000000" w:themeColor="text1"/>
              </w:rPr>
            </w:pPr>
            <w:r w:rsidRPr="001C0CE8">
              <w:rPr>
                <w:i/>
                <w:color w:val="000000" w:themeColor="text1"/>
              </w:rPr>
              <w:t>t</w:t>
            </w:r>
          </w:p>
        </w:tc>
        <w:tc>
          <w:tcPr>
            <w:tcW w:w="1086" w:type="dxa"/>
            <w:tcBorders>
              <w:left w:val="nil"/>
              <w:bottom w:val="single" w:sz="4" w:space="0" w:color="auto"/>
              <w:right w:val="nil"/>
            </w:tcBorders>
          </w:tcPr>
          <w:p w14:paraId="3137D69E" w14:textId="77777777" w:rsidR="0041630E" w:rsidRPr="001C0CE8" w:rsidRDefault="0041630E" w:rsidP="0059513A">
            <w:pPr>
              <w:jc w:val="center"/>
              <w:rPr>
                <w:i/>
                <w:color w:val="000000" w:themeColor="text1"/>
              </w:rPr>
            </w:pPr>
            <w:r w:rsidRPr="001C0CE8">
              <w:rPr>
                <w:i/>
                <w:color w:val="000000" w:themeColor="text1"/>
              </w:rPr>
              <w:t>p</w:t>
            </w:r>
          </w:p>
        </w:tc>
        <w:tc>
          <w:tcPr>
            <w:tcW w:w="1848" w:type="dxa"/>
            <w:tcBorders>
              <w:left w:val="nil"/>
              <w:bottom w:val="single" w:sz="4" w:space="0" w:color="auto"/>
              <w:right w:val="nil"/>
            </w:tcBorders>
          </w:tcPr>
          <w:p w14:paraId="46314AC8" w14:textId="77777777" w:rsidR="0041630E" w:rsidRPr="001C0CE8" w:rsidRDefault="0041630E" w:rsidP="0059513A">
            <w:pPr>
              <w:jc w:val="center"/>
              <w:rPr>
                <w:i/>
                <w:color w:val="000000" w:themeColor="text1"/>
              </w:rPr>
            </w:pPr>
            <w:r w:rsidRPr="001C0CE8">
              <w:rPr>
                <w:i/>
                <w:color w:val="000000" w:themeColor="text1"/>
              </w:rPr>
              <w:t>Fit</w:t>
            </w:r>
          </w:p>
        </w:tc>
      </w:tr>
      <w:tr w:rsidR="00BE4387" w:rsidRPr="001C0CE8" w14:paraId="0A4636F3" w14:textId="77777777" w:rsidTr="0059513A">
        <w:tc>
          <w:tcPr>
            <w:tcW w:w="933" w:type="dxa"/>
            <w:tcBorders>
              <w:top w:val="single" w:sz="4" w:space="0" w:color="auto"/>
              <w:left w:val="nil"/>
              <w:bottom w:val="nil"/>
              <w:right w:val="nil"/>
            </w:tcBorders>
          </w:tcPr>
          <w:p w14:paraId="0C7F8EAE" w14:textId="5EC5238D" w:rsidR="00BE4387" w:rsidRPr="001C0CE8" w:rsidRDefault="00BE4387" w:rsidP="00BE4387">
            <w:pPr>
              <w:rPr>
                <w:color w:val="000000" w:themeColor="text1"/>
              </w:rPr>
            </w:pPr>
            <w:r w:rsidRPr="00576022">
              <w:t>1</w:t>
            </w:r>
          </w:p>
        </w:tc>
        <w:tc>
          <w:tcPr>
            <w:tcW w:w="2788" w:type="dxa"/>
            <w:tcBorders>
              <w:top w:val="single" w:sz="4" w:space="0" w:color="auto"/>
              <w:left w:val="nil"/>
              <w:bottom w:val="nil"/>
              <w:right w:val="nil"/>
            </w:tcBorders>
          </w:tcPr>
          <w:p w14:paraId="404333AE" w14:textId="77777777" w:rsidR="00BE4387" w:rsidRDefault="00BE4387" w:rsidP="00BE4387">
            <w:r w:rsidRPr="00576022">
              <w:t>High childhood irritability</w:t>
            </w:r>
          </w:p>
          <w:p w14:paraId="14916CE0" w14:textId="6D22728D" w:rsidR="00BE4387" w:rsidRPr="001C0CE8" w:rsidRDefault="00BE4387" w:rsidP="00BE4387">
            <w:pPr>
              <w:rPr>
                <w:color w:val="000000" w:themeColor="text1"/>
              </w:rPr>
            </w:pPr>
            <w:r>
              <w:t>(Arcsine transformed)</w:t>
            </w:r>
          </w:p>
        </w:tc>
        <w:tc>
          <w:tcPr>
            <w:tcW w:w="804" w:type="dxa"/>
            <w:tcBorders>
              <w:top w:val="single" w:sz="4" w:space="0" w:color="auto"/>
              <w:left w:val="nil"/>
              <w:bottom w:val="nil"/>
              <w:right w:val="nil"/>
            </w:tcBorders>
          </w:tcPr>
          <w:p w14:paraId="2A0A81AD" w14:textId="2EC1FE6B" w:rsidR="00BE4387" w:rsidRPr="001C0CE8" w:rsidRDefault="00BE4387" w:rsidP="00BE4387">
            <w:pPr>
              <w:jc w:val="center"/>
              <w:rPr>
                <w:color w:val="000000" w:themeColor="text1"/>
              </w:rPr>
            </w:pPr>
            <w:r w:rsidRPr="00E9401C">
              <w:rPr>
                <w:color w:val="FF0000"/>
              </w:rPr>
              <w:t>1.859</w:t>
            </w:r>
          </w:p>
        </w:tc>
        <w:tc>
          <w:tcPr>
            <w:tcW w:w="1123" w:type="dxa"/>
            <w:tcBorders>
              <w:top w:val="single" w:sz="4" w:space="0" w:color="auto"/>
              <w:left w:val="nil"/>
              <w:bottom w:val="nil"/>
              <w:right w:val="nil"/>
            </w:tcBorders>
          </w:tcPr>
          <w:p w14:paraId="701D9B71" w14:textId="2E4248B7" w:rsidR="00BE4387" w:rsidRPr="001C0CE8" w:rsidRDefault="00BE4387" w:rsidP="00BE4387">
            <w:pPr>
              <w:jc w:val="center"/>
              <w:rPr>
                <w:color w:val="000000" w:themeColor="text1"/>
              </w:rPr>
            </w:pPr>
            <w:r w:rsidRPr="00576022">
              <w:t>.</w:t>
            </w:r>
            <w:r>
              <w:t>4</w:t>
            </w:r>
            <w:r w:rsidRPr="00E9401C">
              <w:rPr>
                <w:color w:val="FF0000"/>
              </w:rPr>
              <w:t>67</w:t>
            </w:r>
          </w:p>
        </w:tc>
        <w:tc>
          <w:tcPr>
            <w:tcW w:w="1068" w:type="dxa"/>
            <w:tcBorders>
              <w:top w:val="single" w:sz="4" w:space="0" w:color="auto"/>
              <w:left w:val="nil"/>
              <w:bottom w:val="nil"/>
              <w:right w:val="nil"/>
            </w:tcBorders>
          </w:tcPr>
          <w:p w14:paraId="3AE136D6" w14:textId="68DE9929" w:rsidR="00BE4387" w:rsidRPr="001C0CE8" w:rsidRDefault="00BE4387" w:rsidP="00BE4387">
            <w:pPr>
              <w:jc w:val="center"/>
              <w:rPr>
                <w:color w:val="000000" w:themeColor="text1"/>
              </w:rPr>
            </w:pPr>
            <w:r w:rsidRPr="00E9401C">
              <w:rPr>
                <w:color w:val="FF0000"/>
              </w:rPr>
              <w:t>3.985</w:t>
            </w:r>
          </w:p>
        </w:tc>
        <w:tc>
          <w:tcPr>
            <w:tcW w:w="1086" w:type="dxa"/>
            <w:tcBorders>
              <w:top w:val="single" w:sz="4" w:space="0" w:color="auto"/>
              <w:left w:val="nil"/>
              <w:bottom w:val="nil"/>
              <w:right w:val="nil"/>
            </w:tcBorders>
          </w:tcPr>
          <w:p w14:paraId="6D018216" w14:textId="1D0D44F4" w:rsidR="00BE4387" w:rsidRPr="001C0CE8" w:rsidRDefault="00BE4387" w:rsidP="00BE4387">
            <w:pPr>
              <w:jc w:val="center"/>
              <w:rPr>
                <w:color w:val="000000" w:themeColor="text1"/>
              </w:rPr>
            </w:pPr>
            <w:r w:rsidRPr="00576022">
              <w:t>.000</w:t>
            </w:r>
            <w:r w:rsidRPr="00E9401C">
              <w:rPr>
                <w:color w:val="FF0000"/>
              </w:rPr>
              <w:t>2</w:t>
            </w:r>
          </w:p>
        </w:tc>
        <w:tc>
          <w:tcPr>
            <w:tcW w:w="1848" w:type="dxa"/>
            <w:tcBorders>
              <w:top w:val="single" w:sz="4" w:space="0" w:color="auto"/>
              <w:left w:val="nil"/>
              <w:bottom w:val="nil"/>
              <w:right w:val="nil"/>
            </w:tcBorders>
          </w:tcPr>
          <w:p w14:paraId="6DE877BB" w14:textId="275C12A5" w:rsidR="00BE4387" w:rsidRPr="001C0CE8" w:rsidRDefault="00BE4387" w:rsidP="00BE4387">
            <w:pPr>
              <w:jc w:val="center"/>
              <w:rPr>
                <w:color w:val="000000" w:themeColor="text1"/>
              </w:rPr>
            </w:pPr>
            <w:r w:rsidRPr="00576022">
              <w:t>R</w:t>
            </w:r>
            <w:r w:rsidRPr="00576022">
              <w:rPr>
                <w:vertAlign w:val="superscript"/>
              </w:rPr>
              <w:t>2</w:t>
            </w:r>
            <w:r w:rsidRPr="00576022">
              <w:t>=.2</w:t>
            </w:r>
            <w:r w:rsidRPr="00E9401C">
              <w:rPr>
                <w:color w:val="FF0000"/>
              </w:rPr>
              <w:t>25</w:t>
            </w:r>
            <w:r w:rsidRPr="00576022">
              <w:t>, </w:t>
            </w:r>
            <w:r w:rsidRPr="00576022">
              <w:rPr>
                <w:i/>
                <w:iCs/>
              </w:rPr>
              <w:t>p</w:t>
            </w:r>
            <w:r w:rsidRPr="00576022">
              <w:t>&lt;.00</w:t>
            </w:r>
            <w:r w:rsidRPr="00E9401C">
              <w:rPr>
                <w:color w:val="FF0000"/>
              </w:rPr>
              <w:t>2</w:t>
            </w:r>
          </w:p>
        </w:tc>
      </w:tr>
      <w:tr w:rsidR="00BE4387" w:rsidRPr="001C0CE8" w14:paraId="70FD036C" w14:textId="77777777" w:rsidTr="0059513A">
        <w:tc>
          <w:tcPr>
            <w:tcW w:w="933" w:type="dxa"/>
            <w:tcBorders>
              <w:top w:val="nil"/>
              <w:left w:val="nil"/>
              <w:bottom w:val="nil"/>
              <w:right w:val="nil"/>
            </w:tcBorders>
          </w:tcPr>
          <w:p w14:paraId="42B6BF0D" w14:textId="77777777" w:rsidR="00BE4387" w:rsidRPr="001C0CE8" w:rsidRDefault="00BE4387" w:rsidP="00BE4387">
            <w:pPr>
              <w:rPr>
                <w:color w:val="000000" w:themeColor="text1"/>
              </w:rPr>
            </w:pPr>
          </w:p>
        </w:tc>
        <w:tc>
          <w:tcPr>
            <w:tcW w:w="2788" w:type="dxa"/>
            <w:tcBorders>
              <w:top w:val="nil"/>
              <w:left w:val="nil"/>
              <w:bottom w:val="nil"/>
              <w:right w:val="nil"/>
            </w:tcBorders>
          </w:tcPr>
          <w:p w14:paraId="77CC2717" w14:textId="559428BD" w:rsidR="00BE4387" w:rsidRPr="001C0CE8" w:rsidRDefault="00BE4387" w:rsidP="00BE4387">
            <w:pPr>
              <w:rPr>
                <w:color w:val="000000" w:themeColor="text1"/>
              </w:rPr>
            </w:pPr>
            <w:r w:rsidRPr="00576022">
              <w:t>ERN</w:t>
            </w:r>
          </w:p>
        </w:tc>
        <w:tc>
          <w:tcPr>
            <w:tcW w:w="804" w:type="dxa"/>
            <w:tcBorders>
              <w:top w:val="nil"/>
              <w:left w:val="nil"/>
              <w:bottom w:val="nil"/>
              <w:right w:val="nil"/>
            </w:tcBorders>
          </w:tcPr>
          <w:p w14:paraId="6E04A798" w14:textId="0280ACC5" w:rsidR="00BE4387" w:rsidRPr="001C0CE8" w:rsidRDefault="00BE4387" w:rsidP="00BE4387">
            <w:pPr>
              <w:jc w:val="center"/>
              <w:rPr>
                <w:color w:val="000000" w:themeColor="text1"/>
              </w:rPr>
            </w:pPr>
            <w:r w:rsidRPr="00576022">
              <w:t>−.</w:t>
            </w:r>
            <w:r>
              <w:t>1</w:t>
            </w:r>
            <w:r w:rsidRPr="00E9401C">
              <w:rPr>
                <w:color w:val="FF0000"/>
              </w:rPr>
              <w:t>36</w:t>
            </w:r>
          </w:p>
        </w:tc>
        <w:tc>
          <w:tcPr>
            <w:tcW w:w="1123" w:type="dxa"/>
            <w:tcBorders>
              <w:top w:val="nil"/>
              <w:left w:val="nil"/>
              <w:bottom w:val="nil"/>
              <w:right w:val="nil"/>
            </w:tcBorders>
          </w:tcPr>
          <w:p w14:paraId="439E775E" w14:textId="054076CF" w:rsidR="00BE4387" w:rsidRPr="001C0CE8" w:rsidRDefault="00BE4387" w:rsidP="00BE4387">
            <w:pPr>
              <w:jc w:val="center"/>
              <w:rPr>
                <w:color w:val="000000" w:themeColor="text1"/>
              </w:rPr>
            </w:pPr>
            <w:r w:rsidRPr="00576022">
              <w:t>.0</w:t>
            </w:r>
            <w:r w:rsidRPr="00E9401C">
              <w:rPr>
                <w:color w:val="FF0000"/>
              </w:rPr>
              <w:t>64</w:t>
            </w:r>
          </w:p>
        </w:tc>
        <w:tc>
          <w:tcPr>
            <w:tcW w:w="1068" w:type="dxa"/>
            <w:tcBorders>
              <w:top w:val="nil"/>
              <w:left w:val="nil"/>
              <w:bottom w:val="nil"/>
              <w:right w:val="nil"/>
            </w:tcBorders>
          </w:tcPr>
          <w:p w14:paraId="31562272" w14:textId="35DFD5DE" w:rsidR="00BE4387" w:rsidRPr="001C0CE8" w:rsidRDefault="00BE4387" w:rsidP="00BE4387">
            <w:pPr>
              <w:jc w:val="center"/>
              <w:rPr>
                <w:color w:val="000000" w:themeColor="text1"/>
              </w:rPr>
            </w:pPr>
            <w:r w:rsidRPr="00576022">
              <w:t>−2.</w:t>
            </w:r>
            <w:r>
              <w:t>1</w:t>
            </w:r>
            <w:r w:rsidRPr="00E9401C">
              <w:rPr>
                <w:color w:val="FF0000"/>
              </w:rPr>
              <w:t>23</w:t>
            </w:r>
          </w:p>
        </w:tc>
        <w:tc>
          <w:tcPr>
            <w:tcW w:w="1086" w:type="dxa"/>
            <w:tcBorders>
              <w:top w:val="nil"/>
              <w:left w:val="nil"/>
              <w:bottom w:val="nil"/>
              <w:right w:val="nil"/>
            </w:tcBorders>
          </w:tcPr>
          <w:p w14:paraId="50744C53" w14:textId="4B92ED3D" w:rsidR="00BE4387" w:rsidRPr="001C0CE8" w:rsidRDefault="00BE4387" w:rsidP="00BE4387">
            <w:pPr>
              <w:jc w:val="center"/>
              <w:rPr>
                <w:color w:val="000000" w:themeColor="text1"/>
              </w:rPr>
            </w:pPr>
            <w:r w:rsidRPr="00576022">
              <w:t>.03</w:t>
            </w:r>
            <w:r w:rsidRPr="00E9401C">
              <w:rPr>
                <w:color w:val="FF0000"/>
              </w:rPr>
              <w:t>8</w:t>
            </w:r>
          </w:p>
        </w:tc>
        <w:tc>
          <w:tcPr>
            <w:tcW w:w="1848" w:type="dxa"/>
            <w:tcBorders>
              <w:top w:val="nil"/>
              <w:left w:val="nil"/>
              <w:bottom w:val="nil"/>
              <w:right w:val="nil"/>
            </w:tcBorders>
          </w:tcPr>
          <w:p w14:paraId="18A0EEFC" w14:textId="77777777" w:rsidR="00BE4387" w:rsidRPr="001C0CE8" w:rsidRDefault="00BE4387" w:rsidP="00BE4387">
            <w:pPr>
              <w:jc w:val="center"/>
              <w:rPr>
                <w:color w:val="000000" w:themeColor="text1"/>
              </w:rPr>
            </w:pPr>
          </w:p>
        </w:tc>
      </w:tr>
      <w:tr w:rsidR="00BE4387" w:rsidRPr="001C0CE8" w14:paraId="3B541C1C" w14:textId="77777777" w:rsidTr="0059513A">
        <w:tc>
          <w:tcPr>
            <w:tcW w:w="933" w:type="dxa"/>
            <w:tcBorders>
              <w:top w:val="nil"/>
              <w:left w:val="nil"/>
              <w:bottom w:val="single" w:sz="4" w:space="0" w:color="auto"/>
              <w:right w:val="nil"/>
            </w:tcBorders>
          </w:tcPr>
          <w:p w14:paraId="35794A2F" w14:textId="77777777" w:rsidR="00BE4387" w:rsidRPr="001C0CE8" w:rsidRDefault="00BE4387" w:rsidP="00BE4387">
            <w:pPr>
              <w:rPr>
                <w:color w:val="000000" w:themeColor="text1"/>
              </w:rPr>
            </w:pPr>
          </w:p>
        </w:tc>
        <w:tc>
          <w:tcPr>
            <w:tcW w:w="2788" w:type="dxa"/>
            <w:tcBorders>
              <w:top w:val="nil"/>
              <w:left w:val="nil"/>
              <w:bottom w:val="single" w:sz="4" w:space="0" w:color="auto"/>
              <w:right w:val="nil"/>
            </w:tcBorders>
          </w:tcPr>
          <w:p w14:paraId="22611938" w14:textId="5EA4089D" w:rsidR="00BE4387" w:rsidRPr="001C0CE8" w:rsidRDefault="00BE4387" w:rsidP="00BE4387">
            <w:pPr>
              <w:rPr>
                <w:color w:val="000000" w:themeColor="text1"/>
              </w:rPr>
            </w:pPr>
            <w:r w:rsidRPr="00576022">
              <w:t>High childhood irritability x ERN</w:t>
            </w:r>
          </w:p>
        </w:tc>
        <w:tc>
          <w:tcPr>
            <w:tcW w:w="804" w:type="dxa"/>
            <w:tcBorders>
              <w:top w:val="nil"/>
              <w:left w:val="nil"/>
              <w:bottom w:val="single" w:sz="4" w:space="0" w:color="auto"/>
              <w:right w:val="nil"/>
            </w:tcBorders>
          </w:tcPr>
          <w:p w14:paraId="02112FD2" w14:textId="3DD630DE" w:rsidR="00BE4387" w:rsidRPr="001C0CE8" w:rsidRDefault="00BE4387" w:rsidP="00BE4387">
            <w:pPr>
              <w:jc w:val="center"/>
              <w:rPr>
                <w:color w:val="000000" w:themeColor="text1"/>
              </w:rPr>
            </w:pPr>
            <w:r w:rsidRPr="00E9401C">
              <w:rPr>
                <w:color w:val="FF0000"/>
              </w:rPr>
              <w:t>.433</w:t>
            </w:r>
          </w:p>
        </w:tc>
        <w:tc>
          <w:tcPr>
            <w:tcW w:w="1123" w:type="dxa"/>
            <w:tcBorders>
              <w:top w:val="nil"/>
              <w:left w:val="nil"/>
              <w:bottom w:val="single" w:sz="4" w:space="0" w:color="auto"/>
              <w:right w:val="nil"/>
            </w:tcBorders>
          </w:tcPr>
          <w:p w14:paraId="686440C9" w14:textId="50EA8EDA" w:rsidR="00BE4387" w:rsidRPr="001C0CE8" w:rsidRDefault="00BE4387" w:rsidP="00BE4387">
            <w:pPr>
              <w:jc w:val="center"/>
              <w:rPr>
                <w:color w:val="000000" w:themeColor="text1"/>
              </w:rPr>
            </w:pPr>
            <w:r w:rsidRPr="00E9401C">
              <w:rPr>
                <w:color w:val="FF0000"/>
              </w:rPr>
              <w:t>.193</w:t>
            </w:r>
          </w:p>
        </w:tc>
        <w:tc>
          <w:tcPr>
            <w:tcW w:w="1068" w:type="dxa"/>
            <w:tcBorders>
              <w:top w:val="nil"/>
              <w:left w:val="nil"/>
              <w:bottom w:val="single" w:sz="4" w:space="0" w:color="auto"/>
              <w:right w:val="nil"/>
            </w:tcBorders>
          </w:tcPr>
          <w:p w14:paraId="69165362" w14:textId="5FF92997" w:rsidR="00BE4387" w:rsidRPr="001C0CE8" w:rsidRDefault="00BE4387" w:rsidP="00BE4387">
            <w:pPr>
              <w:jc w:val="center"/>
              <w:rPr>
                <w:color w:val="000000" w:themeColor="text1"/>
              </w:rPr>
            </w:pPr>
            <w:r w:rsidRPr="00576022">
              <w:t>2.</w:t>
            </w:r>
            <w:r w:rsidRPr="00E9401C">
              <w:rPr>
                <w:color w:val="FF0000"/>
              </w:rPr>
              <w:t>248</w:t>
            </w:r>
          </w:p>
        </w:tc>
        <w:tc>
          <w:tcPr>
            <w:tcW w:w="1086" w:type="dxa"/>
            <w:tcBorders>
              <w:top w:val="nil"/>
              <w:left w:val="nil"/>
              <w:bottom w:val="single" w:sz="4" w:space="0" w:color="auto"/>
              <w:right w:val="nil"/>
            </w:tcBorders>
          </w:tcPr>
          <w:p w14:paraId="1889CAD1" w14:textId="1FF8E23E" w:rsidR="00BE4387" w:rsidRPr="001C0CE8" w:rsidRDefault="00BE4387" w:rsidP="00BE4387">
            <w:pPr>
              <w:jc w:val="center"/>
              <w:rPr>
                <w:color w:val="000000" w:themeColor="text1"/>
              </w:rPr>
            </w:pPr>
            <w:r w:rsidRPr="00576022">
              <w:t>.0</w:t>
            </w:r>
            <w:r w:rsidRPr="00E9401C">
              <w:rPr>
                <w:color w:val="FF0000"/>
              </w:rPr>
              <w:t>28</w:t>
            </w:r>
          </w:p>
        </w:tc>
        <w:tc>
          <w:tcPr>
            <w:tcW w:w="1848" w:type="dxa"/>
            <w:tcBorders>
              <w:top w:val="nil"/>
              <w:left w:val="nil"/>
              <w:bottom w:val="single" w:sz="4" w:space="0" w:color="auto"/>
              <w:right w:val="nil"/>
            </w:tcBorders>
          </w:tcPr>
          <w:p w14:paraId="79368332" w14:textId="77777777" w:rsidR="00BE4387" w:rsidRPr="001C0CE8" w:rsidRDefault="00BE4387" w:rsidP="00BE4387">
            <w:pPr>
              <w:jc w:val="center"/>
              <w:rPr>
                <w:color w:val="000000" w:themeColor="text1"/>
              </w:rPr>
            </w:pPr>
          </w:p>
        </w:tc>
      </w:tr>
      <w:tr w:rsidR="00BE4387" w:rsidRPr="001C0CE8" w14:paraId="5B59FB45" w14:textId="77777777" w:rsidTr="0059513A">
        <w:tc>
          <w:tcPr>
            <w:tcW w:w="933" w:type="dxa"/>
            <w:tcBorders>
              <w:top w:val="single" w:sz="4" w:space="0" w:color="auto"/>
              <w:left w:val="nil"/>
              <w:bottom w:val="nil"/>
              <w:right w:val="nil"/>
            </w:tcBorders>
          </w:tcPr>
          <w:p w14:paraId="24C73D42" w14:textId="54C4D3D3" w:rsidR="00BE4387" w:rsidRPr="001C0CE8" w:rsidRDefault="00BE4387" w:rsidP="00BE4387">
            <w:pPr>
              <w:rPr>
                <w:color w:val="000000" w:themeColor="text1"/>
              </w:rPr>
            </w:pPr>
            <w:r w:rsidRPr="00576022">
              <w:t>2</w:t>
            </w:r>
          </w:p>
        </w:tc>
        <w:tc>
          <w:tcPr>
            <w:tcW w:w="2788" w:type="dxa"/>
            <w:tcBorders>
              <w:top w:val="single" w:sz="4" w:space="0" w:color="auto"/>
              <w:left w:val="nil"/>
              <w:bottom w:val="nil"/>
              <w:right w:val="nil"/>
            </w:tcBorders>
          </w:tcPr>
          <w:p w14:paraId="509CC783" w14:textId="77777777" w:rsidR="00BE4387" w:rsidRDefault="00BE4387" w:rsidP="00BE4387">
            <w:r w:rsidRPr="00576022">
              <w:t>High childhood irritability</w:t>
            </w:r>
          </w:p>
          <w:p w14:paraId="0A85D3B6" w14:textId="299EBB31" w:rsidR="00BE4387" w:rsidRPr="001C0CE8" w:rsidRDefault="00BE4387" w:rsidP="00BE4387">
            <w:pPr>
              <w:rPr>
                <w:color w:val="000000" w:themeColor="text1"/>
              </w:rPr>
            </w:pPr>
            <w:r>
              <w:t>(Arcsine transformed)</w:t>
            </w:r>
          </w:p>
        </w:tc>
        <w:tc>
          <w:tcPr>
            <w:tcW w:w="804" w:type="dxa"/>
            <w:tcBorders>
              <w:top w:val="single" w:sz="4" w:space="0" w:color="auto"/>
              <w:left w:val="nil"/>
              <w:bottom w:val="nil"/>
              <w:right w:val="nil"/>
            </w:tcBorders>
          </w:tcPr>
          <w:p w14:paraId="4B17B293" w14:textId="50CD83A4" w:rsidR="00BE4387" w:rsidRPr="001C0CE8" w:rsidRDefault="00BE4387" w:rsidP="00BE4387">
            <w:pPr>
              <w:jc w:val="center"/>
              <w:rPr>
                <w:color w:val="000000" w:themeColor="text1"/>
              </w:rPr>
            </w:pPr>
            <w:r w:rsidRPr="00E9401C">
              <w:rPr>
                <w:color w:val="FF0000"/>
              </w:rPr>
              <w:t>1.840</w:t>
            </w:r>
          </w:p>
        </w:tc>
        <w:tc>
          <w:tcPr>
            <w:tcW w:w="1123" w:type="dxa"/>
            <w:tcBorders>
              <w:top w:val="single" w:sz="4" w:space="0" w:color="auto"/>
              <w:left w:val="nil"/>
              <w:bottom w:val="nil"/>
              <w:right w:val="nil"/>
            </w:tcBorders>
          </w:tcPr>
          <w:p w14:paraId="672A99DA" w14:textId="6F4C5F27" w:rsidR="00BE4387" w:rsidRPr="001C0CE8" w:rsidRDefault="00BE4387" w:rsidP="00BE4387">
            <w:pPr>
              <w:jc w:val="center"/>
              <w:rPr>
                <w:color w:val="000000" w:themeColor="text1"/>
              </w:rPr>
            </w:pPr>
            <w:r w:rsidRPr="00576022">
              <w:t>.</w:t>
            </w:r>
            <w:r>
              <w:t>4</w:t>
            </w:r>
            <w:r w:rsidRPr="00E9401C">
              <w:rPr>
                <w:color w:val="FF0000"/>
              </w:rPr>
              <w:t>70</w:t>
            </w:r>
          </w:p>
        </w:tc>
        <w:tc>
          <w:tcPr>
            <w:tcW w:w="1068" w:type="dxa"/>
            <w:tcBorders>
              <w:top w:val="single" w:sz="4" w:space="0" w:color="auto"/>
              <w:left w:val="nil"/>
              <w:bottom w:val="nil"/>
              <w:right w:val="nil"/>
            </w:tcBorders>
          </w:tcPr>
          <w:p w14:paraId="685D21F9" w14:textId="5E8E11C3" w:rsidR="00BE4387" w:rsidRPr="001C0CE8" w:rsidRDefault="00BE4387" w:rsidP="00BE4387">
            <w:pPr>
              <w:jc w:val="center"/>
              <w:rPr>
                <w:color w:val="000000" w:themeColor="text1"/>
              </w:rPr>
            </w:pPr>
            <w:r w:rsidRPr="00E9401C">
              <w:rPr>
                <w:color w:val="FF0000"/>
              </w:rPr>
              <w:t>3.915</w:t>
            </w:r>
          </w:p>
        </w:tc>
        <w:tc>
          <w:tcPr>
            <w:tcW w:w="1086" w:type="dxa"/>
            <w:tcBorders>
              <w:top w:val="single" w:sz="4" w:space="0" w:color="auto"/>
              <w:left w:val="nil"/>
              <w:bottom w:val="nil"/>
              <w:right w:val="nil"/>
            </w:tcBorders>
          </w:tcPr>
          <w:p w14:paraId="57ED4F3B" w14:textId="0BB47407" w:rsidR="00BE4387" w:rsidRPr="001C0CE8" w:rsidRDefault="00BE4387" w:rsidP="00BE4387">
            <w:pPr>
              <w:jc w:val="center"/>
              <w:rPr>
                <w:color w:val="000000" w:themeColor="text1"/>
              </w:rPr>
            </w:pPr>
            <w:r w:rsidRPr="00576022">
              <w:t>.000</w:t>
            </w:r>
            <w:r w:rsidRPr="00E9401C">
              <w:rPr>
                <w:color w:val="FF0000"/>
              </w:rPr>
              <w:t>2</w:t>
            </w:r>
          </w:p>
        </w:tc>
        <w:tc>
          <w:tcPr>
            <w:tcW w:w="1848" w:type="dxa"/>
            <w:tcBorders>
              <w:top w:val="single" w:sz="4" w:space="0" w:color="auto"/>
              <w:left w:val="nil"/>
              <w:bottom w:val="nil"/>
              <w:right w:val="nil"/>
            </w:tcBorders>
          </w:tcPr>
          <w:p w14:paraId="46057B5A" w14:textId="6F5E0B4E" w:rsidR="00BE4387" w:rsidRPr="001C0CE8" w:rsidRDefault="00BE4387" w:rsidP="00BE4387">
            <w:pPr>
              <w:jc w:val="center"/>
              <w:rPr>
                <w:color w:val="000000" w:themeColor="text1"/>
              </w:rPr>
            </w:pPr>
            <w:r w:rsidRPr="00576022">
              <w:t>R</w:t>
            </w:r>
            <w:r w:rsidRPr="00576022">
              <w:rPr>
                <w:vertAlign w:val="superscript"/>
              </w:rPr>
              <w:t>2</w:t>
            </w:r>
            <w:r w:rsidRPr="00576022">
              <w:t>=.2</w:t>
            </w:r>
            <w:r w:rsidRPr="00E9401C">
              <w:rPr>
                <w:color w:val="FF0000"/>
              </w:rPr>
              <w:t>29</w:t>
            </w:r>
            <w:r w:rsidRPr="00576022">
              <w:t>,</w:t>
            </w:r>
            <w:r w:rsidRPr="00576022">
              <w:rPr>
                <w:i/>
                <w:iCs/>
              </w:rPr>
              <w:t>p</w:t>
            </w:r>
            <w:r w:rsidRPr="00576022">
              <w:t>&lt;.00</w:t>
            </w:r>
            <w:r w:rsidRPr="00E9401C">
              <w:rPr>
                <w:color w:val="FF0000"/>
              </w:rPr>
              <w:t>4</w:t>
            </w:r>
          </w:p>
        </w:tc>
      </w:tr>
      <w:tr w:rsidR="00BE4387" w:rsidRPr="001C0CE8" w14:paraId="503DDD48" w14:textId="77777777" w:rsidTr="0059513A">
        <w:tc>
          <w:tcPr>
            <w:tcW w:w="933" w:type="dxa"/>
            <w:tcBorders>
              <w:top w:val="nil"/>
              <w:left w:val="nil"/>
              <w:bottom w:val="nil"/>
              <w:right w:val="nil"/>
            </w:tcBorders>
          </w:tcPr>
          <w:p w14:paraId="26095C29" w14:textId="77777777" w:rsidR="00BE4387" w:rsidRPr="001C0CE8" w:rsidRDefault="00BE4387" w:rsidP="00BE4387">
            <w:pPr>
              <w:rPr>
                <w:color w:val="000000" w:themeColor="text1"/>
              </w:rPr>
            </w:pPr>
          </w:p>
        </w:tc>
        <w:tc>
          <w:tcPr>
            <w:tcW w:w="2788" w:type="dxa"/>
            <w:tcBorders>
              <w:top w:val="nil"/>
              <w:left w:val="nil"/>
              <w:bottom w:val="nil"/>
              <w:right w:val="nil"/>
            </w:tcBorders>
          </w:tcPr>
          <w:p w14:paraId="50215F6B" w14:textId="30297E93" w:rsidR="00BE4387" w:rsidRPr="001C0CE8" w:rsidRDefault="00BE4387" w:rsidP="00BE4387">
            <w:pPr>
              <w:rPr>
                <w:color w:val="000000" w:themeColor="text1"/>
              </w:rPr>
            </w:pPr>
            <w:r w:rsidRPr="00576022">
              <w:t>ERN</w:t>
            </w:r>
          </w:p>
        </w:tc>
        <w:tc>
          <w:tcPr>
            <w:tcW w:w="804" w:type="dxa"/>
            <w:tcBorders>
              <w:top w:val="nil"/>
              <w:left w:val="nil"/>
              <w:bottom w:val="nil"/>
              <w:right w:val="nil"/>
            </w:tcBorders>
          </w:tcPr>
          <w:p w14:paraId="2B567380" w14:textId="1765F6D9" w:rsidR="00BE4387" w:rsidRPr="001C0CE8" w:rsidRDefault="00BE4387" w:rsidP="00BE4387">
            <w:pPr>
              <w:jc w:val="center"/>
              <w:rPr>
                <w:color w:val="000000" w:themeColor="text1"/>
              </w:rPr>
            </w:pPr>
            <w:r w:rsidRPr="00576022">
              <w:t>−.1</w:t>
            </w:r>
            <w:r w:rsidRPr="00E9401C">
              <w:rPr>
                <w:color w:val="FF0000"/>
              </w:rPr>
              <w:t>41</w:t>
            </w:r>
          </w:p>
        </w:tc>
        <w:tc>
          <w:tcPr>
            <w:tcW w:w="1123" w:type="dxa"/>
            <w:tcBorders>
              <w:top w:val="nil"/>
              <w:left w:val="nil"/>
              <w:bottom w:val="nil"/>
              <w:right w:val="nil"/>
            </w:tcBorders>
          </w:tcPr>
          <w:p w14:paraId="2E99B0FF" w14:textId="606E0746" w:rsidR="00BE4387" w:rsidRPr="001C0CE8" w:rsidRDefault="00BE4387" w:rsidP="00BE4387">
            <w:pPr>
              <w:jc w:val="center"/>
              <w:rPr>
                <w:color w:val="000000" w:themeColor="text1"/>
              </w:rPr>
            </w:pPr>
            <w:r w:rsidRPr="00576022">
              <w:t>.0</w:t>
            </w:r>
            <w:r w:rsidRPr="00E9401C">
              <w:rPr>
                <w:color w:val="FF0000"/>
              </w:rPr>
              <w:t>65</w:t>
            </w:r>
          </w:p>
        </w:tc>
        <w:tc>
          <w:tcPr>
            <w:tcW w:w="1068" w:type="dxa"/>
            <w:tcBorders>
              <w:top w:val="nil"/>
              <w:left w:val="nil"/>
              <w:bottom w:val="nil"/>
              <w:right w:val="nil"/>
            </w:tcBorders>
          </w:tcPr>
          <w:p w14:paraId="5927E2A7" w14:textId="184BB1BA" w:rsidR="00BE4387" w:rsidRPr="001C0CE8" w:rsidRDefault="00BE4387" w:rsidP="00BE4387">
            <w:pPr>
              <w:jc w:val="center"/>
              <w:rPr>
                <w:color w:val="000000" w:themeColor="text1"/>
              </w:rPr>
            </w:pPr>
            <w:r w:rsidRPr="00576022">
              <w:t>−2.</w:t>
            </w:r>
            <w:r w:rsidRPr="00E9401C">
              <w:rPr>
                <w:color w:val="FF0000"/>
              </w:rPr>
              <w:t>171</w:t>
            </w:r>
          </w:p>
        </w:tc>
        <w:tc>
          <w:tcPr>
            <w:tcW w:w="1086" w:type="dxa"/>
            <w:tcBorders>
              <w:top w:val="nil"/>
              <w:left w:val="nil"/>
              <w:bottom w:val="nil"/>
              <w:right w:val="nil"/>
            </w:tcBorders>
          </w:tcPr>
          <w:p w14:paraId="6A2F0D76" w14:textId="04512BAC" w:rsidR="00BE4387" w:rsidRPr="001C0CE8" w:rsidRDefault="00BE4387" w:rsidP="00BE4387">
            <w:pPr>
              <w:jc w:val="center"/>
              <w:rPr>
                <w:color w:val="000000" w:themeColor="text1"/>
              </w:rPr>
            </w:pPr>
            <w:r w:rsidRPr="00576022">
              <w:t>.0</w:t>
            </w:r>
            <w:r w:rsidRPr="00E9401C">
              <w:rPr>
                <w:color w:val="FF0000"/>
              </w:rPr>
              <w:t>34</w:t>
            </w:r>
          </w:p>
        </w:tc>
        <w:tc>
          <w:tcPr>
            <w:tcW w:w="1848" w:type="dxa"/>
            <w:tcBorders>
              <w:top w:val="nil"/>
              <w:left w:val="nil"/>
              <w:bottom w:val="nil"/>
              <w:right w:val="nil"/>
            </w:tcBorders>
          </w:tcPr>
          <w:p w14:paraId="2A245E2E" w14:textId="77777777" w:rsidR="00BE4387" w:rsidRPr="001C0CE8" w:rsidRDefault="00BE4387" w:rsidP="00BE4387">
            <w:pPr>
              <w:jc w:val="center"/>
              <w:rPr>
                <w:color w:val="000000" w:themeColor="text1"/>
              </w:rPr>
            </w:pPr>
          </w:p>
        </w:tc>
      </w:tr>
      <w:tr w:rsidR="00BE4387" w:rsidRPr="001C0CE8" w14:paraId="7139071D" w14:textId="77777777" w:rsidTr="0059513A">
        <w:tc>
          <w:tcPr>
            <w:tcW w:w="933" w:type="dxa"/>
            <w:tcBorders>
              <w:top w:val="nil"/>
              <w:left w:val="nil"/>
              <w:bottom w:val="nil"/>
              <w:right w:val="nil"/>
            </w:tcBorders>
          </w:tcPr>
          <w:p w14:paraId="705EF370" w14:textId="77777777" w:rsidR="00BE4387" w:rsidRPr="001C0CE8" w:rsidRDefault="00BE4387" w:rsidP="00BE4387">
            <w:pPr>
              <w:rPr>
                <w:color w:val="000000" w:themeColor="text1"/>
              </w:rPr>
            </w:pPr>
          </w:p>
        </w:tc>
        <w:tc>
          <w:tcPr>
            <w:tcW w:w="2788" w:type="dxa"/>
            <w:tcBorders>
              <w:top w:val="nil"/>
              <w:left w:val="nil"/>
              <w:bottom w:val="nil"/>
              <w:right w:val="nil"/>
            </w:tcBorders>
          </w:tcPr>
          <w:p w14:paraId="05ADF931" w14:textId="121478A1" w:rsidR="00BE4387" w:rsidRPr="001C0CE8" w:rsidRDefault="00BE4387" w:rsidP="00BE4387">
            <w:pPr>
              <w:rPr>
                <w:color w:val="000000" w:themeColor="text1"/>
              </w:rPr>
            </w:pPr>
            <w:r w:rsidRPr="00576022">
              <w:t>High childhood irritability x ERN</w:t>
            </w:r>
          </w:p>
        </w:tc>
        <w:tc>
          <w:tcPr>
            <w:tcW w:w="804" w:type="dxa"/>
            <w:tcBorders>
              <w:top w:val="nil"/>
              <w:left w:val="nil"/>
              <w:bottom w:val="nil"/>
              <w:right w:val="nil"/>
            </w:tcBorders>
          </w:tcPr>
          <w:p w14:paraId="7E3D76AF" w14:textId="48FE4CD4" w:rsidR="00BE4387" w:rsidRPr="001C0CE8" w:rsidRDefault="00BE4387" w:rsidP="00BE4387">
            <w:pPr>
              <w:jc w:val="center"/>
              <w:rPr>
                <w:color w:val="000000" w:themeColor="text1"/>
              </w:rPr>
            </w:pPr>
            <w:r w:rsidRPr="00E9401C">
              <w:rPr>
                <w:color w:val="FF0000"/>
              </w:rPr>
              <w:t>.442</w:t>
            </w:r>
          </w:p>
        </w:tc>
        <w:tc>
          <w:tcPr>
            <w:tcW w:w="1123" w:type="dxa"/>
            <w:tcBorders>
              <w:top w:val="nil"/>
              <w:left w:val="nil"/>
              <w:bottom w:val="nil"/>
              <w:right w:val="nil"/>
            </w:tcBorders>
          </w:tcPr>
          <w:p w14:paraId="16FF0605" w14:textId="5C492D78" w:rsidR="00BE4387" w:rsidRPr="001C0CE8" w:rsidRDefault="00BE4387" w:rsidP="00BE4387">
            <w:pPr>
              <w:jc w:val="center"/>
              <w:rPr>
                <w:color w:val="000000" w:themeColor="text1"/>
              </w:rPr>
            </w:pPr>
            <w:r w:rsidRPr="00E9401C">
              <w:rPr>
                <w:color w:val="FF0000"/>
              </w:rPr>
              <w:t>.194</w:t>
            </w:r>
          </w:p>
        </w:tc>
        <w:tc>
          <w:tcPr>
            <w:tcW w:w="1068" w:type="dxa"/>
            <w:tcBorders>
              <w:top w:val="nil"/>
              <w:left w:val="nil"/>
              <w:bottom w:val="nil"/>
              <w:right w:val="nil"/>
            </w:tcBorders>
          </w:tcPr>
          <w:p w14:paraId="5096BDC4" w14:textId="1ABB460C" w:rsidR="00BE4387" w:rsidRPr="001C0CE8" w:rsidRDefault="00BE4387" w:rsidP="00BE4387">
            <w:pPr>
              <w:jc w:val="center"/>
              <w:rPr>
                <w:color w:val="000000" w:themeColor="text1"/>
              </w:rPr>
            </w:pPr>
            <w:r w:rsidRPr="00576022">
              <w:t>2.</w:t>
            </w:r>
            <w:r w:rsidRPr="00E9401C">
              <w:rPr>
                <w:color w:val="FF0000"/>
              </w:rPr>
              <w:t>276</w:t>
            </w:r>
          </w:p>
        </w:tc>
        <w:tc>
          <w:tcPr>
            <w:tcW w:w="1086" w:type="dxa"/>
            <w:tcBorders>
              <w:top w:val="nil"/>
              <w:left w:val="nil"/>
              <w:bottom w:val="nil"/>
              <w:right w:val="nil"/>
            </w:tcBorders>
          </w:tcPr>
          <w:p w14:paraId="41FADAC6" w14:textId="10BAF424" w:rsidR="00BE4387" w:rsidRPr="001C0CE8" w:rsidRDefault="00BE4387" w:rsidP="00BE4387">
            <w:pPr>
              <w:jc w:val="center"/>
              <w:rPr>
                <w:color w:val="000000" w:themeColor="text1"/>
              </w:rPr>
            </w:pPr>
            <w:r w:rsidRPr="00576022">
              <w:t>.0</w:t>
            </w:r>
            <w:r w:rsidRPr="00E9401C">
              <w:rPr>
                <w:color w:val="FF0000"/>
              </w:rPr>
              <w:t>27</w:t>
            </w:r>
          </w:p>
        </w:tc>
        <w:tc>
          <w:tcPr>
            <w:tcW w:w="1848" w:type="dxa"/>
            <w:tcBorders>
              <w:top w:val="nil"/>
              <w:left w:val="nil"/>
              <w:bottom w:val="nil"/>
              <w:right w:val="nil"/>
            </w:tcBorders>
          </w:tcPr>
          <w:p w14:paraId="4FA7BE36" w14:textId="77777777" w:rsidR="00BE4387" w:rsidRPr="001C0CE8" w:rsidRDefault="00BE4387" w:rsidP="00BE4387">
            <w:pPr>
              <w:jc w:val="center"/>
              <w:rPr>
                <w:color w:val="000000" w:themeColor="text1"/>
              </w:rPr>
            </w:pPr>
          </w:p>
        </w:tc>
      </w:tr>
      <w:tr w:rsidR="00BE4387" w:rsidRPr="001C0CE8" w14:paraId="42C62201" w14:textId="77777777" w:rsidTr="00CA543E">
        <w:tc>
          <w:tcPr>
            <w:tcW w:w="933" w:type="dxa"/>
            <w:tcBorders>
              <w:top w:val="nil"/>
              <w:left w:val="nil"/>
              <w:bottom w:val="nil"/>
              <w:right w:val="nil"/>
            </w:tcBorders>
          </w:tcPr>
          <w:p w14:paraId="33D2DA26" w14:textId="77777777" w:rsidR="00BE4387" w:rsidRPr="001C0CE8" w:rsidRDefault="00BE4387" w:rsidP="00BE4387">
            <w:pPr>
              <w:rPr>
                <w:color w:val="000000" w:themeColor="text1"/>
              </w:rPr>
            </w:pPr>
          </w:p>
        </w:tc>
        <w:tc>
          <w:tcPr>
            <w:tcW w:w="2788" w:type="dxa"/>
            <w:tcBorders>
              <w:top w:val="nil"/>
              <w:left w:val="nil"/>
              <w:bottom w:val="nil"/>
              <w:right w:val="nil"/>
            </w:tcBorders>
          </w:tcPr>
          <w:p w14:paraId="305CD323" w14:textId="55D91DC2" w:rsidR="00BE4387" w:rsidRPr="001C0CE8" w:rsidRDefault="00BE4387" w:rsidP="00BE4387">
            <w:pPr>
              <w:rPr>
                <w:color w:val="000000" w:themeColor="text1"/>
              </w:rPr>
            </w:pPr>
            <w:r w:rsidRPr="00576022">
              <w:rPr>
                <w:color w:val="000000"/>
              </w:rPr>
              <w:t>BI</w:t>
            </w:r>
          </w:p>
        </w:tc>
        <w:tc>
          <w:tcPr>
            <w:tcW w:w="804" w:type="dxa"/>
            <w:tcBorders>
              <w:top w:val="nil"/>
              <w:left w:val="nil"/>
              <w:bottom w:val="nil"/>
              <w:right w:val="nil"/>
            </w:tcBorders>
          </w:tcPr>
          <w:p w14:paraId="0A21E7F9" w14:textId="05D80623" w:rsidR="00BE4387" w:rsidRPr="001C0CE8" w:rsidRDefault="00BE4387" w:rsidP="00BE4387">
            <w:pPr>
              <w:jc w:val="center"/>
              <w:rPr>
                <w:color w:val="000000" w:themeColor="text1"/>
              </w:rPr>
            </w:pPr>
            <w:r w:rsidRPr="00E9401C">
              <w:rPr>
                <w:color w:val="FF0000"/>
              </w:rPr>
              <w:t>.196</w:t>
            </w:r>
          </w:p>
        </w:tc>
        <w:tc>
          <w:tcPr>
            <w:tcW w:w="1123" w:type="dxa"/>
            <w:tcBorders>
              <w:top w:val="nil"/>
              <w:left w:val="nil"/>
              <w:bottom w:val="nil"/>
              <w:right w:val="nil"/>
            </w:tcBorders>
          </w:tcPr>
          <w:p w14:paraId="3FAC04D7" w14:textId="2955F50A" w:rsidR="00BE4387" w:rsidRPr="001C0CE8" w:rsidRDefault="00BE4387" w:rsidP="00BE4387">
            <w:pPr>
              <w:jc w:val="center"/>
              <w:rPr>
                <w:color w:val="000000" w:themeColor="text1"/>
              </w:rPr>
            </w:pPr>
            <w:r w:rsidRPr="00E9401C">
              <w:rPr>
                <w:color w:val="FF0000"/>
              </w:rPr>
              <w:t>.324</w:t>
            </w:r>
          </w:p>
        </w:tc>
        <w:tc>
          <w:tcPr>
            <w:tcW w:w="1068" w:type="dxa"/>
            <w:tcBorders>
              <w:top w:val="nil"/>
              <w:left w:val="nil"/>
              <w:bottom w:val="nil"/>
              <w:right w:val="nil"/>
            </w:tcBorders>
          </w:tcPr>
          <w:p w14:paraId="22253D17" w14:textId="4600A498" w:rsidR="00BE4387" w:rsidRPr="001C0CE8" w:rsidRDefault="00BE4387" w:rsidP="00BE4387">
            <w:pPr>
              <w:jc w:val="center"/>
              <w:rPr>
                <w:color w:val="000000" w:themeColor="text1"/>
              </w:rPr>
            </w:pPr>
            <w:r w:rsidRPr="00E9401C">
              <w:rPr>
                <w:color w:val="FF0000"/>
              </w:rPr>
              <w:t>.605</w:t>
            </w:r>
          </w:p>
        </w:tc>
        <w:tc>
          <w:tcPr>
            <w:tcW w:w="1086" w:type="dxa"/>
            <w:tcBorders>
              <w:top w:val="nil"/>
              <w:left w:val="nil"/>
              <w:bottom w:val="nil"/>
              <w:right w:val="nil"/>
            </w:tcBorders>
          </w:tcPr>
          <w:p w14:paraId="29B6660C" w14:textId="0D390997" w:rsidR="00BE4387" w:rsidRPr="001C0CE8" w:rsidRDefault="00BE4387" w:rsidP="00BE4387">
            <w:pPr>
              <w:jc w:val="center"/>
              <w:rPr>
                <w:color w:val="000000" w:themeColor="text1"/>
              </w:rPr>
            </w:pPr>
            <w:r w:rsidRPr="00E9401C">
              <w:rPr>
                <w:color w:val="FF0000"/>
              </w:rPr>
              <w:t>.548</w:t>
            </w:r>
          </w:p>
        </w:tc>
        <w:tc>
          <w:tcPr>
            <w:tcW w:w="1848" w:type="dxa"/>
            <w:tcBorders>
              <w:top w:val="nil"/>
              <w:left w:val="nil"/>
              <w:bottom w:val="nil"/>
              <w:right w:val="nil"/>
            </w:tcBorders>
            <w:vAlign w:val="center"/>
          </w:tcPr>
          <w:p w14:paraId="1D4A3453" w14:textId="77777777" w:rsidR="00BE4387" w:rsidRPr="001C0CE8" w:rsidRDefault="00BE4387" w:rsidP="00BE4387">
            <w:pPr>
              <w:jc w:val="center"/>
              <w:rPr>
                <w:color w:val="000000" w:themeColor="text1"/>
              </w:rPr>
            </w:pPr>
          </w:p>
        </w:tc>
      </w:tr>
      <w:tr w:rsidR="0041630E" w:rsidRPr="001C0CE8" w14:paraId="28BA6184" w14:textId="77777777" w:rsidTr="0059513A">
        <w:tc>
          <w:tcPr>
            <w:tcW w:w="933" w:type="dxa"/>
            <w:tcBorders>
              <w:top w:val="nil"/>
              <w:left w:val="nil"/>
              <w:bottom w:val="single" w:sz="4" w:space="0" w:color="auto"/>
              <w:right w:val="nil"/>
            </w:tcBorders>
          </w:tcPr>
          <w:p w14:paraId="46134FA3" w14:textId="77777777" w:rsidR="0041630E" w:rsidRPr="001C0CE8" w:rsidRDefault="0041630E" w:rsidP="0059513A">
            <w:pPr>
              <w:rPr>
                <w:color w:val="000000" w:themeColor="text1"/>
              </w:rPr>
            </w:pPr>
          </w:p>
        </w:tc>
        <w:tc>
          <w:tcPr>
            <w:tcW w:w="2788" w:type="dxa"/>
            <w:tcBorders>
              <w:top w:val="nil"/>
              <w:left w:val="nil"/>
              <w:bottom w:val="single" w:sz="4" w:space="0" w:color="auto"/>
              <w:right w:val="nil"/>
            </w:tcBorders>
          </w:tcPr>
          <w:p w14:paraId="6DE300CC" w14:textId="77777777" w:rsidR="0041630E" w:rsidRPr="001C0CE8" w:rsidRDefault="0041630E" w:rsidP="0059513A">
            <w:pPr>
              <w:rPr>
                <w:color w:val="000000" w:themeColor="text1"/>
              </w:rPr>
            </w:pPr>
          </w:p>
        </w:tc>
        <w:tc>
          <w:tcPr>
            <w:tcW w:w="804" w:type="dxa"/>
            <w:tcBorders>
              <w:top w:val="nil"/>
              <w:left w:val="nil"/>
              <w:bottom w:val="single" w:sz="4" w:space="0" w:color="auto"/>
              <w:right w:val="nil"/>
            </w:tcBorders>
          </w:tcPr>
          <w:p w14:paraId="38A2711F" w14:textId="77777777" w:rsidR="0041630E" w:rsidRPr="001C0CE8" w:rsidRDefault="0041630E" w:rsidP="0059513A">
            <w:pPr>
              <w:jc w:val="center"/>
              <w:rPr>
                <w:color w:val="000000" w:themeColor="text1"/>
              </w:rPr>
            </w:pPr>
          </w:p>
        </w:tc>
        <w:tc>
          <w:tcPr>
            <w:tcW w:w="1123" w:type="dxa"/>
            <w:tcBorders>
              <w:top w:val="nil"/>
              <w:left w:val="nil"/>
              <w:bottom w:val="single" w:sz="4" w:space="0" w:color="auto"/>
              <w:right w:val="nil"/>
            </w:tcBorders>
          </w:tcPr>
          <w:p w14:paraId="4ADA7206" w14:textId="77777777" w:rsidR="0041630E" w:rsidRPr="001C0CE8" w:rsidRDefault="0041630E" w:rsidP="0059513A">
            <w:pPr>
              <w:jc w:val="center"/>
              <w:rPr>
                <w:color w:val="000000" w:themeColor="text1"/>
              </w:rPr>
            </w:pPr>
          </w:p>
        </w:tc>
        <w:tc>
          <w:tcPr>
            <w:tcW w:w="1068" w:type="dxa"/>
            <w:tcBorders>
              <w:top w:val="nil"/>
              <w:left w:val="nil"/>
              <w:bottom w:val="single" w:sz="4" w:space="0" w:color="auto"/>
              <w:right w:val="nil"/>
            </w:tcBorders>
          </w:tcPr>
          <w:p w14:paraId="39554020" w14:textId="77777777" w:rsidR="0041630E" w:rsidRPr="001C0CE8" w:rsidRDefault="0041630E" w:rsidP="0059513A">
            <w:pPr>
              <w:jc w:val="center"/>
              <w:rPr>
                <w:color w:val="000000" w:themeColor="text1"/>
              </w:rPr>
            </w:pPr>
          </w:p>
        </w:tc>
        <w:tc>
          <w:tcPr>
            <w:tcW w:w="1086" w:type="dxa"/>
            <w:tcBorders>
              <w:top w:val="nil"/>
              <w:left w:val="nil"/>
              <w:bottom w:val="single" w:sz="4" w:space="0" w:color="auto"/>
              <w:right w:val="nil"/>
            </w:tcBorders>
          </w:tcPr>
          <w:p w14:paraId="1689CD57" w14:textId="77777777" w:rsidR="0041630E" w:rsidRPr="001C0CE8" w:rsidRDefault="0041630E" w:rsidP="0059513A">
            <w:pPr>
              <w:jc w:val="center"/>
              <w:rPr>
                <w:color w:val="000000" w:themeColor="text1"/>
              </w:rPr>
            </w:pPr>
          </w:p>
        </w:tc>
        <w:tc>
          <w:tcPr>
            <w:tcW w:w="1848" w:type="dxa"/>
            <w:tcBorders>
              <w:top w:val="nil"/>
              <w:left w:val="nil"/>
              <w:bottom w:val="single" w:sz="4" w:space="0" w:color="auto"/>
              <w:right w:val="nil"/>
            </w:tcBorders>
          </w:tcPr>
          <w:p w14:paraId="3F97418C" w14:textId="77777777" w:rsidR="0041630E" w:rsidRPr="001C0CE8" w:rsidRDefault="0041630E" w:rsidP="0059513A">
            <w:pPr>
              <w:jc w:val="center"/>
              <w:rPr>
                <w:color w:val="000000" w:themeColor="text1"/>
              </w:rPr>
            </w:pPr>
          </w:p>
        </w:tc>
      </w:tr>
    </w:tbl>
    <w:p w14:paraId="113BCDA3" w14:textId="77777777" w:rsidR="0041630E" w:rsidRPr="001C0CE8" w:rsidRDefault="0041630E" w:rsidP="0041630E">
      <w:pPr>
        <w:rPr>
          <w:color w:val="000000" w:themeColor="text1"/>
        </w:rPr>
      </w:pPr>
    </w:p>
    <w:p w14:paraId="343C73EE" w14:textId="358C75FA" w:rsidR="0041630E" w:rsidRPr="001C0CE8" w:rsidRDefault="0041630E">
      <w:pPr>
        <w:rPr>
          <w:color w:val="000000" w:themeColor="text1"/>
        </w:rPr>
      </w:pPr>
    </w:p>
    <w:p w14:paraId="3C70BD8F" w14:textId="6C6F317E" w:rsidR="00D440AB" w:rsidRPr="003877CF" w:rsidRDefault="00D440AB" w:rsidP="00D440AB">
      <w:pPr>
        <w:rPr>
          <w:color w:val="000000" w:themeColor="text1"/>
        </w:rPr>
      </w:pPr>
      <w:r w:rsidRPr="001C0CE8">
        <w:rPr>
          <w:color w:val="000000" w:themeColor="text1"/>
        </w:rPr>
        <w:br w:type="page"/>
      </w:r>
    </w:p>
    <w:p w14:paraId="60E3AC14" w14:textId="5656D662" w:rsidR="00D440AB" w:rsidRPr="001C0CE8" w:rsidRDefault="003877CF" w:rsidP="00D440AB">
      <w:pPr>
        <w:rPr>
          <w:i/>
          <w:color w:val="000000" w:themeColor="text1"/>
        </w:rPr>
      </w:pPr>
      <w:r w:rsidRPr="003877CF">
        <w:rPr>
          <w:i/>
          <w:noProof/>
          <w:color w:val="000000" w:themeColor="text1"/>
        </w:rPr>
        <w:lastRenderedPageBreak/>
        <w:drawing>
          <wp:inline distT="0" distB="0" distL="0" distR="0" wp14:anchorId="5C6B5F6B" wp14:editId="78F474D0">
            <wp:extent cx="4005467" cy="303876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60006" cy="3080140"/>
                    </a:xfrm>
                    <a:prstGeom prst="rect">
                      <a:avLst/>
                    </a:prstGeom>
                  </pic:spPr>
                </pic:pic>
              </a:graphicData>
            </a:graphic>
          </wp:inline>
        </w:drawing>
      </w:r>
    </w:p>
    <w:p w14:paraId="763307CA" w14:textId="77777777" w:rsidR="00D440AB" w:rsidRPr="001C0CE8" w:rsidRDefault="00D440AB" w:rsidP="00D440AB">
      <w:pPr>
        <w:rPr>
          <w:i/>
          <w:color w:val="000000" w:themeColor="text1"/>
        </w:rPr>
      </w:pPr>
    </w:p>
    <w:p w14:paraId="316B8DA8" w14:textId="77777777" w:rsidR="00D440AB" w:rsidRPr="001C0CE8" w:rsidRDefault="00D440AB" w:rsidP="00D440AB">
      <w:pPr>
        <w:rPr>
          <w:i/>
          <w:color w:val="000000" w:themeColor="text1"/>
        </w:rPr>
      </w:pPr>
    </w:p>
    <w:p w14:paraId="59F52A04" w14:textId="77777777" w:rsidR="00D440AB" w:rsidRPr="001C0CE8" w:rsidRDefault="00D440AB" w:rsidP="00D440AB">
      <w:pPr>
        <w:rPr>
          <w:i/>
          <w:color w:val="000000" w:themeColor="text1"/>
        </w:rPr>
      </w:pPr>
    </w:p>
    <w:p w14:paraId="75570B96" w14:textId="6D907569" w:rsidR="00D440AB" w:rsidRPr="001C0CE8" w:rsidRDefault="00D440AB" w:rsidP="00D440AB">
      <w:pPr>
        <w:rPr>
          <w:color w:val="000000" w:themeColor="text1"/>
        </w:rPr>
      </w:pPr>
      <w:r w:rsidRPr="003877CF">
        <w:rPr>
          <w:i/>
          <w:color w:val="FF0000"/>
        </w:rPr>
        <w:t>Figure S3.</w:t>
      </w:r>
      <w:r w:rsidRPr="003877CF">
        <w:rPr>
          <w:color w:val="FF0000"/>
        </w:rPr>
        <w:t xml:space="preserve"> </w:t>
      </w:r>
      <w:r w:rsidRPr="001C0CE8">
        <w:rPr>
          <w:noProof/>
          <w:color w:val="000000" w:themeColor="text1"/>
        </w:rPr>
        <w:t xml:space="preserve">Depicts the moderating effect of ERN on risk for developing social anxiety. Each line depicts low/moderate/high ERNs as determined by dividing the data using mean +/- 1 standard deviation (SD). Moderate ERN represents mean ERN scores; Low ERN represents scores less than 1 SD below the mean; High ERN represents scores greater than 1 SD above the mean.  </w:t>
      </w:r>
    </w:p>
    <w:p w14:paraId="380A71E2" w14:textId="393643DB" w:rsidR="00D440AB" w:rsidRPr="001C0CE8" w:rsidRDefault="00D440AB" w:rsidP="00D440AB">
      <w:pPr>
        <w:rPr>
          <w:color w:val="000000" w:themeColor="text1"/>
        </w:rPr>
      </w:pPr>
    </w:p>
    <w:p w14:paraId="6366B9C7" w14:textId="77777777" w:rsidR="00D440AB" w:rsidRPr="001C0CE8" w:rsidRDefault="00D440AB" w:rsidP="00D440AB">
      <w:pPr>
        <w:rPr>
          <w:color w:val="000000" w:themeColor="text1"/>
        </w:rPr>
      </w:pPr>
    </w:p>
    <w:p w14:paraId="2EB955B2" w14:textId="77777777" w:rsidR="00D440AB" w:rsidRPr="001C0CE8" w:rsidRDefault="00D440AB" w:rsidP="00D440AB">
      <w:pPr>
        <w:rPr>
          <w:i/>
          <w:noProof/>
          <w:color w:val="000000" w:themeColor="text1"/>
        </w:rPr>
      </w:pPr>
    </w:p>
    <w:p w14:paraId="225189FC" w14:textId="77777777" w:rsidR="00D440AB" w:rsidRPr="001C0CE8" w:rsidRDefault="00D440AB" w:rsidP="00D440AB">
      <w:pPr>
        <w:rPr>
          <w:i/>
          <w:noProof/>
          <w:color w:val="000000" w:themeColor="text1"/>
        </w:rPr>
      </w:pPr>
    </w:p>
    <w:p w14:paraId="2BA6ADCD" w14:textId="77777777" w:rsidR="00D440AB" w:rsidRPr="001C0CE8" w:rsidRDefault="00D440AB" w:rsidP="00D440AB">
      <w:pPr>
        <w:rPr>
          <w:i/>
          <w:noProof/>
          <w:color w:val="000000" w:themeColor="text1"/>
        </w:rPr>
      </w:pPr>
    </w:p>
    <w:p w14:paraId="3FFBAAF5" w14:textId="77777777" w:rsidR="00D440AB" w:rsidRPr="001C0CE8" w:rsidRDefault="00D440AB" w:rsidP="00D440AB">
      <w:pPr>
        <w:rPr>
          <w:i/>
          <w:noProof/>
          <w:color w:val="000000" w:themeColor="text1"/>
        </w:rPr>
      </w:pPr>
    </w:p>
    <w:p w14:paraId="4DDCA60C" w14:textId="77777777" w:rsidR="00D440AB" w:rsidRPr="001C0CE8" w:rsidRDefault="00D440AB" w:rsidP="00D440AB">
      <w:pPr>
        <w:rPr>
          <w:i/>
          <w:noProof/>
          <w:color w:val="000000" w:themeColor="text1"/>
        </w:rPr>
      </w:pPr>
    </w:p>
    <w:p w14:paraId="105C4F5D" w14:textId="77777777" w:rsidR="00D440AB" w:rsidRPr="001C0CE8" w:rsidRDefault="00D440AB" w:rsidP="00D440AB">
      <w:pPr>
        <w:rPr>
          <w:i/>
          <w:noProof/>
          <w:color w:val="000000" w:themeColor="text1"/>
        </w:rPr>
      </w:pPr>
    </w:p>
    <w:p w14:paraId="38B1EF23" w14:textId="77777777" w:rsidR="00D440AB" w:rsidRPr="001C0CE8" w:rsidRDefault="00D440AB" w:rsidP="00D440AB">
      <w:pPr>
        <w:rPr>
          <w:i/>
          <w:noProof/>
          <w:color w:val="000000" w:themeColor="text1"/>
        </w:rPr>
      </w:pPr>
    </w:p>
    <w:p w14:paraId="3839D8A8" w14:textId="77777777" w:rsidR="00D440AB" w:rsidRPr="001C0CE8" w:rsidRDefault="00D440AB" w:rsidP="00D440AB">
      <w:pPr>
        <w:rPr>
          <w:i/>
          <w:noProof/>
          <w:color w:val="000000" w:themeColor="text1"/>
        </w:rPr>
      </w:pPr>
    </w:p>
    <w:p w14:paraId="7A33D927" w14:textId="77777777" w:rsidR="00D440AB" w:rsidRPr="001C0CE8" w:rsidRDefault="00D440AB" w:rsidP="00D440AB">
      <w:pPr>
        <w:rPr>
          <w:i/>
          <w:noProof/>
          <w:color w:val="000000" w:themeColor="text1"/>
        </w:rPr>
      </w:pPr>
    </w:p>
    <w:p w14:paraId="68EC5131" w14:textId="77777777" w:rsidR="00D440AB" w:rsidRPr="001C0CE8" w:rsidRDefault="00D440AB" w:rsidP="00D440AB">
      <w:pPr>
        <w:rPr>
          <w:i/>
          <w:noProof/>
          <w:color w:val="000000" w:themeColor="text1"/>
        </w:rPr>
      </w:pPr>
    </w:p>
    <w:p w14:paraId="47DF25EC" w14:textId="77777777" w:rsidR="00D440AB" w:rsidRPr="001C0CE8" w:rsidRDefault="00D440AB" w:rsidP="00D440AB">
      <w:pPr>
        <w:rPr>
          <w:i/>
          <w:noProof/>
          <w:color w:val="000000" w:themeColor="text1"/>
        </w:rPr>
      </w:pPr>
    </w:p>
    <w:p w14:paraId="4522D84C" w14:textId="77777777" w:rsidR="00D440AB" w:rsidRPr="001C0CE8" w:rsidRDefault="00D440AB" w:rsidP="00D440AB">
      <w:pPr>
        <w:rPr>
          <w:i/>
          <w:noProof/>
          <w:color w:val="000000" w:themeColor="text1"/>
        </w:rPr>
      </w:pPr>
    </w:p>
    <w:p w14:paraId="4A5E8612" w14:textId="77777777" w:rsidR="00D440AB" w:rsidRPr="001C0CE8" w:rsidRDefault="00D440AB" w:rsidP="00D440AB">
      <w:pPr>
        <w:rPr>
          <w:i/>
          <w:noProof/>
          <w:color w:val="000000" w:themeColor="text1"/>
        </w:rPr>
      </w:pPr>
    </w:p>
    <w:p w14:paraId="49E68962" w14:textId="0D08E4F0" w:rsidR="00D440AB" w:rsidRPr="001C0CE8" w:rsidRDefault="003877CF" w:rsidP="00D440AB">
      <w:pPr>
        <w:rPr>
          <w:i/>
          <w:noProof/>
          <w:color w:val="000000" w:themeColor="text1"/>
        </w:rPr>
      </w:pPr>
      <w:r w:rsidRPr="003877CF">
        <w:rPr>
          <w:i/>
          <w:noProof/>
          <w:color w:val="000000" w:themeColor="text1"/>
        </w:rPr>
        <w:lastRenderedPageBreak/>
        <w:drawing>
          <wp:inline distT="0" distB="0" distL="0" distR="0" wp14:anchorId="29437DB1" wp14:editId="58AE5250">
            <wp:extent cx="4491666" cy="3398982"/>
            <wp:effectExtent l="0" t="0" r="4445"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02222" cy="3406970"/>
                    </a:xfrm>
                    <a:prstGeom prst="rect">
                      <a:avLst/>
                    </a:prstGeom>
                  </pic:spPr>
                </pic:pic>
              </a:graphicData>
            </a:graphic>
          </wp:inline>
        </w:drawing>
      </w:r>
    </w:p>
    <w:p w14:paraId="5D602508" w14:textId="77777777" w:rsidR="00D440AB" w:rsidRPr="001C0CE8" w:rsidRDefault="00D440AB" w:rsidP="00D440AB">
      <w:pPr>
        <w:rPr>
          <w:i/>
          <w:noProof/>
          <w:color w:val="000000" w:themeColor="text1"/>
        </w:rPr>
      </w:pPr>
    </w:p>
    <w:p w14:paraId="76F1EC5E" w14:textId="235DB7C7" w:rsidR="00D440AB" w:rsidRPr="001C0CE8" w:rsidRDefault="00D440AB" w:rsidP="00D440AB">
      <w:pPr>
        <w:rPr>
          <w:noProof/>
          <w:color w:val="000000" w:themeColor="text1"/>
        </w:rPr>
      </w:pPr>
      <w:r w:rsidRPr="003877CF">
        <w:rPr>
          <w:i/>
          <w:noProof/>
          <w:color w:val="FF0000"/>
        </w:rPr>
        <w:t>Figure S4</w:t>
      </w:r>
      <w:r w:rsidRPr="003877CF">
        <w:rPr>
          <w:noProof/>
          <w:color w:val="FF0000"/>
        </w:rPr>
        <w:t xml:space="preserve">. </w:t>
      </w:r>
      <w:r w:rsidRPr="001C0CE8">
        <w:rPr>
          <w:noProof/>
          <w:color w:val="000000" w:themeColor="text1"/>
        </w:rPr>
        <w:t xml:space="preserve">Depicts the moderating effect of ERN on risk for exhibiting irritability symptoms at age 12. Each line depicts low/moderate/high ERNs as determined by dividing the data using mean +/- 1 standard deviation (SD). Moderate ERN represents mean ERN scores; Low ERN represents scores less than 1 SD below the mean; High ERN represents scores greater than 1 SD above the mean.  </w:t>
      </w:r>
    </w:p>
    <w:p w14:paraId="71D60B89" w14:textId="77777777" w:rsidR="00D440AB" w:rsidRPr="001C0CE8" w:rsidRDefault="00D440AB" w:rsidP="00D440AB">
      <w:pPr>
        <w:rPr>
          <w:color w:val="000000" w:themeColor="text1"/>
        </w:rPr>
      </w:pPr>
    </w:p>
    <w:p w14:paraId="26D517C2" w14:textId="77777777" w:rsidR="00D440AB" w:rsidRPr="001C0CE8" w:rsidRDefault="00D440AB">
      <w:pPr>
        <w:rPr>
          <w:color w:val="000000" w:themeColor="text1"/>
        </w:rPr>
      </w:pPr>
    </w:p>
    <w:p w14:paraId="419A7753" w14:textId="56698E24" w:rsidR="00D440AB" w:rsidRPr="001C0CE8" w:rsidRDefault="00D440AB" w:rsidP="00B47AC5">
      <w:pPr>
        <w:pStyle w:val="Bibliography"/>
        <w:spacing w:line="240" w:lineRule="auto"/>
        <w:rPr>
          <w:color w:val="000000" w:themeColor="text1"/>
        </w:rPr>
      </w:pPr>
      <w:r w:rsidRPr="001C0CE8">
        <w:rPr>
          <w:color w:val="000000" w:themeColor="text1"/>
        </w:rPr>
        <w:br w:type="page"/>
      </w:r>
    </w:p>
    <w:p w14:paraId="40CF7057" w14:textId="1E51C25F" w:rsidR="00C807C3" w:rsidRPr="001C0CE8" w:rsidRDefault="00F53134" w:rsidP="002E0D07">
      <w:pPr>
        <w:jc w:val="center"/>
        <w:rPr>
          <w:color w:val="000000" w:themeColor="text1"/>
        </w:rPr>
      </w:pPr>
      <w:r w:rsidRPr="001C0CE8">
        <w:rPr>
          <w:color w:val="000000" w:themeColor="text1"/>
        </w:rPr>
        <w:lastRenderedPageBreak/>
        <w:t>Supporting Information References</w:t>
      </w:r>
    </w:p>
    <w:p w14:paraId="509FF729" w14:textId="23D9B790" w:rsidR="00C807C3" w:rsidRPr="001C0CE8" w:rsidRDefault="00C807C3">
      <w:pPr>
        <w:rPr>
          <w:i/>
          <w:color w:val="000000" w:themeColor="text1"/>
        </w:rPr>
      </w:pPr>
    </w:p>
    <w:p w14:paraId="3575C388" w14:textId="5D6C2675" w:rsidR="003877CF" w:rsidRPr="002363E9" w:rsidRDefault="00C807C3" w:rsidP="0016037A">
      <w:pPr>
        <w:ind w:left="720" w:hanging="720"/>
        <w:rPr>
          <w:color w:val="222222"/>
          <w:shd w:val="clear" w:color="auto" w:fill="FFFFFF"/>
        </w:rPr>
      </w:pPr>
      <w:r w:rsidRPr="001C0CE8">
        <w:rPr>
          <w:color w:val="222222"/>
          <w:shd w:val="clear" w:color="auto" w:fill="FFFFFF"/>
        </w:rPr>
        <w:t xml:space="preserve">Fox, N. A., </w:t>
      </w:r>
      <w:proofErr w:type="spellStart"/>
      <w:r w:rsidRPr="001C0CE8">
        <w:rPr>
          <w:color w:val="222222"/>
          <w:shd w:val="clear" w:color="auto" w:fill="FFFFFF"/>
        </w:rPr>
        <w:t>Snidman</w:t>
      </w:r>
      <w:proofErr w:type="spellEnd"/>
      <w:r w:rsidRPr="001C0CE8">
        <w:rPr>
          <w:color w:val="222222"/>
          <w:shd w:val="clear" w:color="auto" w:fill="FFFFFF"/>
        </w:rPr>
        <w:t>, N., Haas, S. A., Degnan, K. A., &amp; Kagan, J. (2015). The relations between reactivity at 4 months and behavioral inhibition in the second year: Replication across three independent samples. </w:t>
      </w:r>
      <w:r w:rsidRPr="001C0CE8">
        <w:rPr>
          <w:i/>
          <w:iCs/>
          <w:color w:val="222222"/>
          <w:shd w:val="clear" w:color="auto" w:fill="FFFFFF"/>
        </w:rPr>
        <w:t>Infancy</w:t>
      </w:r>
      <w:r w:rsidRPr="001C0CE8">
        <w:rPr>
          <w:color w:val="222222"/>
          <w:shd w:val="clear" w:color="auto" w:fill="FFFFFF"/>
        </w:rPr>
        <w:t>, </w:t>
      </w:r>
      <w:r w:rsidRPr="001C0CE8">
        <w:rPr>
          <w:i/>
          <w:iCs/>
          <w:color w:val="222222"/>
          <w:shd w:val="clear" w:color="auto" w:fill="FFFFFF"/>
        </w:rPr>
        <w:t>20</w:t>
      </w:r>
      <w:r w:rsidRPr="001C0CE8">
        <w:rPr>
          <w:color w:val="222222"/>
          <w:shd w:val="clear" w:color="auto" w:fill="FFFFFF"/>
        </w:rPr>
        <w:t>(1), 98-114.</w:t>
      </w:r>
      <w:r w:rsidRPr="001C0CE8">
        <w:t xml:space="preserve"> </w:t>
      </w:r>
      <w:r w:rsidRPr="002363E9">
        <w:rPr>
          <w:color w:val="222222"/>
          <w:shd w:val="clear" w:color="auto" w:fill="FFFFFF"/>
        </w:rPr>
        <w:t>https://doi.org/10.1111/infa.12063</w:t>
      </w:r>
    </w:p>
    <w:p w14:paraId="6675C301" w14:textId="77777777" w:rsidR="0016037A" w:rsidRDefault="0016037A" w:rsidP="0016037A">
      <w:pPr>
        <w:pStyle w:val="Bibliography"/>
        <w:spacing w:line="240" w:lineRule="auto"/>
        <w:rPr>
          <w:color w:val="000000" w:themeColor="text1"/>
        </w:rPr>
      </w:pPr>
    </w:p>
    <w:p w14:paraId="3075D901" w14:textId="58F5BD8E" w:rsidR="0016037A" w:rsidRPr="0016037A" w:rsidRDefault="0016037A" w:rsidP="0016037A">
      <w:pPr>
        <w:pStyle w:val="Bibliography"/>
        <w:spacing w:line="240" w:lineRule="auto"/>
        <w:rPr>
          <w:color w:val="000000"/>
        </w:rPr>
      </w:pPr>
      <w:r w:rsidRPr="0016037A">
        <w:rPr>
          <w:color w:val="000000" w:themeColor="text1"/>
        </w:rPr>
        <w:fldChar w:fldCharType="begin"/>
      </w:r>
      <w:r w:rsidRPr="0016037A">
        <w:rPr>
          <w:color w:val="000000" w:themeColor="text1"/>
        </w:rPr>
        <w:instrText xml:space="preserve"> ADDIN ZOTERO_BIBL {"uncited":[],"omitted":[],"custom":[]} CSL_BIBLIOGRAPHY </w:instrText>
      </w:r>
      <w:r w:rsidRPr="0016037A">
        <w:rPr>
          <w:color w:val="000000" w:themeColor="text1"/>
        </w:rPr>
        <w:fldChar w:fldCharType="separate"/>
      </w:r>
      <w:r w:rsidRPr="0016037A">
        <w:rPr>
          <w:color w:val="000000"/>
        </w:rPr>
        <w:t xml:space="preserve">Buzzell, G. A., Troller-Renfree, S. V., Barker, T. V., Bowman, L. C., Chronis-Tuscano, A., Henderson, H. A., Kagan, J., Pine, D. S., &amp; Fox, N. A. (2017). A Neurobehavioral Mechanism Linking Behaviorally Inhibited Temperament and Later Adolescent Social Anxiety. </w:t>
      </w:r>
      <w:r w:rsidRPr="0016037A">
        <w:rPr>
          <w:i/>
          <w:iCs/>
          <w:color w:val="000000"/>
        </w:rPr>
        <w:t>Journal of the American Academy of Child and Adolescent Psychiatry</w:t>
      </w:r>
      <w:r w:rsidRPr="0016037A">
        <w:rPr>
          <w:color w:val="000000"/>
        </w:rPr>
        <w:t xml:space="preserve">, </w:t>
      </w:r>
      <w:r w:rsidRPr="0016037A">
        <w:rPr>
          <w:i/>
          <w:iCs/>
          <w:color w:val="000000"/>
        </w:rPr>
        <w:t>56</w:t>
      </w:r>
      <w:r w:rsidRPr="0016037A">
        <w:rPr>
          <w:color w:val="000000"/>
        </w:rPr>
        <w:t>(12), 1097–1105. https://doi.org/10.1016/j.jaac.2017.10.007</w:t>
      </w:r>
    </w:p>
    <w:p w14:paraId="41DB0248" w14:textId="77777777" w:rsidR="0016037A" w:rsidRPr="0016037A" w:rsidRDefault="0016037A" w:rsidP="0016037A">
      <w:pPr>
        <w:pStyle w:val="Bibliography"/>
        <w:spacing w:line="240" w:lineRule="auto"/>
        <w:rPr>
          <w:color w:val="000000"/>
        </w:rPr>
      </w:pPr>
    </w:p>
    <w:p w14:paraId="3412D175" w14:textId="4EC6F612" w:rsidR="0016037A" w:rsidRPr="0016037A" w:rsidRDefault="0016037A" w:rsidP="0016037A">
      <w:pPr>
        <w:pStyle w:val="Bibliography"/>
        <w:spacing w:line="240" w:lineRule="auto"/>
        <w:rPr>
          <w:color w:val="000000"/>
        </w:rPr>
      </w:pPr>
      <w:r w:rsidRPr="0016037A">
        <w:rPr>
          <w:color w:val="000000"/>
        </w:rPr>
        <w:t xml:space="preserve">Filippi, C. A., Subar, A. R., Sachs, J. F., Kircanski, K., Buzzell, G., Pagliaccio, D., Abend, R., Fox, N. A., Leibenluft, E., &amp; Pine, D. S. (2020). Developmental pathways to social anxiety and irritability: The role of the ERN. </w:t>
      </w:r>
      <w:r w:rsidRPr="0016037A">
        <w:rPr>
          <w:i/>
          <w:iCs/>
          <w:color w:val="000000"/>
        </w:rPr>
        <w:t>Development and Psychopathology</w:t>
      </w:r>
      <w:r w:rsidRPr="0016037A">
        <w:rPr>
          <w:color w:val="000000"/>
        </w:rPr>
        <w:t xml:space="preserve">, </w:t>
      </w:r>
      <w:r w:rsidRPr="0016037A">
        <w:rPr>
          <w:i/>
          <w:iCs/>
          <w:color w:val="000000"/>
        </w:rPr>
        <w:t>32</w:t>
      </w:r>
      <w:r w:rsidRPr="0016037A">
        <w:rPr>
          <w:color w:val="000000"/>
        </w:rPr>
        <w:t>(3), 897–907. https://doi.org/10.1017/S0954579419001329</w:t>
      </w:r>
    </w:p>
    <w:p w14:paraId="48FC533A" w14:textId="50FA4407" w:rsidR="003877CF" w:rsidRPr="00F53134" w:rsidRDefault="0016037A" w:rsidP="0016037A">
      <w:pPr>
        <w:ind w:left="720" w:hanging="720"/>
      </w:pPr>
      <w:r w:rsidRPr="0016037A">
        <w:rPr>
          <w:color w:val="000000" w:themeColor="text1"/>
        </w:rPr>
        <w:fldChar w:fldCharType="end"/>
      </w:r>
    </w:p>
    <w:p w14:paraId="58E25F12" w14:textId="77777777" w:rsidR="00C807C3" w:rsidRPr="00F53134" w:rsidRDefault="00C807C3" w:rsidP="00C807C3"/>
    <w:p w14:paraId="7263D6B7" w14:textId="77777777" w:rsidR="00C807C3" w:rsidRPr="00F53134" w:rsidRDefault="00C807C3">
      <w:pPr>
        <w:rPr>
          <w:i/>
          <w:color w:val="000000" w:themeColor="text1"/>
        </w:rPr>
      </w:pPr>
    </w:p>
    <w:sectPr w:rsidR="00C807C3" w:rsidRPr="00F53134" w:rsidSect="00787D0C">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5826EE" w14:textId="77777777" w:rsidR="004861BF" w:rsidRDefault="004861BF">
      <w:r>
        <w:separator/>
      </w:r>
    </w:p>
  </w:endnote>
  <w:endnote w:type="continuationSeparator" w:id="0">
    <w:p w14:paraId="261C191E" w14:textId="77777777" w:rsidR="004861BF" w:rsidRDefault="0048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79960048"/>
      <w:docPartObj>
        <w:docPartGallery w:val="Page Numbers (Bottom of Page)"/>
        <w:docPartUnique/>
      </w:docPartObj>
    </w:sdtPr>
    <w:sdtEndPr>
      <w:rPr>
        <w:rStyle w:val="PageNumber"/>
      </w:rPr>
    </w:sdtEndPr>
    <w:sdtContent>
      <w:p w14:paraId="722D35CB" w14:textId="77777777" w:rsidR="009522F1" w:rsidRDefault="000C08D8" w:rsidP="00E64FE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75A5AE" w14:textId="77777777" w:rsidR="009522F1" w:rsidRDefault="004861BF" w:rsidP="007C56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82115606"/>
      <w:docPartObj>
        <w:docPartGallery w:val="Page Numbers (Bottom of Page)"/>
        <w:docPartUnique/>
      </w:docPartObj>
    </w:sdtPr>
    <w:sdtEndPr>
      <w:rPr>
        <w:rStyle w:val="PageNumber"/>
      </w:rPr>
    </w:sdtEndPr>
    <w:sdtContent>
      <w:p w14:paraId="758D5F03" w14:textId="370D82E6" w:rsidR="009522F1" w:rsidRDefault="000C08D8" w:rsidP="00E64FE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C0CE8">
          <w:rPr>
            <w:rStyle w:val="PageNumber"/>
            <w:noProof/>
          </w:rPr>
          <w:t>14</w:t>
        </w:r>
        <w:r>
          <w:rPr>
            <w:rStyle w:val="PageNumber"/>
          </w:rPr>
          <w:fldChar w:fldCharType="end"/>
        </w:r>
      </w:p>
    </w:sdtContent>
  </w:sdt>
  <w:p w14:paraId="4B82E49C" w14:textId="77777777" w:rsidR="009522F1" w:rsidRDefault="004861BF" w:rsidP="00787D0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6553162"/>
      <w:docPartObj>
        <w:docPartGallery w:val="Page Numbers (Bottom of Page)"/>
        <w:docPartUnique/>
      </w:docPartObj>
    </w:sdtPr>
    <w:sdtEndPr>
      <w:rPr>
        <w:noProof/>
      </w:rPr>
    </w:sdtEndPr>
    <w:sdtContent>
      <w:p w14:paraId="24BF7CC4" w14:textId="453763BA" w:rsidR="00E50648" w:rsidRDefault="00E50648">
        <w:pPr>
          <w:pStyle w:val="Footer"/>
          <w:jc w:val="right"/>
        </w:pPr>
        <w:r>
          <w:fldChar w:fldCharType="begin"/>
        </w:r>
        <w:r>
          <w:instrText xml:space="preserve"> PAGE   \* MERGEFORMAT </w:instrText>
        </w:r>
        <w:r>
          <w:fldChar w:fldCharType="separate"/>
        </w:r>
        <w:r w:rsidR="001C0CE8">
          <w:rPr>
            <w:noProof/>
          </w:rPr>
          <w:t>1</w:t>
        </w:r>
        <w:r>
          <w:rPr>
            <w:noProof/>
          </w:rPr>
          <w:fldChar w:fldCharType="end"/>
        </w:r>
      </w:p>
    </w:sdtContent>
  </w:sdt>
  <w:p w14:paraId="746368FC" w14:textId="77777777" w:rsidR="00E50648" w:rsidRDefault="00E50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EC2D05" w14:textId="77777777" w:rsidR="004861BF" w:rsidRDefault="004861BF">
      <w:r>
        <w:separator/>
      </w:r>
    </w:p>
  </w:footnote>
  <w:footnote w:type="continuationSeparator" w:id="0">
    <w:p w14:paraId="13257163" w14:textId="77777777" w:rsidR="004861BF" w:rsidRDefault="00486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77456" w14:textId="77777777" w:rsidR="004F272E" w:rsidRDefault="000C08D8">
    <w:pPr>
      <w:pStyle w:val="Header"/>
    </w:pPr>
    <w:r>
      <w:t>PATHWAYS TO SOCIAL ANXIETY AND IRRITABILITY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B8E6F" w14:textId="77777777" w:rsidR="004F272E" w:rsidRDefault="000C08D8" w:rsidP="004F272E">
    <w:pPr>
      <w:pStyle w:val="Header"/>
    </w:pPr>
    <w:r>
      <w:t>Running Head: PATHWAYS TO SOCIAL ANXIETY AND IRRITABILITY</w:t>
    </w:r>
  </w:p>
  <w:p w14:paraId="07E41D42" w14:textId="77777777" w:rsidR="004F272E" w:rsidRDefault="0048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8D8"/>
    <w:rsid w:val="0004529B"/>
    <w:rsid w:val="00051195"/>
    <w:rsid w:val="000B2B54"/>
    <w:rsid w:val="000C08D8"/>
    <w:rsid w:val="000C61DD"/>
    <w:rsid w:val="0016037A"/>
    <w:rsid w:val="00192E34"/>
    <w:rsid w:val="001C0CE8"/>
    <w:rsid w:val="001E7323"/>
    <w:rsid w:val="002052EE"/>
    <w:rsid w:val="00210989"/>
    <w:rsid w:val="002363E9"/>
    <w:rsid w:val="00282A85"/>
    <w:rsid w:val="002902AD"/>
    <w:rsid w:val="002E0D07"/>
    <w:rsid w:val="002F439A"/>
    <w:rsid w:val="003877CF"/>
    <w:rsid w:val="003E081B"/>
    <w:rsid w:val="0041630E"/>
    <w:rsid w:val="004861BF"/>
    <w:rsid w:val="004D6A1B"/>
    <w:rsid w:val="004F0C37"/>
    <w:rsid w:val="004F3D4C"/>
    <w:rsid w:val="005012F4"/>
    <w:rsid w:val="00521538"/>
    <w:rsid w:val="005425E5"/>
    <w:rsid w:val="005536AF"/>
    <w:rsid w:val="005B56BD"/>
    <w:rsid w:val="005C69D2"/>
    <w:rsid w:val="00652DDD"/>
    <w:rsid w:val="00664A9A"/>
    <w:rsid w:val="006E69D9"/>
    <w:rsid w:val="007F0059"/>
    <w:rsid w:val="00833F1C"/>
    <w:rsid w:val="00864989"/>
    <w:rsid w:val="0087062B"/>
    <w:rsid w:val="008A680D"/>
    <w:rsid w:val="008E04BC"/>
    <w:rsid w:val="00914D70"/>
    <w:rsid w:val="00944BD6"/>
    <w:rsid w:val="00945ACD"/>
    <w:rsid w:val="009A0EDF"/>
    <w:rsid w:val="009E4A26"/>
    <w:rsid w:val="009F27E7"/>
    <w:rsid w:val="00A5157F"/>
    <w:rsid w:val="00AB2D74"/>
    <w:rsid w:val="00AD48E3"/>
    <w:rsid w:val="00B47AC5"/>
    <w:rsid w:val="00BB4396"/>
    <w:rsid w:val="00BD67EA"/>
    <w:rsid w:val="00BE4387"/>
    <w:rsid w:val="00C04039"/>
    <w:rsid w:val="00C653E2"/>
    <w:rsid w:val="00C807C3"/>
    <w:rsid w:val="00C910CF"/>
    <w:rsid w:val="00C963B8"/>
    <w:rsid w:val="00CB6663"/>
    <w:rsid w:val="00CE4473"/>
    <w:rsid w:val="00D060AC"/>
    <w:rsid w:val="00D11B26"/>
    <w:rsid w:val="00D400CD"/>
    <w:rsid w:val="00D440AB"/>
    <w:rsid w:val="00D46464"/>
    <w:rsid w:val="00D724F9"/>
    <w:rsid w:val="00DB696E"/>
    <w:rsid w:val="00DF1634"/>
    <w:rsid w:val="00E348B0"/>
    <w:rsid w:val="00E50648"/>
    <w:rsid w:val="00EE6E9F"/>
    <w:rsid w:val="00EE79EA"/>
    <w:rsid w:val="00EF578B"/>
    <w:rsid w:val="00F002EB"/>
    <w:rsid w:val="00F257AF"/>
    <w:rsid w:val="00F53134"/>
    <w:rsid w:val="00F63871"/>
    <w:rsid w:val="00F74B92"/>
    <w:rsid w:val="00FA38A2"/>
    <w:rsid w:val="00FB3428"/>
    <w:rsid w:val="00FC2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A3150"/>
  <w14:defaultImageDpi w14:val="32767"/>
  <w15:chartTrackingRefBased/>
  <w15:docId w15:val="{D487C913-1D57-1D4A-8C29-0ADE64870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8D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8D8"/>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0C08D8"/>
    <w:rPr>
      <w:rFonts w:ascii="Times New Roman" w:hAnsi="Times New Roman" w:cs="Times New Roman"/>
    </w:rPr>
  </w:style>
  <w:style w:type="paragraph" w:styleId="Footer">
    <w:name w:val="footer"/>
    <w:basedOn w:val="Normal"/>
    <w:link w:val="FooterChar"/>
    <w:uiPriority w:val="99"/>
    <w:unhideWhenUsed/>
    <w:rsid w:val="000C08D8"/>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0C08D8"/>
    <w:rPr>
      <w:rFonts w:ascii="Times New Roman" w:hAnsi="Times New Roman" w:cs="Times New Roman"/>
    </w:rPr>
  </w:style>
  <w:style w:type="paragraph" w:styleId="NormalWeb">
    <w:name w:val="Normal (Web)"/>
    <w:basedOn w:val="Normal"/>
    <w:uiPriority w:val="99"/>
    <w:semiHidden/>
    <w:unhideWhenUsed/>
    <w:rsid w:val="000C08D8"/>
    <w:pPr>
      <w:spacing w:before="100" w:beforeAutospacing="1" w:after="100" w:afterAutospacing="1"/>
    </w:pPr>
    <w:rPr>
      <w:rFonts w:eastAsiaTheme="minorEastAsia"/>
    </w:rPr>
  </w:style>
  <w:style w:type="character" w:styleId="PageNumber">
    <w:name w:val="page number"/>
    <w:basedOn w:val="DefaultParagraphFont"/>
    <w:uiPriority w:val="99"/>
    <w:semiHidden/>
    <w:unhideWhenUsed/>
    <w:rsid w:val="000C08D8"/>
  </w:style>
  <w:style w:type="table" w:styleId="TableGrid">
    <w:name w:val="Table Grid"/>
    <w:basedOn w:val="TableNormal"/>
    <w:uiPriority w:val="39"/>
    <w:rsid w:val="00045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27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7E7"/>
    <w:rPr>
      <w:rFonts w:ascii="Segoe UI" w:eastAsia="Times New Roman" w:hAnsi="Segoe UI" w:cs="Segoe UI"/>
      <w:sz w:val="18"/>
      <w:szCs w:val="18"/>
    </w:rPr>
  </w:style>
  <w:style w:type="character" w:styleId="Hyperlink">
    <w:name w:val="Hyperlink"/>
    <w:basedOn w:val="DefaultParagraphFont"/>
    <w:uiPriority w:val="99"/>
    <w:semiHidden/>
    <w:unhideWhenUsed/>
    <w:rsid w:val="00C807C3"/>
    <w:rPr>
      <w:color w:val="0000FF"/>
      <w:u w:val="single"/>
    </w:rPr>
  </w:style>
  <w:style w:type="character" w:styleId="CommentReference">
    <w:name w:val="annotation reference"/>
    <w:basedOn w:val="DefaultParagraphFont"/>
    <w:uiPriority w:val="99"/>
    <w:semiHidden/>
    <w:unhideWhenUsed/>
    <w:rsid w:val="00D46464"/>
    <w:rPr>
      <w:sz w:val="16"/>
      <w:szCs w:val="16"/>
    </w:rPr>
  </w:style>
  <w:style w:type="paragraph" w:styleId="CommentText">
    <w:name w:val="annotation text"/>
    <w:basedOn w:val="Normal"/>
    <w:link w:val="CommentTextChar"/>
    <w:uiPriority w:val="99"/>
    <w:semiHidden/>
    <w:unhideWhenUsed/>
    <w:rsid w:val="00D46464"/>
    <w:rPr>
      <w:sz w:val="20"/>
      <w:szCs w:val="20"/>
    </w:rPr>
  </w:style>
  <w:style w:type="character" w:customStyle="1" w:styleId="CommentTextChar">
    <w:name w:val="Comment Text Char"/>
    <w:basedOn w:val="DefaultParagraphFont"/>
    <w:link w:val="CommentText"/>
    <w:uiPriority w:val="99"/>
    <w:semiHidden/>
    <w:rsid w:val="00D4646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6464"/>
    <w:rPr>
      <w:b/>
      <w:bCs/>
    </w:rPr>
  </w:style>
  <w:style w:type="character" w:customStyle="1" w:styleId="CommentSubjectChar">
    <w:name w:val="Comment Subject Char"/>
    <w:basedOn w:val="CommentTextChar"/>
    <w:link w:val="CommentSubject"/>
    <w:uiPriority w:val="99"/>
    <w:semiHidden/>
    <w:rsid w:val="00D46464"/>
    <w:rPr>
      <w:rFonts w:ascii="Times New Roman" w:eastAsia="Times New Roman" w:hAnsi="Times New Roman" w:cs="Times New Roman"/>
      <w:b/>
      <w:bCs/>
      <w:sz w:val="20"/>
      <w:szCs w:val="20"/>
    </w:rPr>
  </w:style>
  <w:style w:type="paragraph" w:styleId="Bibliography">
    <w:name w:val="Bibliography"/>
    <w:basedOn w:val="Normal"/>
    <w:next w:val="Normal"/>
    <w:uiPriority w:val="37"/>
    <w:unhideWhenUsed/>
    <w:rsid w:val="0016037A"/>
    <w:pPr>
      <w:spacing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0759245">
      <w:bodyDiv w:val="1"/>
      <w:marLeft w:val="0"/>
      <w:marRight w:val="0"/>
      <w:marTop w:val="0"/>
      <w:marBottom w:val="0"/>
      <w:divBdr>
        <w:top w:val="none" w:sz="0" w:space="0" w:color="auto"/>
        <w:left w:val="none" w:sz="0" w:space="0" w:color="auto"/>
        <w:bottom w:val="none" w:sz="0" w:space="0" w:color="auto"/>
        <w:right w:val="none" w:sz="0" w:space="0" w:color="auto"/>
      </w:divBdr>
    </w:div>
    <w:div w:id="158691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Volumes\sdan1$\Courtney\4%20month%20data\Irritability%20Infant%20phenotype\CBCL_fox-freesurfer_trajectory%20bins\FINAL%20Decision_FSpaper\Cleaned_2to7year%20analyses\eval_modelfi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'S&amp;I'!$I$46</c:f>
              <c:strCache>
                <c:ptCount val="1"/>
                <c:pt idx="0">
                  <c:v>C1</c:v>
                </c:pt>
              </c:strCache>
            </c:strRef>
          </c:tx>
          <c:spPr>
            <a:ln w="28575" cap="rnd">
              <a:solidFill>
                <a:schemeClr val="accent1"/>
              </a:solidFill>
              <a:round/>
            </a:ln>
            <a:effectLst/>
          </c:spPr>
          <c:marker>
            <c:symbol val="none"/>
          </c:marker>
          <c:cat>
            <c:numRef>
              <c:f>'S&amp;I'!$H$47:$H$51</c:f>
              <c:numCache>
                <c:formatCode>General</c:formatCode>
                <c:ptCount val="5"/>
                <c:pt idx="0">
                  <c:v>2</c:v>
                </c:pt>
                <c:pt idx="1">
                  <c:v>3</c:v>
                </c:pt>
                <c:pt idx="2">
                  <c:v>4</c:v>
                </c:pt>
                <c:pt idx="3">
                  <c:v>5</c:v>
                </c:pt>
                <c:pt idx="4">
                  <c:v>7</c:v>
                </c:pt>
              </c:numCache>
            </c:numRef>
          </c:cat>
          <c:val>
            <c:numRef>
              <c:f>'S&amp;I'!$I$47:$I$51</c:f>
              <c:numCache>
                <c:formatCode>General</c:formatCode>
                <c:ptCount val="5"/>
                <c:pt idx="0">
                  <c:v>0.86899999999999999</c:v>
                </c:pt>
                <c:pt idx="1">
                  <c:v>0.76</c:v>
                </c:pt>
                <c:pt idx="2">
                  <c:v>0.65100000000000002</c:v>
                </c:pt>
                <c:pt idx="3">
                  <c:v>0.54200000000000004</c:v>
                </c:pt>
                <c:pt idx="4">
                  <c:v>0.43300000000000005</c:v>
                </c:pt>
              </c:numCache>
            </c:numRef>
          </c:val>
          <c:smooth val="0"/>
          <c:extLst>
            <c:ext xmlns:c16="http://schemas.microsoft.com/office/drawing/2014/chart" uri="{C3380CC4-5D6E-409C-BE32-E72D297353CC}">
              <c16:uniqueId val="{00000000-D110-A341-BE47-17B563ECE820}"/>
            </c:ext>
          </c:extLst>
        </c:ser>
        <c:ser>
          <c:idx val="1"/>
          <c:order val="1"/>
          <c:tx>
            <c:strRef>
              <c:f>'S&amp;I'!$J$46</c:f>
              <c:strCache>
                <c:ptCount val="1"/>
                <c:pt idx="0">
                  <c:v>C2</c:v>
                </c:pt>
              </c:strCache>
            </c:strRef>
          </c:tx>
          <c:spPr>
            <a:ln w="28575" cap="rnd">
              <a:solidFill>
                <a:schemeClr val="accent2"/>
              </a:solidFill>
              <a:round/>
            </a:ln>
            <a:effectLst/>
          </c:spPr>
          <c:marker>
            <c:symbol val="none"/>
          </c:marker>
          <c:cat>
            <c:numRef>
              <c:f>'S&amp;I'!$H$47:$H$51</c:f>
              <c:numCache>
                <c:formatCode>General</c:formatCode>
                <c:ptCount val="5"/>
                <c:pt idx="0">
                  <c:v>2</c:v>
                </c:pt>
                <c:pt idx="1">
                  <c:v>3</c:v>
                </c:pt>
                <c:pt idx="2">
                  <c:v>4</c:v>
                </c:pt>
                <c:pt idx="3">
                  <c:v>5</c:v>
                </c:pt>
                <c:pt idx="4">
                  <c:v>7</c:v>
                </c:pt>
              </c:numCache>
            </c:numRef>
          </c:cat>
          <c:val>
            <c:numRef>
              <c:f>'S&amp;I'!$J$47:$J$51</c:f>
              <c:numCache>
                <c:formatCode>General</c:formatCode>
                <c:ptCount val="5"/>
                <c:pt idx="0">
                  <c:v>0.80500000000000005</c:v>
                </c:pt>
                <c:pt idx="1">
                  <c:v>1.143</c:v>
                </c:pt>
                <c:pt idx="2">
                  <c:v>1.4810000000000001</c:v>
                </c:pt>
                <c:pt idx="3">
                  <c:v>1.8190000000000002</c:v>
                </c:pt>
                <c:pt idx="4">
                  <c:v>2.157</c:v>
                </c:pt>
              </c:numCache>
            </c:numRef>
          </c:val>
          <c:smooth val="0"/>
          <c:extLst>
            <c:ext xmlns:c16="http://schemas.microsoft.com/office/drawing/2014/chart" uri="{C3380CC4-5D6E-409C-BE32-E72D297353CC}">
              <c16:uniqueId val="{00000001-D110-A341-BE47-17B563ECE820}"/>
            </c:ext>
          </c:extLst>
        </c:ser>
        <c:ser>
          <c:idx val="2"/>
          <c:order val="2"/>
          <c:tx>
            <c:strRef>
              <c:f>'S&amp;I'!$K$46</c:f>
              <c:strCache>
                <c:ptCount val="1"/>
                <c:pt idx="0">
                  <c:v>C3</c:v>
                </c:pt>
              </c:strCache>
            </c:strRef>
          </c:tx>
          <c:spPr>
            <a:ln w="28575" cap="rnd">
              <a:solidFill>
                <a:schemeClr val="accent3"/>
              </a:solidFill>
              <a:round/>
            </a:ln>
            <a:effectLst/>
          </c:spPr>
          <c:marker>
            <c:symbol val="none"/>
          </c:marker>
          <c:cat>
            <c:numRef>
              <c:f>'S&amp;I'!$H$47:$H$51</c:f>
              <c:numCache>
                <c:formatCode>General</c:formatCode>
                <c:ptCount val="5"/>
                <c:pt idx="0">
                  <c:v>2</c:v>
                </c:pt>
                <c:pt idx="1">
                  <c:v>3</c:v>
                </c:pt>
                <c:pt idx="2">
                  <c:v>4</c:v>
                </c:pt>
                <c:pt idx="3">
                  <c:v>5</c:v>
                </c:pt>
                <c:pt idx="4">
                  <c:v>7</c:v>
                </c:pt>
              </c:numCache>
            </c:numRef>
          </c:cat>
          <c:val>
            <c:numRef>
              <c:f>'S&amp;I'!$K$47:$K$51</c:f>
              <c:numCache>
                <c:formatCode>General</c:formatCode>
                <c:ptCount val="5"/>
                <c:pt idx="0">
                  <c:v>2.5150000000000001</c:v>
                </c:pt>
                <c:pt idx="1">
                  <c:v>2.1550000000000002</c:v>
                </c:pt>
                <c:pt idx="2">
                  <c:v>1.7950000000000004</c:v>
                </c:pt>
                <c:pt idx="3">
                  <c:v>1.4350000000000005</c:v>
                </c:pt>
                <c:pt idx="4">
                  <c:v>1.0750000000000006</c:v>
                </c:pt>
              </c:numCache>
            </c:numRef>
          </c:val>
          <c:smooth val="0"/>
          <c:extLst>
            <c:ext xmlns:c16="http://schemas.microsoft.com/office/drawing/2014/chart" uri="{C3380CC4-5D6E-409C-BE32-E72D297353CC}">
              <c16:uniqueId val="{00000002-D110-A341-BE47-17B563ECE820}"/>
            </c:ext>
          </c:extLst>
        </c:ser>
        <c:ser>
          <c:idx val="3"/>
          <c:order val="3"/>
          <c:tx>
            <c:strRef>
              <c:f>'S&amp;I'!$L$46</c:f>
              <c:strCache>
                <c:ptCount val="1"/>
                <c:pt idx="0">
                  <c:v>C4</c:v>
                </c:pt>
              </c:strCache>
            </c:strRef>
          </c:tx>
          <c:spPr>
            <a:ln w="28575" cap="rnd">
              <a:solidFill>
                <a:schemeClr val="accent4"/>
              </a:solidFill>
              <a:round/>
            </a:ln>
            <a:effectLst/>
          </c:spPr>
          <c:marker>
            <c:symbol val="none"/>
          </c:marker>
          <c:cat>
            <c:numRef>
              <c:f>'S&amp;I'!$H$47:$H$51</c:f>
              <c:numCache>
                <c:formatCode>General</c:formatCode>
                <c:ptCount val="5"/>
                <c:pt idx="0">
                  <c:v>2</c:v>
                </c:pt>
                <c:pt idx="1">
                  <c:v>3</c:v>
                </c:pt>
                <c:pt idx="2">
                  <c:v>4</c:v>
                </c:pt>
                <c:pt idx="3">
                  <c:v>5</c:v>
                </c:pt>
                <c:pt idx="4">
                  <c:v>7</c:v>
                </c:pt>
              </c:numCache>
            </c:numRef>
          </c:cat>
          <c:val>
            <c:numRef>
              <c:f>'S&amp;I'!$L$47:$L$51</c:f>
              <c:numCache>
                <c:formatCode>General</c:formatCode>
                <c:ptCount val="5"/>
                <c:pt idx="0">
                  <c:v>2.8370000000000002</c:v>
                </c:pt>
                <c:pt idx="1">
                  <c:v>2.8170000000000002</c:v>
                </c:pt>
                <c:pt idx="2">
                  <c:v>2.7970000000000002</c:v>
                </c:pt>
                <c:pt idx="3">
                  <c:v>2.7770000000000001</c:v>
                </c:pt>
                <c:pt idx="4">
                  <c:v>2.7570000000000001</c:v>
                </c:pt>
              </c:numCache>
            </c:numRef>
          </c:val>
          <c:smooth val="0"/>
          <c:extLst>
            <c:ext xmlns:c16="http://schemas.microsoft.com/office/drawing/2014/chart" uri="{C3380CC4-5D6E-409C-BE32-E72D297353CC}">
              <c16:uniqueId val="{00000003-D110-A341-BE47-17B563ECE820}"/>
            </c:ext>
          </c:extLst>
        </c:ser>
        <c:dLbls>
          <c:showLegendKey val="0"/>
          <c:showVal val="0"/>
          <c:showCatName val="0"/>
          <c:showSerName val="0"/>
          <c:showPercent val="0"/>
          <c:showBubbleSize val="0"/>
        </c:dLbls>
        <c:smooth val="0"/>
        <c:axId val="197249760"/>
        <c:axId val="200695296"/>
      </c:lineChart>
      <c:catAx>
        <c:axId val="197249760"/>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a:t>Age</a:t>
                </a:r>
                <a:r>
                  <a:rPr lang="en-US" baseline="0"/>
                  <a:t> (years)</a:t>
                </a:r>
                <a:endParaRPr lang="en-US"/>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200695296"/>
        <c:crosses val="autoZero"/>
        <c:auto val="1"/>
        <c:lblAlgn val="ctr"/>
        <c:lblOffset val="100"/>
        <c:noMultiLvlLbl val="0"/>
      </c:catAx>
      <c:valAx>
        <c:axId val="200695296"/>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a:t>Irritability (CBCL</a:t>
                </a:r>
                <a:r>
                  <a:rPr lang="en-US" baseline="0"/>
                  <a:t> composite)</a:t>
                </a:r>
                <a:endParaRPr lang="en-US"/>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9724976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2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D1395-817D-4743-82FB-4110C343E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2898</Words>
  <Characters>16522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Filippi, Courtney (NIH/NIMH) [F]</dc:creator>
  <cp:keywords/>
  <dc:description/>
  <cp:lastModifiedBy>Nathan A. Fox</cp:lastModifiedBy>
  <cp:revision>2</cp:revision>
  <cp:lastPrinted>2019-04-16T18:29:00Z</cp:lastPrinted>
  <dcterms:created xsi:type="dcterms:W3CDTF">2021-03-24T11:42:00Z</dcterms:created>
  <dcterms:modified xsi:type="dcterms:W3CDTF">2021-03-24T11:42:00Z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zotero-version="5.0.95.3"&gt;&lt;session id="HpPXAG7A"/&gt;&lt;style id="http://www.zotero.org/styles/apa" locale="en-US" hasBibliography="1" bibliographyStyleHasBeenSet="1"/&gt;&lt;prefs&gt;&lt;pref name="fieldType" value="Field"/&gt;&lt;pref name="automaticJou</vt:lpwstr>
  </property>
  <property fmtid="{D5CDD505-2E9C-101B-9397-08002B2CF9AE}" pid="3" name="ZOTERO_PREF_2">
    <vt:lpwstr>rnalAbbreviations" value="true"/&gt;&lt;/prefs&gt;&lt;/data&gt;</vt:lpwstr>
  </property>
</Properties>
</file>