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18D" w:rsidRDefault="0047618D" w:rsidP="00D30C6E">
      <w:pPr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Supplementary material</w:t>
      </w:r>
    </w:p>
    <w:p w:rsidR="00D30C6E" w:rsidRDefault="00D30C6E" w:rsidP="00D30C6E">
      <w:pPr>
        <w:jc w:val="center"/>
        <w:rPr>
          <w:rFonts w:eastAsia="Times New Roman"/>
          <w:b/>
          <w:color w:val="000000"/>
        </w:rPr>
      </w:pPr>
    </w:p>
    <w:p w:rsidR="00D30C6E" w:rsidRPr="001533B5" w:rsidRDefault="00D30C6E" w:rsidP="00D30C6E">
      <w:pPr>
        <w:pStyle w:val="ListParagraph"/>
        <w:numPr>
          <w:ilvl w:val="0"/>
          <w:numId w:val="3"/>
        </w:numPr>
        <w:shd w:val="clear" w:color="auto" w:fill="FFFFFF"/>
        <w:rPr>
          <w:b/>
          <w:color w:val="1C1D1E"/>
          <w:highlight w:val="lightGray"/>
        </w:rPr>
      </w:pPr>
      <w:r w:rsidRPr="001533B5">
        <w:rPr>
          <w:b/>
          <w:color w:val="1C1D1E"/>
          <w:highlight w:val="lightGray"/>
        </w:rPr>
        <w:t>Results of mood ratings before and after mood induction at the three ages</w:t>
      </w:r>
    </w:p>
    <w:p w:rsidR="00D30C6E" w:rsidRPr="001533B5" w:rsidRDefault="00D30C6E" w:rsidP="00D30C6E">
      <w:pPr>
        <w:pStyle w:val="ListParagraph"/>
        <w:shd w:val="clear" w:color="auto" w:fill="FFFFFF"/>
        <w:ind w:left="360"/>
        <w:rPr>
          <w:b/>
          <w:color w:val="1C1D1E"/>
          <w:highlight w:val="lightGray"/>
        </w:rPr>
      </w:pPr>
    </w:p>
    <w:p w:rsidR="00E619B7" w:rsidRPr="00DF5D77" w:rsidRDefault="00E619B7" w:rsidP="00E619B7">
      <w:pPr>
        <w:ind w:firstLine="720"/>
        <w:rPr>
          <w:color w:val="222222"/>
        </w:rPr>
      </w:pPr>
      <w:r w:rsidRPr="001533B5">
        <w:rPr>
          <w:color w:val="222222"/>
          <w:highlight w:val="lightGray"/>
        </w:rPr>
        <w:t xml:space="preserve">As shown in Table S1, paired-samples t-tests comparing mood ratings pre- and post-induction indicated that negative mood induction was effective at all three ages. We also examined associations between child age and children’s mood changes by running </w:t>
      </w:r>
      <w:proofErr w:type="gramStart"/>
      <w:r w:rsidRPr="001533B5">
        <w:rPr>
          <w:color w:val="222222"/>
          <w:highlight w:val="lightGray"/>
        </w:rPr>
        <w:t>a repeated-measures</w:t>
      </w:r>
      <w:proofErr w:type="gramEnd"/>
      <w:r w:rsidRPr="001533B5">
        <w:rPr>
          <w:color w:val="222222"/>
          <w:highlight w:val="lightGray"/>
        </w:rPr>
        <w:t xml:space="preserve"> ANOVA on the difference score of each age (pre-induction rating minus post-induction rating). The results showed that the mood change at age six was smaller than that of age nine, (</w:t>
      </w:r>
      <w:r w:rsidRPr="001533B5">
        <w:rPr>
          <w:i/>
          <w:color w:val="222222"/>
          <w:highlight w:val="lightGray"/>
        </w:rPr>
        <w:t>t</w:t>
      </w:r>
      <w:r w:rsidRPr="001533B5">
        <w:rPr>
          <w:color w:val="222222"/>
          <w:highlight w:val="lightGray"/>
        </w:rPr>
        <w:t xml:space="preserve">(449) = -30.74, </w:t>
      </w:r>
      <w:r w:rsidRPr="001533B5">
        <w:rPr>
          <w:i/>
          <w:color w:val="222222"/>
          <w:highlight w:val="lightGray"/>
        </w:rPr>
        <w:t>p</w:t>
      </w:r>
      <w:r w:rsidRPr="001533B5">
        <w:rPr>
          <w:color w:val="222222"/>
          <w:highlight w:val="lightGray"/>
        </w:rPr>
        <w:t xml:space="preserve"> &lt; .001, </w:t>
      </w:r>
      <w:r w:rsidRPr="001533B5">
        <w:rPr>
          <w:i/>
          <w:color w:val="222222"/>
          <w:highlight w:val="lightGray"/>
        </w:rPr>
        <w:t xml:space="preserve">CI </w:t>
      </w:r>
      <w:r w:rsidRPr="001533B5">
        <w:rPr>
          <w:color w:val="222222"/>
          <w:highlight w:val="lightGray"/>
        </w:rPr>
        <w:t>= [-2.45, -2.16]) and age 12 (</w:t>
      </w:r>
      <w:r w:rsidRPr="001533B5">
        <w:rPr>
          <w:i/>
          <w:color w:val="222222"/>
          <w:highlight w:val="lightGray"/>
        </w:rPr>
        <w:t>t</w:t>
      </w:r>
      <w:r w:rsidRPr="001533B5">
        <w:rPr>
          <w:color w:val="222222"/>
          <w:highlight w:val="lightGray"/>
        </w:rPr>
        <w:t xml:space="preserve">(399) = -29.58, </w:t>
      </w:r>
      <w:r w:rsidRPr="001533B5">
        <w:rPr>
          <w:i/>
          <w:color w:val="222222"/>
          <w:highlight w:val="lightGray"/>
        </w:rPr>
        <w:t>p</w:t>
      </w:r>
      <w:r w:rsidRPr="001533B5">
        <w:rPr>
          <w:color w:val="222222"/>
          <w:highlight w:val="lightGray"/>
        </w:rPr>
        <w:t xml:space="preserve"> &lt; .001, </w:t>
      </w:r>
      <w:r w:rsidRPr="001533B5">
        <w:rPr>
          <w:i/>
          <w:color w:val="222222"/>
          <w:highlight w:val="lightGray"/>
        </w:rPr>
        <w:t>CI</w:t>
      </w:r>
      <w:r w:rsidRPr="001533B5">
        <w:rPr>
          <w:color w:val="222222"/>
          <w:highlight w:val="lightGray"/>
        </w:rPr>
        <w:t xml:space="preserve"> = [-2.25, -1.97]); mood change at age nine was also larger than age 12 (</w:t>
      </w:r>
      <w:r w:rsidRPr="001533B5">
        <w:rPr>
          <w:i/>
          <w:color w:val="222222"/>
          <w:highlight w:val="lightGray"/>
        </w:rPr>
        <w:t>t</w:t>
      </w:r>
      <w:r w:rsidRPr="001533B5">
        <w:rPr>
          <w:color w:val="222222"/>
          <w:highlight w:val="lightGray"/>
        </w:rPr>
        <w:t xml:space="preserve">(407) = 2.40, </w:t>
      </w:r>
      <w:r w:rsidRPr="001533B5">
        <w:rPr>
          <w:i/>
          <w:color w:val="222222"/>
          <w:highlight w:val="lightGray"/>
        </w:rPr>
        <w:t>p</w:t>
      </w:r>
      <w:r w:rsidRPr="001533B5">
        <w:rPr>
          <w:color w:val="222222"/>
          <w:highlight w:val="lightGray"/>
        </w:rPr>
        <w:t xml:space="preserve"> &lt; .05, </w:t>
      </w:r>
      <w:r w:rsidRPr="001533B5">
        <w:rPr>
          <w:i/>
          <w:color w:val="222222"/>
          <w:highlight w:val="lightGray"/>
        </w:rPr>
        <w:t>CI</w:t>
      </w:r>
      <w:r w:rsidRPr="001533B5">
        <w:rPr>
          <w:color w:val="222222"/>
          <w:highlight w:val="lightGray"/>
        </w:rPr>
        <w:t xml:space="preserve"> = [0.03, 0.29]).</w:t>
      </w:r>
    </w:p>
    <w:p w:rsidR="00E619B7" w:rsidRPr="00DF5D77" w:rsidRDefault="00E619B7" w:rsidP="00E619B7">
      <w:pPr>
        <w:ind w:firstLine="720"/>
        <w:rPr>
          <w:b/>
          <w:color w:val="222222"/>
        </w:rPr>
      </w:pPr>
    </w:p>
    <w:p w:rsidR="00E619B7" w:rsidRPr="00DF5D77" w:rsidRDefault="00E619B7" w:rsidP="00E619B7">
      <w:pPr>
        <w:spacing w:after="160" w:line="259" w:lineRule="auto"/>
        <w:jc w:val="center"/>
        <w:rPr>
          <w:rFonts w:eastAsia="Times New Roman"/>
          <w:color w:val="000000"/>
        </w:rPr>
      </w:pPr>
      <w:r w:rsidRPr="001533B5">
        <w:rPr>
          <w:rFonts w:eastAsia="Times New Roman"/>
          <w:color w:val="000000"/>
          <w:highlight w:val="lightGray"/>
        </w:rPr>
        <w:t>Table S1. Results of pre- and post-induction mood ratings at ages 6, 9, and 12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98"/>
        <w:gridCol w:w="1709"/>
        <w:gridCol w:w="1787"/>
        <w:gridCol w:w="998"/>
        <w:gridCol w:w="364"/>
        <w:gridCol w:w="1048"/>
        <w:gridCol w:w="2047"/>
      </w:tblGrid>
      <w:tr w:rsidR="00E619B7" w:rsidRPr="001533B5" w:rsidTr="001533B5">
        <w:trPr>
          <w:trHeight w:val="6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E619B7" w:rsidRPr="001533B5" w:rsidRDefault="00E619B7" w:rsidP="00870C3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1533B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E619B7" w:rsidRPr="001533B5" w:rsidRDefault="00E619B7" w:rsidP="00870C3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533B5">
              <w:rPr>
                <w:rFonts w:eastAsia="Times New Roman"/>
                <w:color w:val="000000"/>
                <w:sz w:val="20"/>
                <w:szCs w:val="20"/>
              </w:rPr>
              <w:t>Pre-induction</w:t>
            </w:r>
            <w:r w:rsidR="001533B5" w:rsidRPr="001533B5">
              <w:rPr>
                <w:rFonts w:eastAsia="Times New Roman"/>
                <w:color w:val="000000"/>
                <w:sz w:val="20"/>
                <w:szCs w:val="20"/>
              </w:rPr>
              <w:t xml:space="preserve"> mood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E619B7" w:rsidRPr="001533B5" w:rsidRDefault="00E619B7" w:rsidP="00870C3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533B5">
              <w:rPr>
                <w:rFonts w:eastAsia="Times New Roman"/>
                <w:color w:val="000000"/>
                <w:sz w:val="20"/>
                <w:szCs w:val="20"/>
              </w:rPr>
              <w:t>Post-induction</w:t>
            </w:r>
            <w:r w:rsidR="001533B5" w:rsidRPr="001533B5">
              <w:rPr>
                <w:rFonts w:eastAsia="Times New Roman"/>
                <w:color w:val="000000"/>
                <w:sz w:val="20"/>
                <w:szCs w:val="20"/>
              </w:rPr>
              <w:t xml:space="preserve"> mood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E619B7" w:rsidRPr="001533B5" w:rsidRDefault="00E619B7" w:rsidP="00870C3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533B5">
              <w:rPr>
                <w:rFonts w:eastAsia="Times New Roman"/>
                <w:color w:val="000000"/>
                <w:sz w:val="20"/>
                <w:szCs w:val="20"/>
              </w:rPr>
              <w:t>Paired-samples t-test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619B7" w:rsidRPr="001533B5" w:rsidRDefault="00E619B7" w:rsidP="00870C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533B5">
              <w:rPr>
                <w:rFonts w:eastAsia="Times New Roman"/>
                <w:color w:val="000000"/>
                <w:sz w:val="20"/>
                <w:szCs w:val="20"/>
              </w:rPr>
              <w:t>Mood change (pre-post)</w:t>
            </w:r>
          </w:p>
        </w:tc>
      </w:tr>
      <w:tr w:rsidR="00E619B7" w:rsidRPr="001533B5" w:rsidTr="001533B5">
        <w:trPr>
          <w:trHeight w:val="6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E619B7" w:rsidRPr="001533B5" w:rsidRDefault="00E619B7" w:rsidP="00870C3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1533B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E619B7" w:rsidRPr="001533B5" w:rsidRDefault="00E619B7" w:rsidP="00870C3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533B5">
              <w:rPr>
                <w:rFonts w:eastAsia="Times New Roman"/>
                <w:color w:val="000000"/>
                <w:sz w:val="20"/>
                <w:szCs w:val="20"/>
              </w:rPr>
              <w:t>Mean(SD)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E619B7" w:rsidRPr="001533B5" w:rsidRDefault="00E619B7" w:rsidP="00870C3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533B5">
              <w:rPr>
                <w:rFonts w:eastAsia="Times New Roman"/>
                <w:color w:val="000000"/>
                <w:sz w:val="20"/>
                <w:szCs w:val="20"/>
              </w:rPr>
              <w:t>Mean(SD)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E619B7" w:rsidRPr="001533B5" w:rsidRDefault="00E619B7" w:rsidP="00870C37">
            <w:pPr>
              <w:suppressAutoHyphens w:val="0"/>
              <w:jc w:val="center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1533B5">
              <w:rPr>
                <w:rFonts w:eastAsia="Times New Roman"/>
                <w:i/>
                <w:color w:val="000000"/>
                <w:sz w:val="20"/>
                <w:szCs w:val="20"/>
              </w:rPr>
              <w:t>t</w:t>
            </w:r>
            <w:r w:rsidRPr="001533B5">
              <w:rPr>
                <w:rFonts w:eastAsia="Times New Roman"/>
                <w:color w:val="000000"/>
                <w:sz w:val="20"/>
                <w:szCs w:val="20"/>
              </w:rPr>
              <w:t>(</w:t>
            </w:r>
            <w:r w:rsidRPr="001533B5">
              <w:rPr>
                <w:rFonts w:eastAsia="Times New Roman"/>
                <w:i/>
                <w:color w:val="000000"/>
                <w:sz w:val="20"/>
                <w:szCs w:val="20"/>
              </w:rPr>
              <w:t>df</w:t>
            </w:r>
            <w:r w:rsidRPr="001533B5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E619B7" w:rsidRPr="001533B5" w:rsidRDefault="00E619B7" w:rsidP="00870C37">
            <w:pPr>
              <w:suppressAutoHyphens w:val="0"/>
              <w:jc w:val="center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1533B5">
              <w:rPr>
                <w:rFonts w:eastAsia="Times New Roman"/>
                <w:i/>
                <w:color w:val="000000"/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E619B7" w:rsidRPr="001533B5" w:rsidRDefault="00E619B7" w:rsidP="00870C37">
            <w:pPr>
              <w:suppressAutoHyphens w:val="0"/>
              <w:jc w:val="center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1533B5">
              <w:rPr>
                <w:rFonts w:eastAsia="Times New Roman"/>
                <w:i/>
                <w:color w:val="000000"/>
                <w:sz w:val="20"/>
                <w:szCs w:val="20"/>
              </w:rPr>
              <w:t>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619B7" w:rsidRPr="001533B5" w:rsidRDefault="00E619B7" w:rsidP="00870C37">
            <w:pPr>
              <w:jc w:val="center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1533B5">
              <w:rPr>
                <w:rFonts w:eastAsia="Times New Roman"/>
                <w:color w:val="000000"/>
                <w:sz w:val="20"/>
                <w:szCs w:val="20"/>
              </w:rPr>
              <w:t>Mean(SD)</w:t>
            </w:r>
          </w:p>
        </w:tc>
      </w:tr>
      <w:tr w:rsidR="00E619B7" w:rsidRPr="001533B5" w:rsidTr="001533B5">
        <w:trPr>
          <w:trHeight w:val="22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E619B7" w:rsidRPr="001533B5" w:rsidRDefault="00E619B7" w:rsidP="00870C3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1533B5">
              <w:rPr>
                <w:rFonts w:eastAsia="Times New Roman"/>
                <w:color w:val="000000"/>
                <w:sz w:val="20"/>
                <w:szCs w:val="20"/>
              </w:rPr>
              <w:t>Age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E619B7" w:rsidRPr="001533B5" w:rsidRDefault="00E619B7" w:rsidP="00870C37">
            <w:pPr>
              <w:suppressAutoHyphens w:val="0"/>
              <w:jc w:val="center"/>
              <w:rPr>
                <w:rFonts w:eastAsia="Times New Roman"/>
                <w:color w:val="1C1D1E"/>
                <w:sz w:val="20"/>
                <w:szCs w:val="20"/>
              </w:rPr>
            </w:pPr>
            <w:r w:rsidRPr="001533B5">
              <w:rPr>
                <w:rFonts w:eastAsia="Times New Roman"/>
                <w:color w:val="1C1D1E"/>
                <w:sz w:val="20"/>
                <w:szCs w:val="20"/>
              </w:rPr>
              <w:t>4.62(0.76)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E619B7" w:rsidRPr="001533B5" w:rsidRDefault="00E619B7" w:rsidP="00870C37">
            <w:pPr>
              <w:suppressAutoHyphens w:val="0"/>
              <w:jc w:val="center"/>
              <w:rPr>
                <w:rFonts w:eastAsia="Times New Roman"/>
                <w:color w:val="1C1D1E"/>
                <w:sz w:val="20"/>
                <w:szCs w:val="20"/>
              </w:rPr>
            </w:pPr>
            <w:r w:rsidRPr="001533B5">
              <w:rPr>
                <w:rFonts w:eastAsia="Times New Roman"/>
                <w:color w:val="1C1D1E"/>
                <w:sz w:val="20"/>
                <w:szCs w:val="20"/>
              </w:rPr>
              <w:t>4.52(0.88)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E619B7" w:rsidRPr="001533B5" w:rsidRDefault="00E619B7" w:rsidP="00870C37">
            <w:pPr>
              <w:suppressAutoHyphens w:val="0"/>
              <w:jc w:val="center"/>
              <w:rPr>
                <w:rFonts w:eastAsia="Times New Roman"/>
                <w:color w:val="1C1D1E"/>
                <w:sz w:val="20"/>
                <w:szCs w:val="20"/>
              </w:rPr>
            </w:pPr>
            <w:r w:rsidRPr="001533B5">
              <w:rPr>
                <w:rFonts w:eastAsia="Times New Roman"/>
                <w:color w:val="1C1D1E"/>
                <w:sz w:val="20"/>
                <w:szCs w:val="20"/>
              </w:rPr>
              <w:t>2.42(493)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E619B7" w:rsidRPr="001533B5" w:rsidRDefault="00E619B7" w:rsidP="00870C37">
            <w:pPr>
              <w:suppressAutoHyphens w:val="0"/>
              <w:jc w:val="center"/>
              <w:rPr>
                <w:rFonts w:eastAsia="Times New Roman"/>
                <w:color w:val="1C1D1E"/>
                <w:sz w:val="20"/>
                <w:szCs w:val="20"/>
              </w:rPr>
            </w:pPr>
            <w:r w:rsidRPr="001533B5">
              <w:rPr>
                <w:rFonts w:eastAsia="Times New Roman"/>
                <w:color w:val="1C1D1E"/>
                <w:sz w:val="20"/>
                <w:szCs w:val="20"/>
              </w:rPr>
              <w:t>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E619B7" w:rsidRPr="001533B5" w:rsidRDefault="00E619B7" w:rsidP="00870C37">
            <w:pPr>
              <w:suppressAutoHyphens w:val="0"/>
              <w:jc w:val="center"/>
              <w:rPr>
                <w:rFonts w:eastAsia="Times New Roman"/>
                <w:color w:val="1C1D1E"/>
                <w:sz w:val="20"/>
                <w:szCs w:val="20"/>
              </w:rPr>
            </w:pPr>
            <w:r w:rsidRPr="001533B5">
              <w:rPr>
                <w:rFonts w:eastAsia="Times New Roman"/>
                <w:color w:val="1C1D1E"/>
                <w:sz w:val="20"/>
                <w:szCs w:val="20"/>
              </w:rPr>
              <w:t>[0.19, 0.02]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E619B7" w:rsidRPr="001533B5" w:rsidRDefault="00E619B7" w:rsidP="00870C37">
            <w:pPr>
              <w:jc w:val="center"/>
              <w:rPr>
                <w:rFonts w:eastAsia="Times New Roman"/>
                <w:color w:val="1C1D1E"/>
                <w:sz w:val="20"/>
                <w:szCs w:val="20"/>
              </w:rPr>
            </w:pPr>
            <w:r w:rsidRPr="001533B5">
              <w:rPr>
                <w:color w:val="222222"/>
                <w:sz w:val="20"/>
                <w:szCs w:val="20"/>
              </w:rPr>
              <w:t>0.10(0.97)</w:t>
            </w:r>
          </w:p>
        </w:tc>
      </w:tr>
      <w:tr w:rsidR="00E619B7" w:rsidRPr="001533B5" w:rsidTr="001533B5">
        <w:trPr>
          <w:trHeight w:val="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E619B7" w:rsidRPr="001533B5" w:rsidRDefault="00E619B7" w:rsidP="00870C3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1533B5">
              <w:rPr>
                <w:rFonts w:eastAsia="Times New Roman"/>
                <w:color w:val="000000"/>
                <w:sz w:val="20"/>
                <w:szCs w:val="20"/>
              </w:rPr>
              <w:t>Age 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E619B7" w:rsidRPr="001533B5" w:rsidRDefault="00E619B7" w:rsidP="00870C37">
            <w:pPr>
              <w:suppressAutoHyphens w:val="0"/>
              <w:jc w:val="center"/>
              <w:rPr>
                <w:rFonts w:eastAsia="Times New Roman"/>
                <w:color w:val="1C1D1E"/>
                <w:sz w:val="20"/>
                <w:szCs w:val="20"/>
              </w:rPr>
            </w:pPr>
            <w:r w:rsidRPr="001533B5">
              <w:rPr>
                <w:rFonts w:eastAsia="Times New Roman"/>
                <w:color w:val="1C1D1E"/>
                <w:sz w:val="20"/>
                <w:szCs w:val="20"/>
              </w:rPr>
              <w:t>4.16(0.75)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E619B7" w:rsidRPr="001533B5" w:rsidRDefault="00E619B7" w:rsidP="00870C37">
            <w:pPr>
              <w:suppressAutoHyphens w:val="0"/>
              <w:jc w:val="center"/>
              <w:rPr>
                <w:rFonts w:eastAsia="Times New Roman"/>
                <w:color w:val="1C1D1E"/>
                <w:sz w:val="20"/>
                <w:szCs w:val="20"/>
              </w:rPr>
            </w:pPr>
            <w:r w:rsidRPr="001533B5">
              <w:rPr>
                <w:rFonts w:eastAsia="Times New Roman"/>
                <w:color w:val="1C1D1E"/>
                <w:sz w:val="20"/>
                <w:szCs w:val="20"/>
              </w:rPr>
              <w:t>1.73(0.90)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E619B7" w:rsidRPr="001533B5" w:rsidRDefault="00E619B7" w:rsidP="00870C37">
            <w:pPr>
              <w:suppressAutoHyphens w:val="0"/>
              <w:jc w:val="center"/>
              <w:rPr>
                <w:rFonts w:eastAsia="Times New Roman"/>
                <w:color w:val="1C1D1E"/>
                <w:sz w:val="20"/>
                <w:szCs w:val="20"/>
              </w:rPr>
            </w:pPr>
            <w:r w:rsidRPr="001533B5">
              <w:rPr>
                <w:rFonts w:eastAsia="Times New Roman"/>
                <w:color w:val="1C1D1E"/>
                <w:sz w:val="20"/>
                <w:szCs w:val="20"/>
              </w:rPr>
              <w:t>44.01(475)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E619B7" w:rsidRPr="001533B5" w:rsidRDefault="00E619B7" w:rsidP="00870C37">
            <w:pPr>
              <w:suppressAutoHyphens w:val="0"/>
              <w:jc w:val="center"/>
              <w:rPr>
                <w:rFonts w:eastAsia="Times New Roman"/>
                <w:color w:val="1C1D1E"/>
                <w:sz w:val="20"/>
                <w:szCs w:val="20"/>
              </w:rPr>
            </w:pPr>
            <w:r w:rsidRPr="001533B5">
              <w:rPr>
                <w:rFonts w:eastAsia="Times New Roman"/>
                <w:color w:val="1C1D1E"/>
                <w:sz w:val="20"/>
                <w:szCs w:val="20"/>
              </w:rPr>
              <w:t>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E619B7" w:rsidRPr="001533B5" w:rsidRDefault="00E619B7" w:rsidP="00870C37">
            <w:pPr>
              <w:suppressAutoHyphens w:val="0"/>
              <w:jc w:val="center"/>
              <w:rPr>
                <w:rFonts w:eastAsia="Times New Roman"/>
                <w:color w:val="1C1D1E"/>
                <w:sz w:val="20"/>
                <w:szCs w:val="20"/>
              </w:rPr>
            </w:pPr>
            <w:r w:rsidRPr="001533B5">
              <w:rPr>
                <w:rFonts w:eastAsia="Times New Roman"/>
                <w:color w:val="1C1D1E"/>
                <w:sz w:val="20"/>
                <w:szCs w:val="20"/>
              </w:rPr>
              <w:t>[2.32, 2.53]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E619B7" w:rsidRPr="001533B5" w:rsidRDefault="00E619B7" w:rsidP="00870C37">
            <w:pPr>
              <w:jc w:val="center"/>
              <w:rPr>
                <w:rFonts w:eastAsia="Times New Roman"/>
                <w:color w:val="1C1D1E"/>
                <w:sz w:val="20"/>
                <w:szCs w:val="20"/>
              </w:rPr>
            </w:pPr>
            <w:r w:rsidRPr="001533B5">
              <w:rPr>
                <w:color w:val="222222"/>
                <w:sz w:val="20"/>
                <w:szCs w:val="20"/>
              </w:rPr>
              <w:t>2.40(1.21)</w:t>
            </w:r>
          </w:p>
        </w:tc>
      </w:tr>
      <w:tr w:rsidR="00E619B7" w:rsidRPr="001533B5" w:rsidTr="001533B5">
        <w:trPr>
          <w:trHeight w:val="7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E619B7" w:rsidRPr="001533B5" w:rsidRDefault="00E619B7" w:rsidP="00870C3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1533B5">
              <w:rPr>
                <w:rFonts w:eastAsia="Times New Roman"/>
                <w:color w:val="000000"/>
                <w:sz w:val="20"/>
                <w:szCs w:val="20"/>
              </w:rPr>
              <w:t>Age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E619B7" w:rsidRPr="001533B5" w:rsidRDefault="00E619B7" w:rsidP="00870C37">
            <w:pPr>
              <w:suppressAutoHyphens w:val="0"/>
              <w:jc w:val="center"/>
              <w:rPr>
                <w:rFonts w:eastAsia="Times New Roman"/>
                <w:color w:val="1C1D1E"/>
                <w:sz w:val="20"/>
                <w:szCs w:val="20"/>
              </w:rPr>
            </w:pPr>
            <w:r w:rsidRPr="001533B5">
              <w:rPr>
                <w:rFonts w:eastAsia="Times New Roman"/>
                <w:color w:val="1C1D1E"/>
                <w:sz w:val="20"/>
                <w:szCs w:val="20"/>
              </w:rPr>
              <w:t>3.92(0.69)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E619B7" w:rsidRPr="001533B5" w:rsidRDefault="00E619B7" w:rsidP="00870C37">
            <w:pPr>
              <w:suppressAutoHyphens w:val="0"/>
              <w:jc w:val="center"/>
              <w:rPr>
                <w:rFonts w:eastAsia="Times New Roman"/>
                <w:color w:val="1C1D1E"/>
                <w:sz w:val="20"/>
                <w:szCs w:val="20"/>
              </w:rPr>
            </w:pPr>
            <w:r w:rsidRPr="001533B5">
              <w:rPr>
                <w:rFonts w:eastAsia="Times New Roman"/>
                <w:color w:val="1C1D1E"/>
                <w:sz w:val="20"/>
                <w:szCs w:val="20"/>
              </w:rPr>
              <w:t>1.67(0.73)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E619B7" w:rsidRPr="001533B5" w:rsidRDefault="00E619B7" w:rsidP="00870C37">
            <w:pPr>
              <w:suppressAutoHyphens w:val="0"/>
              <w:jc w:val="center"/>
              <w:rPr>
                <w:rFonts w:eastAsia="Times New Roman"/>
                <w:color w:val="1C1D1E"/>
                <w:sz w:val="20"/>
                <w:szCs w:val="20"/>
              </w:rPr>
            </w:pPr>
            <w:r w:rsidRPr="001533B5">
              <w:rPr>
                <w:rFonts w:eastAsia="Times New Roman"/>
                <w:color w:val="1C1D1E"/>
                <w:sz w:val="20"/>
                <w:szCs w:val="20"/>
              </w:rPr>
              <w:t>46.24(429)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E619B7" w:rsidRPr="001533B5" w:rsidRDefault="00E619B7" w:rsidP="00870C37">
            <w:pPr>
              <w:suppressAutoHyphens w:val="0"/>
              <w:jc w:val="center"/>
              <w:rPr>
                <w:rFonts w:eastAsia="Times New Roman"/>
                <w:color w:val="1C1D1E"/>
                <w:sz w:val="20"/>
                <w:szCs w:val="20"/>
              </w:rPr>
            </w:pPr>
            <w:r w:rsidRPr="001533B5">
              <w:rPr>
                <w:rFonts w:eastAsia="Times New Roman"/>
                <w:color w:val="1C1D1E"/>
                <w:sz w:val="20"/>
                <w:szCs w:val="20"/>
              </w:rPr>
              <w:t>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E619B7" w:rsidRPr="001533B5" w:rsidRDefault="00E619B7" w:rsidP="00870C37">
            <w:pPr>
              <w:suppressAutoHyphens w:val="0"/>
              <w:jc w:val="center"/>
              <w:rPr>
                <w:rFonts w:eastAsia="Times New Roman"/>
                <w:color w:val="1C1D1E"/>
                <w:sz w:val="20"/>
                <w:szCs w:val="20"/>
              </w:rPr>
            </w:pPr>
            <w:r w:rsidRPr="001533B5">
              <w:rPr>
                <w:rFonts w:eastAsia="Times New Roman"/>
                <w:color w:val="1C1D1E"/>
                <w:sz w:val="20"/>
                <w:szCs w:val="20"/>
              </w:rPr>
              <w:t>[2.15, 2.34]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619B7" w:rsidRPr="001533B5" w:rsidRDefault="00E619B7" w:rsidP="00870C37">
            <w:pPr>
              <w:jc w:val="center"/>
              <w:rPr>
                <w:rFonts w:eastAsia="Times New Roman"/>
                <w:color w:val="1C1D1E"/>
                <w:sz w:val="20"/>
                <w:szCs w:val="20"/>
              </w:rPr>
            </w:pPr>
            <w:r w:rsidRPr="001533B5">
              <w:rPr>
                <w:color w:val="222222"/>
                <w:sz w:val="20"/>
                <w:szCs w:val="20"/>
              </w:rPr>
              <w:t>2.24(1.02)</w:t>
            </w:r>
          </w:p>
        </w:tc>
      </w:tr>
    </w:tbl>
    <w:p w:rsidR="00D30C6E" w:rsidRPr="00D30C6E" w:rsidRDefault="00D30C6E" w:rsidP="00D30C6E">
      <w:pPr>
        <w:pStyle w:val="ListParagraph"/>
        <w:ind w:left="360"/>
        <w:rPr>
          <w:rFonts w:eastAsia="Times New Roman"/>
          <w:color w:val="000000"/>
        </w:rPr>
      </w:pPr>
    </w:p>
    <w:p w:rsidR="00D30C6E" w:rsidRDefault="00D30C6E" w:rsidP="00D30C6E">
      <w:pPr>
        <w:pStyle w:val="ListParagraph"/>
        <w:numPr>
          <w:ilvl w:val="0"/>
          <w:numId w:val="3"/>
        </w:numPr>
        <w:rPr>
          <w:rFonts w:eastAsia="Times New Roman"/>
          <w:color w:val="000000"/>
        </w:rPr>
      </w:pPr>
      <w:r w:rsidRPr="00D30C6E">
        <w:rPr>
          <w:rFonts w:eastAsia="Times New Roman"/>
          <w:b/>
          <w:color w:val="000000"/>
        </w:rPr>
        <w:t xml:space="preserve">Results of whole-brain </w:t>
      </w:r>
      <w:r>
        <w:rPr>
          <w:rFonts w:eastAsia="Times New Roman"/>
          <w:b/>
          <w:color w:val="000000"/>
        </w:rPr>
        <w:t xml:space="preserve">voxel-based morphometry </w:t>
      </w:r>
      <w:r w:rsidRPr="00D30C6E">
        <w:rPr>
          <w:rFonts w:eastAsia="Times New Roman"/>
          <w:b/>
          <w:color w:val="000000"/>
        </w:rPr>
        <w:t>analysis</w:t>
      </w:r>
      <w:r w:rsidRPr="00D30C6E">
        <w:rPr>
          <w:rFonts w:eastAsia="Times New Roman"/>
          <w:color w:val="000000"/>
        </w:rPr>
        <w:t xml:space="preserve"> </w:t>
      </w:r>
    </w:p>
    <w:p w:rsidR="00D30C6E" w:rsidRDefault="00D30C6E" w:rsidP="00D30C6E">
      <w:pPr>
        <w:rPr>
          <w:rFonts w:eastAsia="Times New Roman"/>
          <w:color w:val="000000"/>
        </w:rPr>
      </w:pPr>
    </w:p>
    <w:p w:rsidR="0047618D" w:rsidRDefault="00D30C6E" w:rsidP="00D30C6E">
      <w:pPr>
        <w:rPr>
          <w:rFonts w:eastAsia="Times New Roman"/>
          <w:color w:val="000000"/>
        </w:rPr>
      </w:pPr>
      <w:r w:rsidRPr="00D30C6E">
        <w:rPr>
          <w:rFonts w:eastAsia="Times New Roman"/>
          <w:color w:val="000000"/>
        </w:rPr>
        <w:t>Table S2</w:t>
      </w:r>
      <w:r w:rsidR="0047618D" w:rsidRPr="00D30C6E">
        <w:rPr>
          <w:rFonts w:eastAsia="Times New Roman"/>
          <w:color w:val="000000"/>
        </w:rPr>
        <w:t>.</w:t>
      </w:r>
      <w:r w:rsidR="0047618D" w:rsidRPr="00D30C6E">
        <w:rPr>
          <w:rFonts w:eastAsia="Times New Roman"/>
          <w:b/>
          <w:color w:val="000000"/>
        </w:rPr>
        <w:t xml:space="preserve"> </w:t>
      </w:r>
      <w:r w:rsidR="0047618D" w:rsidRPr="00D30C6E">
        <w:rPr>
          <w:rFonts w:eastAsia="Times New Roman"/>
          <w:color w:val="000000"/>
        </w:rPr>
        <w:t xml:space="preserve">Results of whole-brain analysis with the standardized slope of positive SRET scores as the </w:t>
      </w:r>
      <w:proofErr w:type="spellStart"/>
      <w:r w:rsidR="0047618D" w:rsidRPr="00D30C6E">
        <w:rPr>
          <w:rFonts w:eastAsia="Times New Roman"/>
          <w:color w:val="000000"/>
        </w:rPr>
        <w:t>regressor</w:t>
      </w:r>
      <w:proofErr w:type="spellEnd"/>
      <w:r w:rsidR="0047618D" w:rsidRPr="00D30C6E">
        <w:rPr>
          <w:rFonts w:eastAsia="Times New Roman"/>
          <w:color w:val="000000"/>
        </w:rPr>
        <w:t xml:space="preserve"> (peak voxel threshold at </w:t>
      </w:r>
      <w:r w:rsidR="0047618D" w:rsidRPr="00D30C6E">
        <w:rPr>
          <w:rFonts w:eastAsia="Times New Roman"/>
          <w:i/>
          <w:color w:val="000000"/>
        </w:rPr>
        <w:t xml:space="preserve">p </w:t>
      </w:r>
      <w:r w:rsidR="0047618D" w:rsidRPr="00D30C6E">
        <w:rPr>
          <w:rFonts w:eastAsia="Times New Roman"/>
          <w:color w:val="000000"/>
        </w:rPr>
        <w:t>&lt; .001, uncorrected)</w:t>
      </w:r>
    </w:p>
    <w:p w:rsidR="00D30C6E" w:rsidRPr="00D30C6E" w:rsidRDefault="00D30C6E" w:rsidP="00D30C6E">
      <w:pPr>
        <w:rPr>
          <w:rFonts w:eastAsia="Times New Roman"/>
          <w:color w:val="000000"/>
        </w:rPr>
      </w:pPr>
    </w:p>
    <w:tbl>
      <w:tblPr>
        <w:tblW w:w="10456" w:type="dxa"/>
        <w:tblInd w:w="-425" w:type="dxa"/>
        <w:tblBorders>
          <w:top w:val="single" w:sz="4" w:space="0" w:color="00000A"/>
        </w:tblBorders>
        <w:tblLook w:val="04A0" w:firstRow="1" w:lastRow="0" w:firstColumn="1" w:lastColumn="0" w:noHBand="0" w:noVBand="1"/>
      </w:tblPr>
      <w:tblGrid>
        <w:gridCol w:w="712"/>
        <w:gridCol w:w="566"/>
        <w:gridCol w:w="782"/>
        <w:gridCol w:w="793"/>
        <w:gridCol w:w="904"/>
        <w:gridCol w:w="906"/>
        <w:gridCol w:w="916"/>
        <w:gridCol w:w="1016"/>
        <w:gridCol w:w="674"/>
        <w:gridCol w:w="568"/>
        <w:gridCol w:w="2619"/>
      </w:tblGrid>
      <w:tr w:rsidR="0047618D" w:rsidTr="00F0323A">
        <w:trPr>
          <w:trHeight w:val="64"/>
        </w:trPr>
        <w:tc>
          <w:tcPr>
            <w:tcW w:w="2059" w:type="dxa"/>
            <w:gridSpan w:val="3"/>
            <w:tcBorders>
              <w:top w:val="single" w:sz="4" w:space="0" w:color="00000A"/>
            </w:tcBorders>
            <w:shd w:val="clear" w:color="000000" w:fill="F2F2F2"/>
            <w:vAlign w:val="center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Peak MNI coordinates</w:t>
            </w:r>
          </w:p>
        </w:tc>
        <w:tc>
          <w:tcPr>
            <w:tcW w:w="793" w:type="dxa"/>
            <w:vMerge w:val="restart"/>
            <w:tcBorders>
              <w:top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# voxels</w:t>
            </w:r>
          </w:p>
        </w:tc>
        <w:tc>
          <w:tcPr>
            <w:tcW w:w="1810" w:type="dxa"/>
            <w:gridSpan w:val="2"/>
            <w:tcBorders>
              <w:top w:val="single" w:sz="4" w:space="0" w:color="00000A"/>
            </w:tcBorders>
            <w:shd w:val="clear" w:color="000000" w:fill="F2F2F2"/>
            <w:vAlign w:val="center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Cluster-level</w:t>
            </w:r>
          </w:p>
        </w:tc>
        <w:tc>
          <w:tcPr>
            <w:tcW w:w="3174" w:type="dxa"/>
            <w:gridSpan w:val="4"/>
            <w:tcBorders>
              <w:top w:val="single" w:sz="4" w:space="0" w:color="00000A"/>
            </w:tcBorders>
            <w:shd w:val="clear" w:color="auto" w:fill="auto"/>
            <w:vAlign w:val="center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Peak-level</w:t>
            </w:r>
          </w:p>
        </w:tc>
        <w:tc>
          <w:tcPr>
            <w:tcW w:w="2618" w:type="dxa"/>
            <w:vMerge w:val="restart"/>
            <w:tcBorders>
              <w:top w:val="single" w:sz="4" w:space="0" w:color="00000A"/>
            </w:tcBorders>
            <w:shd w:val="clear" w:color="000000" w:fill="F2F2F2"/>
            <w:vAlign w:val="center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Automated Anatomical Labeling of peak voxel</w:t>
            </w:r>
          </w:p>
        </w:tc>
      </w:tr>
      <w:tr w:rsidR="0047618D" w:rsidTr="00F0323A">
        <w:trPr>
          <w:trHeight w:val="64"/>
        </w:trPr>
        <w:tc>
          <w:tcPr>
            <w:tcW w:w="711" w:type="dxa"/>
            <w:tcBorders>
              <w:bottom w:val="single" w:sz="4" w:space="0" w:color="00000A"/>
            </w:tcBorders>
            <w:shd w:val="clear" w:color="000000" w:fill="F2F2F2"/>
            <w:vAlign w:val="center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6" w:type="dxa"/>
            <w:tcBorders>
              <w:bottom w:val="single" w:sz="4" w:space="0" w:color="00000A"/>
            </w:tcBorders>
            <w:shd w:val="clear" w:color="000000" w:fill="F2F2F2"/>
            <w:vAlign w:val="center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782" w:type="dxa"/>
            <w:tcBorders>
              <w:bottom w:val="single" w:sz="4" w:space="0" w:color="00000A"/>
            </w:tcBorders>
            <w:shd w:val="clear" w:color="000000" w:fill="F2F2F2"/>
            <w:vAlign w:val="center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793" w:type="dxa"/>
            <w:vMerge/>
            <w:tcBorders>
              <w:top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tcBorders>
              <w:bottom w:val="single" w:sz="4" w:space="0" w:color="00000A"/>
            </w:tcBorders>
            <w:shd w:val="clear" w:color="000000" w:fill="F2F2F2"/>
            <w:vAlign w:val="center"/>
          </w:tcPr>
          <w:p w:rsidR="0047618D" w:rsidRDefault="0047618D" w:rsidP="00D30C6E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p</w:t>
            </w:r>
            <w:r>
              <w:rPr>
                <w:rFonts w:eastAsia="Times New Roman"/>
                <w:color w:val="000000"/>
                <w:sz w:val="20"/>
                <w:szCs w:val="20"/>
              </w:rPr>
              <w:t>-FWE</w:t>
            </w:r>
          </w:p>
        </w:tc>
        <w:tc>
          <w:tcPr>
            <w:tcW w:w="905" w:type="dxa"/>
            <w:tcBorders>
              <w:bottom w:val="single" w:sz="4" w:space="0" w:color="00000A"/>
            </w:tcBorders>
            <w:shd w:val="clear" w:color="000000" w:fill="F2F2F2"/>
            <w:vAlign w:val="center"/>
          </w:tcPr>
          <w:p w:rsidR="0047618D" w:rsidRDefault="0047618D" w:rsidP="00D30C6E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p</w:t>
            </w: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uncorr</w:t>
            </w:r>
            <w:proofErr w:type="spellEnd"/>
          </w:p>
        </w:tc>
        <w:tc>
          <w:tcPr>
            <w:tcW w:w="916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47618D" w:rsidRDefault="0047618D" w:rsidP="00D30C6E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p</w:t>
            </w:r>
            <w:r>
              <w:rPr>
                <w:rFonts w:eastAsia="Times New Roman"/>
                <w:color w:val="000000"/>
                <w:sz w:val="20"/>
                <w:szCs w:val="20"/>
              </w:rPr>
              <w:t>-FWE</w:t>
            </w:r>
          </w:p>
        </w:tc>
        <w:tc>
          <w:tcPr>
            <w:tcW w:w="1016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47618D" w:rsidRDefault="0047618D" w:rsidP="00D30C6E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p</w:t>
            </w: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uncorr</w:t>
            </w:r>
            <w:proofErr w:type="spellEnd"/>
          </w:p>
        </w:tc>
        <w:tc>
          <w:tcPr>
            <w:tcW w:w="674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T(67)</w:t>
            </w:r>
          </w:p>
        </w:tc>
        <w:tc>
          <w:tcPr>
            <w:tcW w:w="568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47618D" w:rsidRDefault="0047618D" w:rsidP="00D30C6E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Z</w:t>
            </w:r>
          </w:p>
        </w:tc>
        <w:tc>
          <w:tcPr>
            <w:tcW w:w="2619" w:type="dxa"/>
            <w:vMerge/>
            <w:tcBorders>
              <w:bottom w:val="single" w:sz="4" w:space="0" w:color="000001"/>
            </w:tcBorders>
            <w:shd w:val="clear" w:color="auto" w:fill="auto"/>
            <w:vAlign w:val="center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47618D" w:rsidTr="00F0323A">
        <w:trPr>
          <w:trHeight w:val="64"/>
        </w:trPr>
        <w:tc>
          <w:tcPr>
            <w:tcW w:w="711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6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82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-8</w:t>
            </w:r>
          </w:p>
        </w:tc>
        <w:tc>
          <w:tcPr>
            <w:tcW w:w="793" w:type="dxa"/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904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.24</w:t>
            </w:r>
          </w:p>
        </w:tc>
        <w:tc>
          <w:tcPr>
            <w:tcW w:w="905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.02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.06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5.22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4.76</w:t>
            </w:r>
          </w:p>
        </w:tc>
        <w:tc>
          <w:tcPr>
            <w:tcW w:w="2619" w:type="dxa"/>
            <w:shd w:val="clear" w:color="000000" w:fill="F2F2F2"/>
            <w:vAlign w:val="center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Frontal_Mid_Orb_R</w:t>
            </w:r>
            <w:proofErr w:type="spellEnd"/>
          </w:p>
        </w:tc>
      </w:tr>
      <w:tr w:rsidR="0047618D" w:rsidTr="00F0323A">
        <w:trPr>
          <w:trHeight w:val="74"/>
        </w:trPr>
        <w:tc>
          <w:tcPr>
            <w:tcW w:w="711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66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82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-6</w:t>
            </w:r>
          </w:p>
        </w:tc>
        <w:tc>
          <w:tcPr>
            <w:tcW w:w="793" w:type="dxa"/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3.68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3.50</w:t>
            </w:r>
          </w:p>
        </w:tc>
        <w:tc>
          <w:tcPr>
            <w:tcW w:w="2619" w:type="dxa"/>
            <w:shd w:val="clear" w:color="000000" w:fill="F2F2F2"/>
            <w:vAlign w:val="center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B55A1">
              <w:rPr>
                <w:color w:val="000000"/>
                <w:sz w:val="20"/>
                <w:szCs w:val="20"/>
              </w:rPr>
              <w:t>n/a</w:t>
            </w:r>
          </w:p>
        </w:tc>
      </w:tr>
      <w:tr w:rsidR="0047618D" w:rsidTr="00F0323A">
        <w:trPr>
          <w:trHeight w:val="74"/>
        </w:trPr>
        <w:tc>
          <w:tcPr>
            <w:tcW w:w="711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66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-35</w:t>
            </w:r>
          </w:p>
        </w:tc>
        <w:tc>
          <w:tcPr>
            <w:tcW w:w="782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93" w:type="dxa"/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04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.91</w:t>
            </w:r>
          </w:p>
        </w:tc>
        <w:tc>
          <w:tcPr>
            <w:tcW w:w="905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.13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.98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3.84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3.64</w:t>
            </w:r>
          </w:p>
        </w:tc>
        <w:tc>
          <w:tcPr>
            <w:tcW w:w="2619" w:type="dxa"/>
            <w:shd w:val="clear" w:color="000000" w:fill="F2F2F2"/>
            <w:vAlign w:val="center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SupraMarginal_R</w:t>
            </w:r>
            <w:proofErr w:type="spellEnd"/>
          </w:p>
        </w:tc>
      </w:tr>
      <w:tr w:rsidR="0047618D" w:rsidTr="00F0323A">
        <w:trPr>
          <w:trHeight w:val="74"/>
        </w:trPr>
        <w:tc>
          <w:tcPr>
            <w:tcW w:w="711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-42</w:t>
            </w:r>
          </w:p>
        </w:tc>
        <w:tc>
          <w:tcPr>
            <w:tcW w:w="566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82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93" w:type="dxa"/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04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.99</w:t>
            </w:r>
          </w:p>
        </w:tc>
        <w:tc>
          <w:tcPr>
            <w:tcW w:w="905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.27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.99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3.79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3.59</w:t>
            </w:r>
          </w:p>
        </w:tc>
        <w:tc>
          <w:tcPr>
            <w:tcW w:w="2619" w:type="dxa"/>
            <w:shd w:val="clear" w:color="000000" w:fill="F2F2F2"/>
            <w:vAlign w:val="center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Frontal_Mid_L</w:t>
            </w:r>
            <w:proofErr w:type="spellEnd"/>
          </w:p>
        </w:tc>
      </w:tr>
      <w:tr w:rsidR="0047618D" w:rsidTr="00F0323A">
        <w:trPr>
          <w:trHeight w:val="74"/>
        </w:trPr>
        <w:tc>
          <w:tcPr>
            <w:tcW w:w="711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6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-17</w:t>
            </w:r>
          </w:p>
        </w:tc>
        <w:tc>
          <w:tcPr>
            <w:tcW w:w="782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-3</w:t>
            </w:r>
          </w:p>
        </w:tc>
        <w:tc>
          <w:tcPr>
            <w:tcW w:w="793" w:type="dxa"/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4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905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.89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3.71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3.53</w:t>
            </w:r>
          </w:p>
        </w:tc>
        <w:tc>
          <w:tcPr>
            <w:tcW w:w="2619" w:type="dxa"/>
            <w:shd w:val="clear" w:color="000000" w:fill="F2F2F2"/>
            <w:vAlign w:val="center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Thalamus_R</w:t>
            </w:r>
            <w:proofErr w:type="spellEnd"/>
          </w:p>
        </w:tc>
      </w:tr>
      <w:tr w:rsidR="0047618D" w:rsidTr="00F0323A">
        <w:trPr>
          <w:trHeight w:val="74"/>
        </w:trPr>
        <w:tc>
          <w:tcPr>
            <w:tcW w:w="711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-50</w:t>
            </w:r>
          </w:p>
        </w:tc>
        <w:tc>
          <w:tcPr>
            <w:tcW w:w="566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-9</w:t>
            </w:r>
          </w:p>
        </w:tc>
        <w:tc>
          <w:tcPr>
            <w:tcW w:w="782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-14</w:t>
            </w:r>
          </w:p>
        </w:tc>
        <w:tc>
          <w:tcPr>
            <w:tcW w:w="793" w:type="dxa"/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04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.99</w:t>
            </w:r>
          </w:p>
        </w:tc>
        <w:tc>
          <w:tcPr>
            <w:tcW w:w="905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.23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3.71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3.52</w:t>
            </w:r>
          </w:p>
        </w:tc>
        <w:tc>
          <w:tcPr>
            <w:tcW w:w="2619" w:type="dxa"/>
            <w:shd w:val="clear" w:color="000000" w:fill="F2F2F2"/>
            <w:vAlign w:val="center"/>
          </w:tcPr>
          <w:p w:rsidR="0047618D" w:rsidRDefault="0047618D" w:rsidP="00D30C6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Temporal_Mid_L</w:t>
            </w:r>
            <w:proofErr w:type="spellEnd"/>
          </w:p>
        </w:tc>
      </w:tr>
      <w:tr w:rsidR="0047618D" w:rsidTr="00F0323A">
        <w:trPr>
          <w:trHeight w:val="74"/>
        </w:trPr>
        <w:tc>
          <w:tcPr>
            <w:tcW w:w="711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6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-26</w:t>
            </w:r>
          </w:p>
        </w:tc>
        <w:tc>
          <w:tcPr>
            <w:tcW w:w="782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93" w:type="dxa"/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04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.99</w:t>
            </w:r>
          </w:p>
        </w:tc>
        <w:tc>
          <w:tcPr>
            <w:tcW w:w="905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.29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3.50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3.34</w:t>
            </w:r>
          </w:p>
        </w:tc>
        <w:tc>
          <w:tcPr>
            <w:tcW w:w="2619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SupraMarginal_R</w:t>
            </w:r>
            <w:proofErr w:type="spellEnd"/>
          </w:p>
        </w:tc>
      </w:tr>
      <w:tr w:rsidR="0047618D" w:rsidTr="00F0323A">
        <w:trPr>
          <w:trHeight w:val="74"/>
        </w:trPr>
        <w:tc>
          <w:tcPr>
            <w:tcW w:w="711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66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-5</w:t>
            </w:r>
          </w:p>
        </w:tc>
        <w:tc>
          <w:tcPr>
            <w:tcW w:w="782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93" w:type="dxa"/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4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905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.60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3.46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3.30</w:t>
            </w:r>
          </w:p>
        </w:tc>
        <w:tc>
          <w:tcPr>
            <w:tcW w:w="2619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Frontal_Mid_R</w:t>
            </w:r>
            <w:proofErr w:type="spellEnd"/>
          </w:p>
        </w:tc>
      </w:tr>
      <w:tr w:rsidR="0047618D" w:rsidTr="00F0323A">
        <w:trPr>
          <w:trHeight w:val="74"/>
        </w:trPr>
        <w:tc>
          <w:tcPr>
            <w:tcW w:w="711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66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82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93" w:type="dxa"/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4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905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.89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3.44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3.29</w:t>
            </w:r>
          </w:p>
        </w:tc>
        <w:tc>
          <w:tcPr>
            <w:tcW w:w="2619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B55A1">
              <w:rPr>
                <w:color w:val="000000"/>
                <w:sz w:val="20"/>
                <w:szCs w:val="20"/>
              </w:rPr>
              <w:t>n/a</w:t>
            </w:r>
          </w:p>
        </w:tc>
      </w:tr>
      <w:tr w:rsidR="0047618D" w:rsidTr="00F0323A">
        <w:trPr>
          <w:trHeight w:val="74"/>
        </w:trPr>
        <w:tc>
          <w:tcPr>
            <w:tcW w:w="711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6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82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-27</w:t>
            </w:r>
          </w:p>
        </w:tc>
        <w:tc>
          <w:tcPr>
            <w:tcW w:w="793" w:type="dxa"/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04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905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.62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3.40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3.26</w:t>
            </w:r>
          </w:p>
        </w:tc>
        <w:tc>
          <w:tcPr>
            <w:tcW w:w="2619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B55A1">
              <w:rPr>
                <w:color w:val="000000"/>
                <w:sz w:val="20"/>
                <w:szCs w:val="20"/>
              </w:rPr>
              <w:t>n/a</w:t>
            </w:r>
          </w:p>
        </w:tc>
      </w:tr>
      <w:tr w:rsidR="0047618D" w:rsidTr="00F0323A">
        <w:trPr>
          <w:trHeight w:val="74"/>
        </w:trPr>
        <w:tc>
          <w:tcPr>
            <w:tcW w:w="711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-45</w:t>
            </w:r>
          </w:p>
        </w:tc>
        <w:tc>
          <w:tcPr>
            <w:tcW w:w="566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-6</w:t>
            </w:r>
          </w:p>
        </w:tc>
        <w:tc>
          <w:tcPr>
            <w:tcW w:w="782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93" w:type="dxa"/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4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905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.79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3.38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3.24</w:t>
            </w:r>
          </w:p>
        </w:tc>
        <w:tc>
          <w:tcPr>
            <w:tcW w:w="2619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Precentral_L</w:t>
            </w:r>
            <w:proofErr w:type="spellEnd"/>
          </w:p>
        </w:tc>
      </w:tr>
      <w:tr w:rsidR="0047618D" w:rsidTr="00F0323A">
        <w:trPr>
          <w:trHeight w:val="74"/>
        </w:trPr>
        <w:tc>
          <w:tcPr>
            <w:tcW w:w="711" w:type="dxa"/>
            <w:tcBorders>
              <w:bottom w:val="single" w:sz="4" w:space="0" w:color="00000A"/>
            </w:tcBorders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-42</w:t>
            </w:r>
          </w:p>
        </w:tc>
        <w:tc>
          <w:tcPr>
            <w:tcW w:w="566" w:type="dxa"/>
            <w:tcBorders>
              <w:bottom w:val="single" w:sz="4" w:space="0" w:color="00000A"/>
            </w:tcBorders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-56</w:t>
            </w:r>
          </w:p>
        </w:tc>
        <w:tc>
          <w:tcPr>
            <w:tcW w:w="782" w:type="dxa"/>
            <w:tcBorders>
              <w:bottom w:val="single" w:sz="4" w:space="0" w:color="00000A"/>
            </w:tcBorders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93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bottom w:val="single" w:sz="4" w:space="0" w:color="00000A"/>
            </w:tcBorders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905" w:type="dxa"/>
            <w:tcBorders>
              <w:bottom w:val="single" w:sz="4" w:space="0" w:color="00000A"/>
            </w:tcBorders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.79</w:t>
            </w:r>
          </w:p>
        </w:tc>
        <w:tc>
          <w:tcPr>
            <w:tcW w:w="916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016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674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3.32</w:t>
            </w:r>
          </w:p>
        </w:tc>
        <w:tc>
          <w:tcPr>
            <w:tcW w:w="568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3.18</w:t>
            </w:r>
          </w:p>
        </w:tc>
        <w:tc>
          <w:tcPr>
            <w:tcW w:w="2619" w:type="dxa"/>
            <w:tcBorders>
              <w:bottom w:val="single" w:sz="4" w:space="0" w:color="00000A"/>
            </w:tcBorders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Angular_L</w:t>
            </w:r>
            <w:proofErr w:type="spellEnd"/>
          </w:p>
        </w:tc>
      </w:tr>
    </w:tbl>
    <w:p w:rsidR="0047618D" w:rsidRPr="007C5954" w:rsidRDefault="007C5954" w:rsidP="00D30C6E">
      <w:pPr>
        <w:rPr>
          <w:rFonts w:eastAsia="Times New Roman"/>
          <w:color w:val="000000"/>
        </w:rPr>
      </w:pPr>
      <w:r w:rsidRPr="007C5954">
        <w:rPr>
          <w:rFonts w:eastAsia="Times New Roman"/>
          <w:i/>
          <w:color w:val="000000"/>
        </w:rPr>
        <w:t>Note.</w:t>
      </w:r>
      <w:r w:rsidRPr="007C5954">
        <w:rPr>
          <w:rFonts w:eastAsia="Times New Roman"/>
          <w:color w:val="000000"/>
        </w:rPr>
        <w:t xml:space="preserve"> </w:t>
      </w:r>
      <w:r w:rsidR="0047618D" w:rsidRPr="007C5954">
        <w:rPr>
          <w:rFonts w:eastAsia="Times New Roman"/>
          <w:color w:val="000000"/>
        </w:rPr>
        <w:t xml:space="preserve">n/a: no </w:t>
      </w:r>
      <w:r w:rsidR="0047618D" w:rsidRPr="007C5954">
        <w:rPr>
          <w:rFonts w:eastAsia="Times New Roman"/>
          <w:color w:val="000000"/>
          <w:lang w:val="en-US"/>
        </w:rPr>
        <w:t xml:space="preserve">identifiable </w:t>
      </w:r>
      <w:r w:rsidR="0047618D" w:rsidRPr="007C5954">
        <w:rPr>
          <w:rFonts w:eastAsia="Times New Roman"/>
          <w:color w:val="000000"/>
        </w:rPr>
        <w:t>grey-matter tissue</w:t>
      </w:r>
    </w:p>
    <w:p w:rsidR="0047618D" w:rsidRPr="008B55A1" w:rsidRDefault="0047618D" w:rsidP="00D30C6E">
      <w:pPr>
        <w:rPr>
          <w:color w:val="000000"/>
          <w:sz w:val="20"/>
          <w:szCs w:val="20"/>
        </w:rPr>
      </w:pPr>
    </w:p>
    <w:p w:rsidR="00B20D59" w:rsidRDefault="00B20D59" w:rsidP="00D30C6E">
      <w:pPr>
        <w:rPr>
          <w:rFonts w:eastAsia="Times New Roman"/>
          <w:color w:val="000000"/>
        </w:rPr>
      </w:pPr>
    </w:p>
    <w:p w:rsidR="00B20D59" w:rsidRDefault="00B20D59" w:rsidP="00D30C6E">
      <w:pPr>
        <w:rPr>
          <w:rFonts w:eastAsia="Times New Roman"/>
          <w:color w:val="000000"/>
        </w:rPr>
      </w:pPr>
    </w:p>
    <w:p w:rsidR="00B20D59" w:rsidRDefault="00B20D59" w:rsidP="00D30C6E">
      <w:pPr>
        <w:rPr>
          <w:rFonts w:eastAsia="Times New Roman"/>
          <w:color w:val="000000"/>
        </w:rPr>
      </w:pPr>
    </w:p>
    <w:p w:rsidR="00B20D59" w:rsidRDefault="00B20D59" w:rsidP="00D30C6E">
      <w:pPr>
        <w:rPr>
          <w:rFonts w:eastAsia="Times New Roman"/>
          <w:color w:val="000000"/>
        </w:rPr>
      </w:pPr>
    </w:p>
    <w:p w:rsidR="00B20D59" w:rsidRDefault="00B20D59" w:rsidP="00D30C6E">
      <w:pPr>
        <w:rPr>
          <w:rFonts w:eastAsia="Times New Roman"/>
          <w:color w:val="000000"/>
        </w:rPr>
      </w:pPr>
    </w:p>
    <w:p w:rsidR="00CB566C" w:rsidRDefault="00CB566C">
      <w:pPr>
        <w:suppressAutoHyphens w:val="0"/>
        <w:spacing w:after="160" w:line="259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 w:type="page"/>
      </w:r>
    </w:p>
    <w:p w:rsidR="0047618D" w:rsidRDefault="00D30C6E" w:rsidP="00D30C6E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Table S3</w:t>
      </w:r>
      <w:r w:rsidR="0047618D" w:rsidRPr="00D30C6E">
        <w:rPr>
          <w:rFonts w:eastAsia="Times New Roman"/>
          <w:color w:val="000000"/>
        </w:rPr>
        <w:t>.</w:t>
      </w:r>
      <w:r w:rsidR="0047618D" w:rsidRPr="00D30C6E">
        <w:rPr>
          <w:rFonts w:eastAsia="Times New Roman"/>
          <w:b/>
          <w:color w:val="000000"/>
        </w:rPr>
        <w:t xml:space="preserve"> </w:t>
      </w:r>
      <w:r w:rsidR="0047618D" w:rsidRPr="00D30C6E">
        <w:rPr>
          <w:rFonts w:eastAsia="Times New Roman"/>
          <w:color w:val="000000"/>
        </w:rPr>
        <w:t xml:space="preserve">Results of whole-brain analysis with the standardized slope of negative SRET scores as the </w:t>
      </w:r>
      <w:proofErr w:type="spellStart"/>
      <w:r w:rsidR="0047618D" w:rsidRPr="00D30C6E">
        <w:rPr>
          <w:rFonts w:eastAsia="Times New Roman"/>
          <w:color w:val="000000"/>
        </w:rPr>
        <w:t>regressor</w:t>
      </w:r>
      <w:proofErr w:type="spellEnd"/>
      <w:r w:rsidR="0047618D" w:rsidRPr="00D30C6E">
        <w:rPr>
          <w:rFonts w:eastAsia="Times New Roman"/>
          <w:color w:val="000000"/>
        </w:rPr>
        <w:t xml:space="preserve"> (peak voxel threshold at </w:t>
      </w:r>
      <w:r w:rsidR="0047618D" w:rsidRPr="00D30C6E">
        <w:rPr>
          <w:rFonts w:eastAsia="Times New Roman"/>
          <w:i/>
          <w:color w:val="000000"/>
        </w:rPr>
        <w:t xml:space="preserve">p </w:t>
      </w:r>
      <w:r w:rsidR="0047618D" w:rsidRPr="00D30C6E">
        <w:rPr>
          <w:rFonts w:eastAsia="Times New Roman"/>
          <w:color w:val="000000"/>
        </w:rPr>
        <w:t>&lt; .001, uncorrected)</w:t>
      </w:r>
    </w:p>
    <w:p w:rsidR="00D30C6E" w:rsidRPr="00D30C6E" w:rsidRDefault="00D30C6E" w:rsidP="00D30C6E">
      <w:pPr>
        <w:rPr>
          <w:rFonts w:eastAsia="Times New Roman"/>
          <w:color w:val="000000"/>
        </w:rPr>
      </w:pPr>
    </w:p>
    <w:tbl>
      <w:tblPr>
        <w:tblW w:w="10396" w:type="dxa"/>
        <w:tblInd w:w="-141" w:type="dxa"/>
        <w:tblBorders>
          <w:top w:val="single" w:sz="4" w:space="0" w:color="00000A"/>
        </w:tblBorders>
        <w:tblLook w:val="04A0" w:firstRow="1" w:lastRow="0" w:firstColumn="1" w:lastColumn="0" w:noHBand="0" w:noVBand="1"/>
      </w:tblPr>
      <w:tblGrid>
        <w:gridCol w:w="702"/>
        <w:gridCol w:w="560"/>
        <w:gridCol w:w="795"/>
        <w:gridCol w:w="785"/>
        <w:gridCol w:w="904"/>
        <w:gridCol w:w="906"/>
        <w:gridCol w:w="904"/>
        <w:gridCol w:w="1005"/>
        <w:gridCol w:w="676"/>
        <w:gridCol w:w="655"/>
        <w:gridCol w:w="2504"/>
      </w:tblGrid>
      <w:tr w:rsidR="0047618D" w:rsidTr="00F0323A">
        <w:trPr>
          <w:trHeight w:val="64"/>
        </w:trPr>
        <w:tc>
          <w:tcPr>
            <w:tcW w:w="2055" w:type="dxa"/>
            <w:gridSpan w:val="3"/>
            <w:tcBorders>
              <w:top w:val="single" w:sz="4" w:space="0" w:color="00000A"/>
            </w:tcBorders>
            <w:shd w:val="clear" w:color="000000" w:fill="F2F2F2"/>
            <w:vAlign w:val="center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Peak MNI coordinates</w:t>
            </w:r>
          </w:p>
        </w:tc>
        <w:tc>
          <w:tcPr>
            <w:tcW w:w="785" w:type="dxa"/>
            <w:vMerge w:val="restart"/>
            <w:tcBorders>
              <w:top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# voxels</w:t>
            </w:r>
          </w:p>
        </w:tc>
        <w:tc>
          <w:tcPr>
            <w:tcW w:w="1810" w:type="dxa"/>
            <w:gridSpan w:val="2"/>
            <w:tcBorders>
              <w:top w:val="single" w:sz="4" w:space="0" w:color="00000A"/>
            </w:tcBorders>
            <w:shd w:val="clear" w:color="000000" w:fill="F2F2F2"/>
            <w:vAlign w:val="center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Cluster-level</w:t>
            </w:r>
          </w:p>
        </w:tc>
        <w:tc>
          <w:tcPr>
            <w:tcW w:w="3240" w:type="dxa"/>
            <w:gridSpan w:val="4"/>
            <w:tcBorders>
              <w:top w:val="single" w:sz="4" w:space="0" w:color="00000A"/>
            </w:tcBorders>
            <w:shd w:val="clear" w:color="auto" w:fill="auto"/>
            <w:vAlign w:val="center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Peak-level</w:t>
            </w:r>
          </w:p>
        </w:tc>
        <w:tc>
          <w:tcPr>
            <w:tcW w:w="2504" w:type="dxa"/>
            <w:vMerge w:val="restart"/>
            <w:tcBorders>
              <w:top w:val="single" w:sz="4" w:space="0" w:color="00000A"/>
            </w:tcBorders>
            <w:shd w:val="clear" w:color="000000" w:fill="F2F2F2"/>
            <w:vAlign w:val="center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Automated Anatomical Labeling of peak voxel</w:t>
            </w:r>
          </w:p>
        </w:tc>
      </w:tr>
      <w:tr w:rsidR="0047618D" w:rsidTr="00F0323A">
        <w:trPr>
          <w:trHeight w:val="64"/>
        </w:trPr>
        <w:tc>
          <w:tcPr>
            <w:tcW w:w="701" w:type="dxa"/>
            <w:tcBorders>
              <w:bottom w:val="single" w:sz="4" w:space="0" w:color="00000A"/>
            </w:tcBorders>
            <w:shd w:val="clear" w:color="000000" w:fill="F2F2F2"/>
            <w:vAlign w:val="center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0" w:type="dxa"/>
            <w:tcBorders>
              <w:bottom w:val="single" w:sz="4" w:space="0" w:color="00000A"/>
            </w:tcBorders>
            <w:shd w:val="clear" w:color="000000" w:fill="F2F2F2"/>
            <w:vAlign w:val="center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795" w:type="dxa"/>
            <w:tcBorders>
              <w:bottom w:val="single" w:sz="4" w:space="0" w:color="00000A"/>
            </w:tcBorders>
            <w:shd w:val="clear" w:color="000000" w:fill="F2F2F2"/>
            <w:vAlign w:val="center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785" w:type="dxa"/>
            <w:vMerge/>
            <w:tcBorders>
              <w:top w:val="sing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tcBorders>
              <w:bottom w:val="single" w:sz="4" w:space="0" w:color="00000A"/>
            </w:tcBorders>
            <w:shd w:val="clear" w:color="000000" w:fill="F2F2F2"/>
            <w:vAlign w:val="center"/>
          </w:tcPr>
          <w:p w:rsidR="0047618D" w:rsidRDefault="0047618D" w:rsidP="00D30C6E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p</w:t>
            </w:r>
            <w:r>
              <w:rPr>
                <w:rFonts w:eastAsia="Times New Roman"/>
                <w:color w:val="000000"/>
                <w:sz w:val="20"/>
                <w:szCs w:val="20"/>
              </w:rPr>
              <w:t>-FWE</w:t>
            </w:r>
          </w:p>
        </w:tc>
        <w:tc>
          <w:tcPr>
            <w:tcW w:w="905" w:type="dxa"/>
            <w:tcBorders>
              <w:bottom w:val="single" w:sz="4" w:space="0" w:color="00000A"/>
            </w:tcBorders>
            <w:shd w:val="clear" w:color="000000" w:fill="F2F2F2"/>
            <w:vAlign w:val="center"/>
          </w:tcPr>
          <w:p w:rsidR="0047618D" w:rsidRDefault="0047618D" w:rsidP="00D30C6E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p</w:t>
            </w: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uncorr</w:t>
            </w:r>
            <w:proofErr w:type="spellEnd"/>
          </w:p>
        </w:tc>
        <w:tc>
          <w:tcPr>
            <w:tcW w:w="904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47618D" w:rsidRDefault="0047618D" w:rsidP="00D30C6E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p</w:t>
            </w:r>
            <w:r>
              <w:rPr>
                <w:rFonts w:eastAsia="Times New Roman"/>
                <w:color w:val="000000"/>
                <w:sz w:val="20"/>
                <w:szCs w:val="20"/>
              </w:rPr>
              <w:t>-FWE</w:t>
            </w:r>
          </w:p>
        </w:tc>
        <w:tc>
          <w:tcPr>
            <w:tcW w:w="1005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47618D" w:rsidRDefault="0047618D" w:rsidP="00D30C6E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p</w:t>
            </w: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uncorr</w:t>
            </w:r>
            <w:proofErr w:type="spellEnd"/>
          </w:p>
        </w:tc>
        <w:tc>
          <w:tcPr>
            <w:tcW w:w="676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T(67)</w:t>
            </w:r>
          </w:p>
        </w:tc>
        <w:tc>
          <w:tcPr>
            <w:tcW w:w="655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47618D" w:rsidRDefault="0047618D" w:rsidP="00D30C6E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Z</w:t>
            </w:r>
          </w:p>
        </w:tc>
        <w:tc>
          <w:tcPr>
            <w:tcW w:w="2504" w:type="dxa"/>
            <w:vMerge/>
            <w:tcBorders>
              <w:bottom w:val="single" w:sz="4" w:space="0" w:color="000001"/>
            </w:tcBorders>
            <w:shd w:val="clear" w:color="auto" w:fill="auto"/>
            <w:vAlign w:val="center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47618D" w:rsidTr="00F0323A">
        <w:trPr>
          <w:trHeight w:val="64"/>
        </w:trPr>
        <w:tc>
          <w:tcPr>
            <w:tcW w:w="701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-44</w:t>
            </w:r>
          </w:p>
        </w:tc>
        <w:tc>
          <w:tcPr>
            <w:tcW w:w="560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-41</w:t>
            </w:r>
          </w:p>
        </w:tc>
        <w:tc>
          <w:tcPr>
            <w:tcW w:w="795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85" w:type="dxa"/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04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.99</w:t>
            </w:r>
          </w:p>
        </w:tc>
        <w:tc>
          <w:tcPr>
            <w:tcW w:w="905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.25</w:t>
            </w:r>
          </w:p>
        </w:tc>
        <w:tc>
          <w:tcPr>
            <w:tcW w:w="904" w:type="dxa"/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.79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676" w:type="dxa"/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4.18</w:t>
            </w:r>
          </w:p>
        </w:tc>
        <w:tc>
          <w:tcPr>
            <w:tcW w:w="655" w:type="dxa"/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3.93</w:t>
            </w:r>
          </w:p>
        </w:tc>
        <w:tc>
          <w:tcPr>
            <w:tcW w:w="2504" w:type="dxa"/>
            <w:shd w:val="clear" w:color="000000" w:fill="F2F2F2"/>
            <w:vAlign w:val="bottom"/>
          </w:tcPr>
          <w:p w:rsidR="0047618D" w:rsidRPr="008B55A1" w:rsidRDefault="0047618D" w:rsidP="00D30C6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B55A1">
              <w:rPr>
                <w:color w:val="000000"/>
                <w:sz w:val="20"/>
                <w:szCs w:val="20"/>
              </w:rPr>
              <w:t>SupraMarginal_L</w:t>
            </w:r>
            <w:proofErr w:type="spellEnd"/>
          </w:p>
        </w:tc>
      </w:tr>
      <w:tr w:rsidR="0047618D" w:rsidTr="00F0323A">
        <w:trPr>
          <w:trHeight w:val="74"/>
        </w:trPr>
        <w:tc>
          <w:tcPr>
            <w:tcW w:w="701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0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-30</w:t>
            </w:r>
          </w:p>
        </w:tc>
        <w:tc>
          <w:tcPr>
            <w:tcW w:w="795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85" w:type="dxa"/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04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.98</w:t>
            </w:r>
          </w:p>
        </w:tc>
        <w:tc>
          <w:tcPr>
            <w:tcW w:w="905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.22</w:t>
            </w:r>
          </w:p>
        </w:tc>
        <w:tc>
          <w:tcPr>
            <w:tcW w:w="904" w:type="dxa"/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.98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676" w:type="dxa"/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3.85</w:t>
            </w:r>
          </w:p>
        </w:tc>
        <w:tc>
          <w:tcPr>
            <w:tcW w:w="655" w:type="dxa"/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3.64</w:t>
            </w:r>
          </w:p>
        </w:tc>
        <w:tc>
          <w:tcPr>
            <w:tcW w:w="2504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Paracentral_Lobule_R</w:t>
            </w:r>
            <w:proofErr w:type="spellEnd"/>
          </w:p>
        </w:tc>
      </w:tr>
      <w:tr w:rsidR="0047618D" w:rsidTr="00F0323A">
        <w:trPr>
          <w:trHeight w:val="74"/>
        </w:trPr>
        <w:tc>
          <w:tcPr>
            <w:tcW w:w="701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560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95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85" w:type="dxa"/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4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905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.89</w:t>
            </w:r>
          </w:p>
        </w:tc>
        <w:tc>
          <w:tcPr>
            <w:tcW w:w="904" w:type="dxa"/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676" w:type="dxa"/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3.63</w:t>
            </w:r>
          </w:p>
        </w:tc>
        <w:tc>
          <w:tcPr>
            <w:tcW w:w="655" w:type="dxa"/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3.45</w:t>
            </w:r>
          </w:p>
        </w:tc>
        <w:tc>
          <w:tcPr>
            <w:tcW w:w="2504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8B55A1">
              <w:rPr>
                <w:color w:val="000000"/>
                <w:sz w:val="20"/>
                <w:szCs w:val="20"/>
              </w:rPr>
              <w:t>n/a</w:t>
            </w:r>
          </w:p>
        </w:tc>
      </w:tr>
      <w:tr w:rsidR="0047618D" w:rsidTr="00F0323A">
        <w:trPr>
          <w:trHeight w:val="74"/>
        </w:trPr>
        <w:tc>
          <w:tcPr>
            <w:tcW w:w="701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60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-30</w:t>
            </w:r>
          </w:p>
        </w:tc>
        <w:tc>
          <w:tcPr>
            <w:tcW w:w="795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-11</w:t>
            </w:r>
          </w:p>
        </w:tc>
        <w:tc>
          <w:tcPr>
            <w:tcW w:w="785" w:type="dxa"/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4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905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.69</w:t>
            </w:r>
          </w:p>
        </w:tc>
        <w:tc>
          <w:tcPr>
            <w:tcW w:w="904" w:type="dxa"/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676" w:type="dxa"/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3.61</w:t>
            </w:r>
          </w:p>
        </w:tc>
        <w:tc>
          <w:tcPr>
            <w:tcW w:w="655" w:type="dxa"/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3.44</w:t>
            </w:r>
          </w:p>
        </w:tc>
        <w:tc>
          <w:tcPr>
            <w:tcW w:w="2504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8B55A1">
              <w:rPr>
                <w:color w:val="000000"/>
                <w:sz w:val="20"/>
                <w:szCs w:val="20"/>
              </w:rPr>
              <w:t>n/a</w:t>
            </w:r>
          </w:p>
        </w:tc>
      </w:tr>
      <w:tr w:rsidR="0047618D" w:rsidTr="00F0323A">
        <w:trPr>
          <w:trHeight w:val="74"/>
        </w:trPr>
        <w:tc>
          <w:tcPr>
            <w:tcW w:w="701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0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5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85" w:type="dxa"/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04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905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.45</w:t>
            </w:r>
          </w:p>
        </w:tc>
        <w:tc>
          <w:tcPr>
            <w:tcW w:w="904" w:type="dxa"/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676" w:type="dxa"/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3.53</w:t>
            </w:r>
          </w:p>
        </w:tc>
        <w:tc>
          <w:tcPr>
            <w:tcW w:w="655" w:type="dxa"/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3.37</w:t>
            </w:r>
          </w:p>
        </w:tc>
        <w:tc>
          <w:tcPr>
            <w:tcW w:w="2504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Frontal_Sup_R</w:t>
            </w:r>
            <w:proofErr w:type="spellEnd"/>
          </w:p>
        </w:tc>
      </w:tr>
      <w:tr w:rsidR="0047618D" w:rsidTr="00F0323A">
        <w:trPr>
          <w:trHeight w:val="74"/>
        </w:trPr>
        <w:tc>
          <w:tcPr>
            <w:tcW w:w="701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60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5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85" w:type="dxa"/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4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905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.69</w:t>
            </w:r>
          </w:p>
        </w:tc>
        <w:tc>
          <w:tcPr>
            <w:tcW w:w="904" w:type="dxa"/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676" w:type="dxa"/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3.45</w:t>
            </w:r>
          </w:p>
        </w:tc>
        <w:tc>
          <w:tcPr>
            <w:tcW w:w="655" w:type="dxa"/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3.30</w:t>
            </w:r>
          </w:p>
        </w:tc>
        <w:tc>
          <w:tcPr>
            <w:tcW w:w="2504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Precentral_R</w:t>
            </w:r>
            <w:proofErr w:type="spellEnd"/>
          </w:p>
        </w:tc>
      </w:tr>
      <w:tr w:rsidR="0047618D" w:rsidTr="00F0323A">
        <w:trPr>
          <w:trHeight w:val="74"/>
        </w:trPr>
        <w:tc>
          <w:tcPr>
            <w:tcW w:w="701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0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-39</w:t>
            </w:r>
          </w:p>
        </w:tc>
        <w:tc>
          <w:tcPr>
            <w:tcW w:w="795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85" w:type="dxa"/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4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905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.69</w:t>
            </w:r>
          </w:p>
        </w:tc>
        <w:tc>
          <w:tcPr>
            <w:tcW w:w="904" w:type="dxa"/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676" w:type="dxa"/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3.35</w:t>
            </w:r>
          </w:p>
        </w:tc>
        <w:tc>
          <w:tcPr>
            <w:tcW w:w="655" w:type="dxa"/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3.21</w:t>
            </w:r>
          </w:p>
        </w:tc>
        <w:tc>
          <w:tcPr>
            <w:tcW w:w="2504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Cingulum_Mid_R</w:t>
            </w:r>
            <w:proofErr w:type="spellEnd"/>
          </w:p>
        </w:tc>
      </w:tr>
      <w:tr w:rsidR="0047618D" w:rsidTr="00F0323A">
        <w:trPr>
          <w:trHeight w:val="74"/>
        </w:trPr>
        <w:tc>
          <w:tcPr>
            <w:tcW w:w="701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0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-30</w:t>
            </w:r>
          </w:p>
        </w:tc>
        <w:tc>
          <w:tcPr>
            <w:tcW w:w="795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-9</w:t>
            </w:r>
          </w:p>
        </w:tc>
        <w:tc>
          <w:tcPr>
            <w:tcW w:w="785" w:type="dxa"/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4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905" w:type="dxa"/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.84</w:t>
            </w:r>
          </w:p>
        </w:tc>
        <w:tc>
          <w:tcPr>
            <w:tcW w:w="904" w:type="dxa"/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676" w:type="dxa"/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3.33</w:t>
            </w:r>
          </w:p>
        </w:tc>
        <w:tc>
          <w:tcPr>
            <w:tcW w:w="655" w:type="dxa"/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3.19</w:t>
            </w:r>
          </w:p>
        </w:tc>
        <w:tc>
          <w:tcPr>
            <w:tcW w:w="2504" w:type="dxa"/>
            <w:shd w:val="clear" w:color="000000" w:fill="F2F2F2"/>
            <w:vAlign w:val="bottom"/>
          </w:tcPr>
          <w:p w:rsidR="0047618D" w:rsidRPr="008B55A1" w:rsidRDefault="0047618D" w:rsidP="00D30C6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Lingual_R</w:t>
            </w:r>
            <w:proofErr w:type="spellEnd"/>
          </w:p>
        </w:tc>
      </w:tr>
      <w:tr w:rsidR="0047618D" w:rsidTr="00F0323A">
        <w:trPr>
          <w:trHeight w:val="74"/>
        </w:trPr>
        <w:tc>
          <w:tcPr>
            <w:tcW w:w="701" w:type="dxa"/>
            <w:tcBorders>
              <w:bottom w:val="single" w:sz="4" w:space="0" w:color="00000A"/>
            </w:tcBorders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0" w:type="dxa"/>
            <w:tcBorders>
              <w:bottom w:val="single" w:sz="4" w:space="0" w:color="00000A"/>
            </w:tcBorders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-11</w:t>
            </w:r>
          </w:p>
        </w:tc>
        <w:tc>
          <w:tcPr>
            <w:tcW w:w="795" w:type="dxa"/>
            <w:tcBorders>
              <w:bottom w:val="single" w:sz="4" w:space="0" w:color="00000A"/>
            </w:tcBorders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85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4" w:type="dxa"/>
            <w:tcBorders>
              <w:bottom w:val="single" w:sz="4" w:space="0" w:color="00000A"/>
            </w:tcBorders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905" w:type="dxa"/>
            <w:tcBorders>
              <w:bottom w:val="single" w:sz="4" w:space="0" w:color="00000A"/>
            </w:tcBorders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.89</w:t>
            </w:r>
          </w:p>
        </w:tc>
        <w:tc>
          <w:tcPr>
            <w:tcW w:w="904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005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676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3.26</w:t>
            </w:r>
          </w:p>
        </w:tc>
        <w:tc>
          <w:tcPr>
            <w:tcW w:w="655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3.13</w:t>
            </w:r>
          </w:p>
        </w:tc>
        <w:tc>
          <w:tcPr>
            <w:tcW w:w="2504" w:type="dxa"/>
            <w:tcBorders>
              <w:bottom w:val="single" w:sz="4" w:space="0" w:color="00000A"/>
            </w:tcBorders>
            <w:shd w:val="clear" w:color="000000" w:fill="F2F2F2"/>
            <w:vAlign w:val="bottom"/>
          </w:tcPr>
          <w:p w:rsidR="0047618D" w:rsidRDefault="0047618D" w:rsidP="00D30C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Supp_Motor_Area_R</w:t>
            </w:r>
            <w:proofErr w:type="spellEnd"/>
          </w:p>
        </w:tc>
      </w:tr>
    </w:tbl>
    <w:p w:rsidR="0047618D" w:rsidRDefault="007C5954" w:rsidP="00D30C6E">
      <w:pPr>
        <w:rPr>
          <w:rFonts w:eastAsia="Times New Roman"/>
          <w:color w:val="000000"/>
        </w:rPr>
      </w:pPr>
      <w:r w:rsidRPr="007C5954">
        <w:rPr>
          <w:rFonts w:eastAsia="Times New Roman"/>
          <w:i/>
          <w:color w:val="000000"/>
        </w:rPr>
        <w:t xml:space="preserve">Note. </w:t>
      </w:r>
      <w:r w:rsidR="0047618D" w:rsidRPr="007C5954">
        <w:rPr>
          <w:rFonts w:eastAsia="Times New Roman"/>
          <w:color w:val="000000"/>
        </w:rPr>
        <w:t xml:space="preserve">n/a: no </w:t>
      </w:r>
      <w:r w:rsidR="0047618D" w:rsidRPr="007C5954">
        <w:rPr>
          <w:rFonts w:eastAsia="Times New Roman"/>
          <w:color w:val="000000"/>
          <w:lang w:val="en-US"/>
        </w:rPr>
        <w:t xml:space="preserve">identifiable </w:t>
      </w:r>
      <w:r w:rsidR="0047618D" w:rsidRPr="007C5954">
        <w:rPr>
          <w:rFonts w:eastAsia="Times New Roman"/>
          <w:color w:val="000000"/>
        </w:rPr>
        <w:t>grey-matter tissue</w:t>
      </w:r>
    </w:p>
    <w:p w:rsidR="00D30C6E" w:rsidRPr="007C5954" w:rsidRDefault="00D30C6E" w:rsidP="00D30C6E">
      <w:pPr>
        <w:rPr>
          <w:rFonts w:eastAsia="Times New Roman"/>
          <w:color w:val="000000"/>
        </w:rPr>
      </w:pPr>
    </w:p>
    <w:p w:rsidR="00D30C6E" w:rsidRPr="001533B5" w:rsidRDefault="00D30C6E" w:rsidP="00D30C6E">
      <w:pPr>
        <w:pStyle w:val="ListParagraph"/>
        <w:numPr>
          <w:ilvl w:val="0"/>
          <w:numId w:val="3"/>
        </w:numPr>
        <w:suppressAutoHyphens w:val="0"/>
        <w:rPr>
          <w:b/>
          <w:color w:val="222222"/>
          <w:highlight w:val="lightGray"/>
        </w:rPr>
      </w:pPr>
      <w:r w:rsidRPr="001533B5">
        <w:rPr>
          <w:b/>
          <w:color w:val="222222"/>
          <w:highlight w:val="lightGray"/>
        </w:rPr>
        <w:t>Post-hoc regression analysis</w:t>
      </w:r>
    </w:p>
    <w:p w:rsidR="00D30C6E" w:rsidRPr="001533B5" w:rsidRDefault="00D30C6E" w:rsidP="00D30C6E">
      <w:pPr>
        <w:pStyle w:val="ListParagraph"/>
        <w:suppressAutoHyphens w:val="0"/>
        <w:ind w:left="360"/>
        <w:rPr>
          <w:b/>
          <w:color w:val="222222"/>
          <w:highlight w:val="lightGray"/>
        </w:rPr>
      </w:pPr>
    </w:p>
    <w:p w:rsidR="007C5954" w:rsidRPr="001533B5" w:rsidRDefault="00677D70" w:rsidP="00D30C6E">
      <w:pPr>
        <w:suppressAutoHyphens w:val="0"/>
        <w:ind w:firstLine="360"/>
        <w:rPr>
          <w:color w:val="222222"/>
          <w:highlight w:val="lightGray"/>
        </w:rPr>
      </w:pPr>
      <w:proofErr w:type="gramStart"/>
      <w:r w:rsidRPr="001533B5">
        <w:rPr>
          <w:rFonts w:eastAsia="Times New Roman"/>
          <w:color w:val="000000"/>
          <w:highlight w:val="lightGray"/>
        </w:rPr>
        <w:t xml:space="preserve">In order to examine the </w:t>
      </w:r>
      <w:r w:rsidRPr="001533B5">
        <w:rPr>
          <w:color w:val="222222"/>
          <w:highlight w:val="lightGray"/>
        </w:rPr>
        <w:t xml:space="preserve">relative contribution of each regressor (and covariate) to the GMV of the significant </w:t>
      </w:r>
      <w:proofErr w:type="spellStart"/>
      <w:r w:rsidRPr="001533B5">
        <w:rPr>
          <w:color w:val="222222"/>
          <w:highlight w:val="lightGray"/>
        </w:rPr>
        <w:t>vlPFC</w:t>
      </w:r>
      <w:proofErr w:type="spellEnd"/>
      <w:r w:rsidRPr="001533B5">
        <w:rPr>
          <w:color w:val="222222"/>
          <w:highlight w:val="lightGray"/>
        </w:rPr>
        <w:t xml:space="preserve"> cluster, we ran a post-hoc analysis by extracting</w:t>
      </w:r>
      <w:r w:rsidR="007C5954" w:rsidRPr="001533B5">
        <w:rPr>
          <w:color w:val="222222"/>
          <w:highlight w:val="lightGray"/>
        </w:rPr>
        <w:t xml:space="preserve"> the indicators of GMV </w:t>
      </w:r>
      <w:r w:rsidR="00B20D59" w:rsidRPr="001533B5">
        <w:rPr>
          <w:color w:val="222222"/>
          <w:highlight w:val="lightGray"/>
        </w:rPr>
        <w:t xml:space="preserve">from this </w:t>
      </w:r>
      <w:proofErr w:type="spellStart"/>
      <w:r w:rsidR="007C5954" w:rsidRPr="001533B5">
        <w:rPr>
          <w:color w:val="222222"/>
          <w:highlight w:val="lightGray"/>
        </w:rPr>
        <w:t>vlPFC</w:t>
      </w:r>
      <w:proofErr w:type="spellEnd"/>
      <w:r w:rsidR="007C5954" w:rsidRPr="001533B5">
        <w:rPr>
          <w:color w:val="222222"/>
          <w:highlight w:val="lightGray"/>
        </w:rPr>
        <w:t xml:space="preserve"> cluster as the dependent variable, which was subjected to a regression </w:t>
      </w:r>
      <w:r w:rsidR="00B20D59" w:rsidRPr="001533B5">
        <w:rPr>
          <w:color w:val="222222"/>
          <w:highlight w:val="lightGray"/>
        </w:rPr>
        <w:t xml:space="preserve">model </w:t>
      </w:r>
      <w:r w:rsidR="007C5954" w:rsidRPr="001533B5">
        <w:rPr>
          <w:color w:val="222222"/>
          <w:highlight w:val="lightGray"/>
        </w:rPr>
        <w:t>with the same regressor (slope of positive SRET scores) and covariates (intercept of positive SRET scores, age, sex, ICV, and CDI symptoms) as those in the voxel-wise morphometry analysis</w:t>
      </w:r>
      <w:r w:rsidR="00B20D59" w:rsidRPr="001533B5">
        <w:rPr>
          <w:color w:val="222222"/>
          <w:highlight w:val="lightGray"/>
        </w:rPr>
        <w:t xml:space="preserve"> in the main text</w:t>
      </w:r>
      <w:r w:rsidR="007C5954" w:rsidRPr="001533B5">
        <w:rPr>
          <w:color w:val="222222"/>
          <w:highlight w:val="lightGray"/>
        </w:rPr>
        <w:t>.</w:t>
      </w:r>
      <w:proofErr w:type="gramEnd"/>
      <w:r w:rsidR="007C5954" w:rsidRPr="001533B5">
        <w:rPr>
          <w:color w:val="222222"/>
          <w:highlight w:val="lightGray"/>
        </w:rPr>
        <w:t xml:space="preserve"> </w:t>
      </w:r>
      <w:r w:rsidRPr="001533B5">
        <w:rPr>
          <w:color w:val="222222"/>
          <w:highlight w:val="lightGray"/>
        </w:rPr>
        <w:t>Of note, t</w:t>
      </w:r>
      <w:r w:rsidR="007C5954" w:rsidRPr="001533B5">
        <w:rPr>
          <w:color w:val="222222"/>
          <w:highlight w:val="lightGray"/>
        </w:rPr>
        <w:t xml:space="preserve">he standardized beta values </w:t>
      </w:r>
      <w:r w:rsidRPr="001533B5">
        <w:rPr>
          <w:color w:val="222222"/>
          <w:highlight w:val="lightGray"/>
        </w:rPr>
        <w:t xml:space="preserve">generated by this post-hoc analysis </w:t>
      </w:r>
      <w:proofErr w:type="gramStart"/>
      <w:r w:rsidR="007C5954" w:rsidRPr="001533B5">
        <w:rPr>
          <w:color w:val="222222"/>
          <w:highlight w:val="lightGray"/>
        </w:rPr>
        <w:t>are</w:t>
      </w:r>
      <w:r w:rsidR="00120722" w:rsidRPr="001533B5">
        <w:rPr>
          <w:color w:val="222222"/>
          <w:highlight w:val="lightGray"/>
        </w:rPr>
        <w:t xml:space="preserve"> approximations of</w:t>
      </w:r>
      <w:proofErr w:type="gramEnd"/>
      <w:r w:rsidR="00120722" w:rsidRPr="001533B5">
        <w:rPr>
          <w:color w:val="222222"/>
          <w:highlight w:val="lightGray"/>
        </w:rPr>
        <w:t xml:space="preserve"> the </w:t>
      </w:r>
      <w:r w:rsidR="007C5954" w:rsidRPr="001533B5">
        <w:rPr>
          <w:color w:val="222222"/>
          <w:highlight w:val="lightGray"/>
        </w:rPr>
        <w:t>c</w:t>
      </w:r>
      <w:r w:rsidR="00120722" w:rsidRPr="001533B5">
        <w:rPr>
          <w:color w:val="222222"/>
          <w:highlight w:val="lightGray"/>
        </w:rPr>
        <w:t>ontribution of each regressor</w:t>
      </w:r>
      <w:r w:rsidR="007C5954" w:rsidRPr="001533B5">
        <w:rPr>
          <w:color w:val="222222"/>
          <w:highlight w:val="lightGray"/>
        </w:rPr>
        <w:t xml:space="preserve">, rather than indicators of the actual effect size. </w:t>
      </w:r>
    </w:p>
    <w:p w:rsidR="00D30C6E" w:rsidRPr="001533B5" w:rsidRDefault="00D30C6E" w:rsidP="00D30C6E">
      <w:pPr>
        <w:suppressAutoHyphens w:val="0"/>
        <w:ind w:firstLine="360"/>
        <w:rPr>
          <w:color w:val="222222"/>
          <w:highlight w:val="lightGray"/>
        </w:rPr>
      </w:pPr>
    </w:p>
    <w:p w:rsidR="007C5954" w:rsidRDefault="00B23A80" w:rsidP="00D30C6E">
      <w:pPr>
        <w:jc w:val="center"/>
        <w:rPr>
          <w:color w:val="222222"/>
        </w:rPr>
      </w:pPr>
      <w:r w:rsidRPr="001533B5">
        <w:rPr>
          <w:color w:val="222222"/>
          <w:highlight w:val="lightGray"/>
        </w:rPr>
        <w:t>Table S4</w:t>
      </w:r>
      <w:r w:rsidR="007C5954" w:rsidRPr="001533B5">
        <w:rPr>
          <w:color w:val="222222"/>
          <w:highlight w:val="lightGray"/>
        </w:rPr>
        <w:t xml:space="preserve">. Results of the post-hoc regression analysis </w:t>
      </w:r>
      <w:r w:rsidR="00D30C6E" w:rsidRPr="001533B5">
        <w:rPr>
          <w:color w:val="222222"/>
          <w:highlight w:val="lightGray"/>
        </w:rPr>
        <w:t xml:space="preserve">on the GMV of the </w:t>
      </w:r>
      <w:proofErr w:type="spellStart"/>
      <w:r w:rsidR="00D30C6E" w:rsidRPr="001533B5">
        <w:rPr>
          <w:color w:val="222222"/>
          <w:highlight w:val="lightGray"/>
        </w:rPr>
        <w:t>vlPFC</w:t>
      </w:r>
      <w:proofErr w:type="spellEnd"/>
      <w:r w:rsidR="00D30C6E" w:rsidRPr="001533B5">
        <w:rPr>
          <w:color w:val="222222"/>
          <w:highlight w:val="lightGray"/>
        </w:rPr>
        <w:t xml:space="preserve"> cluster</w:t>
      </w:r>
    </w:p>
    <w:p w:rsidR="00D30C6E" w:rsidRDefault="00D30C6E" w:rsidP="00D30C6E">
      <w:pPr>
        <w:jc w:val="center"/>
        <w:rPr>
          <w:color w:val="2222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76"/>
        <w:gridCol w:w="1903"/>
        <w:gridCol w:w="636"/>
        <w:gridCol w:w="1649"/>
        <w:gridCol w:w="516"/>
      </w:tblGrid>
      <w:tr w:rsidR="007C5954" w:rsidRPr="007C5954" w:rsidTr="00870C37">
        <w:trPr>
          <w:trHeight w:val="6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5954" w:rsidRPr="007C5954" w:rsidRDefault="007C5954" w:rsidP="00D30C6E">
            <w:pPr>
              <w:rPr>
                <w:rFonts w:eastAsia="Times New Roman"/>
              </w:rPr>
            </w:pPr>
            <w:r w:rsidRPr="007C5954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5954" w:rsidRPr="007C5954" w:rsidRDefault="007C5954" w:rsidP="00D30C6E">
            <w:pPr>
              <w:jc w:val="center"/>
              <w:rPr>
                <w:rFonts w:eastAsia="Times New Roman"/>
              </w:rPr>
            </w:pPr>
            <w:r w:rsidRPr="007C5954">
              <w:rPr>
                <w:rFonts w:eastAsia="Times New Roman"/>
              </w:rPr>
              <w:t xml:space="preserve">Unstandardized </w:t>
            </w:r>
            <w:r w:rsidRPr="007C5954">
              <w:rPr>
                <w:rFonts w:eastAsia="Times New Roman"/>
                <w:i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5954" w:rsidRPr="007C5954" w:rsidRDefault="007C5954" w:rsidP="00D30C6E">
            <w:pPr>
              <w:jc w:val="center"/>
              <w:rPr>
                <w:rFonts w:eastAsia="Times New Roman"/>
                <w:i/>
              </w:rPr>
            </w:pPr>
            <w:r w:rsidRPr="007C5954">
              <w:rPr>
                <w:rFonts w:eastAsia="Times New Roman"/>
                <w:i/>
              </w:rPr>
              <w:t>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5954" w:rsidRPr="007C5954" w:rsidRDefault="007C5954" w:rsidP="00D30C6E">
            <w:pPr>
              <w:jc w:val="center"/>
              <w:rPr>
                <w:rFonts w:eastAsia="Times New Roman"/>
              </w:rPr>
            </w:pPr>
            <w:r w:rsidRPr="007C5954">
              <w:rPr>
                <w:rFonts w:eastAsia="Times New Roman"/>
              </w:rPr>
              <w:t xml:space="preserve">Standardized </w:t>
            </w:r>
            <w:r w:rsidRPr="007C5954">
              <w:rPr>
                <w:rFonts w:eastAsia="Times New Roman"/>
                <w:i/>
              </w:rPr>
              <w:t>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5954" w:rsidRPr="007C5954" w:rsidRDefault="007C5954" w:rsidP="00D30C6E">
            <w:pPr>
              <w:jc w:val="center"/>
              <w:rPr>
                <w:rFonts w:eastAsia="Times New Roman"/>
                <w:i/>
                <w:iCs/>
              </w:rPr>
            </w:pPr>
            <w:r w:rsidRPr="007C5954">
              <w:rPr>
                <w:rFonts w:eastAsia="Times New Roman"/>
                <w:i/>
                <w:iCs/>
              </w:rPr>
              <w:t>p</w:t>
            </w:r>
          </w:p>
        </w:tc>
      </w:tr>
      <w:tr w:rsidR="007C5954" w:rsidRPr="007C5954" w:rsidTr="00870C37">
        <w:trPr>
          <w:trHeight w:val="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5954" w:rsidRPr="007C5954" w:rsidRDefault="007C5954" w:rsidP="00D30C6E">
            <w:pPr>
              <w:rPr>
                <w:rFonts w:eastAsia="Times New Roman"/>
              </w:rPr>
            </w:pPr>
            <w:r w:rsidRPr="007C5954">
              <w:rPr>
                <w:rFonts w:eastAsia="Times New Roman"/>
              </w:rPr>
              <w:t>Slope of Positive SRET score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5954" w:rsidRPr="007C5954" w:rsidRDefault="007C5954" w:rsidP="00D30C6E">
            <w:pPr>
              <w:jc w:val="center"/>
              <w:rPr>
                <w:rFonts w:eastAsia="Times New Roman"/>
              </w:rPr>
            </w:pPr>
            <w:r w:rsidRPr="007C5954">
              <w:rPr>
                <w:rFonts w:eastAsia="Times New Roman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5954" w:rsidRPr="007C5954" w:rsidRDefault="007C5954" w:rsidP="00D30C6E">
            <w:pPr>
              <w:jc w:val="center"/>
              <w:rPr>
                <w:rFonts w:eastAsia="Times New Roman"/>
              </w:rPr>
            </w:pPr>
            <w:r w:rsidRPr="007C5954">
              <w:rPr>
                <w:rFonts w:eastAsia="Times New Roman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5954" w:rsidRPr="007C5954" w:rsidRDefault="007C5954" w:rsidP="00D30C6E">
            <w:pPr>
              <w:jc w:val="center"/>
              <w:rPr>
                <w:rFonts w:eastAsia="Times New Roman"/>
              </w:rPr>
            </w:pPr>
            <w:r w:rsidRPr="007C5954">
              <w:rPr>
                <w:rFonts w:eastAsia="Times New Roman"/>
              </w:rPr>
              <w:t>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5954" w:rsidRPr="007C5954" w:rsidRDefault="007C5954" w:rsidP="001533B5">
            <w:pPr>
              <w:jc w:val="center"/>
              <w:rPr>
                <w:rFonts w:eastAsia="Times New Roman"/>
              </w:rPr>
            </w:pPr>
            <w:r w:rsidRPr="007C5954">
              <w:rPr>
                <w:rFonts w:eastAsia="Times New Roman"/>
              </w:rPr>
              <w:t>.00</w:t>
            </w:r>
          </w:p>
        </w:tc>
      </w:tr>
      <w:tr w:rsidR="007C5954" w:rsidRPr="007C5954" w:rsidTr="00870C37">
        <w:trPr>
          <w:trHeight w:val="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5954" w:rsidRPr="007C5954" w:rsidRDefault="007C5954" w:rsidP="00D30C6E">
            <w:pPr>
              <w:rPr>
                <w:rFonts w:eastAsia="Times New Roman"/>
              </w:rPr>
            </w:pPr>
            <w:r w:rsidRPr="007C5954">
              <w:rPr>
                <w:rFonts w:eastAsia="Times New Roman"/>
              </w:rPr>
              <w:t>Intercept of Positive SRET score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5954" w:rsidRPr="007C5954" w:rsidRDefault="007C5954" w:rsidP="00D30C6E">
            <w:pPr>
              <w:jc w:val="center"/>
              <w:rPr>
                <w:rFonts w:eastAsia="Times New Roman"/>
              </w:rPr>
            </w:pPr>
            <w:r w:rsidRPr="007C5954">
              <w:rPr>
                <w:rFonts w:eastAsia="Times New Roman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5954" w:rsidRPr="007C5954" w:rsidRDefault="007C5954" w:rsidP="00D30C6E">
            <w:pPr>
              <w:jc w:val="center"/>
              <w:rPr>
                <w:rFonts w:eastAsia="Times New Roman"/>
              </w:rPr>
            </w:pPr>
            <w:r w:rsidRPr="007C5954">
              <w:rPr>
                <w:rFonts w:eastAsia="Times New Roman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5954" w:rsidRPr="007C5954" w:rsidRDefault="007C5954" w:rsidP="00D30C6E">
            <w:pPr>
              <w:jc w:val="center"/>
              <w:rPr>
                <w:rFonts w:eastAsia="Times New Roman"/>
              </w:rPr>
            </w:pPr>
            <w:r w:rsidRPr="007C5954">
              <w:rPr>
                <w:rFonts w:eastAsia="Times New Roman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5954" w:rsidRPr="007C5954" w:rsidRDefault="007C5954" w:rsidP="001533B5">
            <w:pPr>
              <w:jc w:val="center"/>
              <w:rPr>
                <w:rFonts w:eastAsia="Times New Roman"/>
              </w:rPr>
            </w:pPr>
            <w:r w:rsidRPr="007C5954">
              <w:rPr>
                <w:rFonts w:eastAsia="Times New Roman"/>
              </w:rPr>
              <w:t>.00</w:t>
            </w:r>
          </w:p>
        </w:tc>
        <w:bookmarkStart w:id="0" w:name="_GoBack"/>
        <w:bookmarkEnd w:id="0"/>
      </w:tr>
      <w:tr w:rsidR="007C5954" w:rsidRPr="007C5954" w:rsidTr="00870C37">
        <w:trPr>
          <w:trHeight w:val="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5954" w:rsidRPr="007C5954" w:rsidRDefault="007C5954" w:rsidP="00D30C6E">
            <w:pPr>
              <w:rPr>
                <w:rFonts w:eastAsia="Times New Roman"/>
              </w:rPr>
            </w:pPr>
            <w:r w:rsidRPr="007C5954">
              <w:rPr>
                <w:rFonts w:eastAsia="Times New Roman"/>
              </w:rPr>
              <w:t>Sex (1=boys, 2=girls)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5954" w:rsidRPr="007C5954" w:rsidRDefault="007C5954" w:rsidP="00D30C6E">
            <w:pPr>
              <w:jc w:val="center"/>
              <w:rPr>
                <w:rFonts w:eastAsia="Times New Roman"/>
              </w:rPr>
            </w:pPr>
            <w:r w:rsidRPr="007C5954">
              <w:rPr>
                <w:rFonts w:eastAsia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5954" w:rsidRPr="007C5954" w:rsidRDefault="007C5954" w:rsidP="00D30C6E">
            <w:pPr>
              <w:jc w:val="center"/>
              <w:rPr>
                <w:rFonts w:eastAsia="Times New Roman"/>
              </w:rPr>
            </w:pPr>
            <w:r w:rsidRPr="007C5954">
              <w:rPr>
                <w:rFonts w:eastAsia="Times New Roman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5954" w:rsidRPr="007C5954" w:rsidRDefault="007C5954" w:rsidP="00D30C6E">
            <w:pPr>
              <w:jc w:val="center"/>
              <w:rPr>
                <w:rFonts w:eastAsia="Times New Roman"/>
              </w:rPr>
            </w:pPr>
            <w:r w:rsidRPr="007C5954">
              <w:rPr>
                <w:rFonts w:eastAsia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5954" w:rsidRPr="007C5954" w:rsidRDefault="007C5954" w:rsidP="00D30C6E">
            <w:pPr>
              <w:jc w:val="center"/>
              <w:rPr>
                <w:rFonts w:eastAsia="Times New Roman"/>
              </w:rPr>
            </w:pPr>
            <w:r w:rsidRPr="007C5954">
              <w:rPr>
                <w:rFonts w:eastAsia="Times New Roman"/>
              </w:rPr>
              <w:t>.98</w:t>
            </w:r>
          </w:p>
        </w:tc>
      </w:tr>
      <w:tr w:rsidR="007C5954" w:rsidRPr="007C5954" w:rsidTr="00870C37">
        <w:trPr>
          <w:trHeight w:val="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5954" w:rsidRPr="007C5954" w:rsidRDefault="007C5954" w:rsidP="00D30C6E">
            <w:pPr>
              <w:rPr>
                <w:rFonts w:eastAsia="Times New Roman"/>
                <w:lang w:val="en-US"/>
              </w:rPr>
            </w:pPr>
            <w:r w:rsidRPr="007C5954">
              <w:rPr>
                <w:rFonts w:eastAsia="Times New Roman"/>
              </w:rPr>
              <w:t>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5954" w:rsidRPr="007C5954" w:rsidRDefault="007C5954" w:rsidP="00D30C6E">
            <w:pPr>
              <w:jc w:val="center"/>
              <w:rPr>
                <w:rFonts w:eastAsia="Times New Roman"/>
              </w:rPr>
            </w:pPr>
            <w:r w:rsidRPr="007C5954">
              <w:rPr>
                <w:rFonts w:eastAsia="Times New Roman"/>
              </w:rPr>
              <w:t>-0.02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5954" w:rsidRPr="007C5954" w:rsidRDefault="007C5954" w:rsidP="00D30C6E">
            <w:pPr>
              <w:jc w:val="center"/>
              <w:rPr>
                <w:rFonts w:eastAsia="Times New Roman"/>
              </w:rPr>
            </w:pPr>
            <w:r w:rsidRPr="007C5954">
              <w:rPr>
                <w:rFonts w:eastAsia="Times New Roman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5954" w:rsidRPr="007C5954" w:rsidRDefault="007C5954" w:rsidP="00D30C6E">
            <w:pPr>
              <w:jc w:val="center"/>
              <w:rPr>
                <w:rFonts w:eastAsia="Times New Roman"/>
              </w:rPr>
            </w:pPr>
            <w:r w:rsidRPr="007C5954">
              <w:rPr>
                <w:rFonts w:eastAsia="Times New Roman"/>
              </w:rPr>
              <w:t>-0.23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5954" w:rsidRPr="007C5954" w:rsidRDefault="007C5954" w:rsidP="00D30C6E">
            <w:pPr>
              <w:jc w:val="center"/>
              <w:rPr>
                <w:rFonts w:eastAsia="Times New Roman"/>
              </w:rPr>
            </w:pPr>
            <w:r w:rsidRPr="007C5954">
              <w:rPr>
                <w:rFonts w:eastAsia="Times New Roman"/>
              </w:rPr>
              <w:t>.01</w:t>
            </w:r>
          </w:p>
        </w:tc>
      </w:tr>
      <w:tr w:rsidR="007C5954" w:rsidRPr="007C5954" w:rsidTr="00870C37">
        <w:trPr>
          <w:trHeight w:val="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5954" w:rsidRPr="007C5954" w:rsidRDefault="007C5954" w:rsidP="00D30C6E">
            <w:pPr>
              <w:rPr>
                <w:rFonts w:eastAsia="Times New Roman"/>
              </w:rPr>
            </w:pPr>
            <w:r w:rsidRPr="007C5954">
              <w:rPr>
                <w:rFonts w:eastAsia="Times New Roman"/>
              </w:rPr>
              <w:t>CDI symptoms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5954" w:rsidRPr="007C5954" w:rsidRDefault="007C5954" w:rsidP="00D30C6E">
            <w:pPr>
              <w:jc w:val="center"/>
              <w:rPr>
                <w:rFonts w:eastAsia="Times New Roman"/>
              </w:rPr>
            </w:pPr>
            <w:r w:rsidRPr="007C5954">
              <w:rPr>
                <w:rFonts w:eastAsia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5954" w:rsidRPr="007C5954" w:rsidRDefault="007C5954" w:rsidP="00D30C6E">
            <w:pPr>
              <w:jc w:val="center"/>
              <w:rPr>
                <w:rFonts w:eastAsia="Times New Roman"/>
              </w:rPr>
            </w:pPr>
            <w:r w:rsidRPr="007C5954">
              <w:rPr>
                <w:rFonts w:eastAsia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5954" w:rsidRPr="007C5954" w:rsidRDefault="007C5954" w:rsidP="00D30C6E">
            <w:pPr>
              <w:jc w:val="center"/>
              <w:rPr>
                <w:rFonts w:eastAsia="Times New Roman"/>
              </w:rPr>
            </w:pPr>
            <w:r w:rsidRPr="007C5954">
              <w:rPr>
                <w:rFonts w:eastAsia="Times New Roman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5954" w:rsidRPr="007C5954" w:rsidRDefault="007C5954" w:rsidP="00D30C6E">
            <w:pPr>
              <w:jc w:val="center"/>
              <w:rPr>
                <w:rFonts w:eastAsia="Times New Roman"/>
              </w:rPr>
            </w:pPr>
            <w:r w:rsidRPr="007C5954">
              <w:rPr>
                <w:rFonts w:eastAsia="Times New Roman"/>
              </w:rPr>
              <w:t>.29</w:t>
            </w:r>
          </w:p>
        </w:tc>
      </w:tr>
      <w:tr w:rsidR="007C5954" w:rsidRPr="007C5954" w:rsidTr="00870C37">
        <w:trPr>
          <w:trHeight w:val="7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5954" w:rsidRPr="007C5954" w:rsidRDefault="007C5954" w:rsidP="00D30C6E">
            <w:pPr>
              <w:rPr>
                <w:rFonts w:eastAsia="Times New Roman"/>
              </w:rPr>
            </w:pPr>
            <w:r w:rsidRPr="007C5954">
              <w:rPr>
                <w:rFonts w:eastAsia="Times New Roman"/>
              </w:rPr>
              <w:t>ICV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5954" w:rsidRPr="007C5954" w:rsidRDefault="007C5954" w:rsidP="00D30C6E">
            <w:pPr>
              <w:jc w:val="center"/>
              <w:rPr>
                <w:rFonts w:eastAsia="Times New Roman"/>
              </w:rPr>
            </w:pPr>
            <w:r w:rsidRPr="007C5954">
              <w:rPr>
                <w:rFonts w:eastAsia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5954" w:rsidRPr="007C5954" w:rsidRDefault="007C5954" w:rsidP="00D30C6E">
            <w:pPr>
              <w:jc w:val="center"/>
              <w:rPr>
                <w:rFonts w:eastAsia="Times New Roman"/>
              </w:rPr>
            </w:pPr>
            <w:r w:rsidRPr="007C5954">
              <w:rPr>
                <w:rFonts w:eastAsia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5954" w:rsidRPr="007C5954" w:rsidRDefault="007C5954" w:rsidP="00D30C6E">
            <w:pPr>
              <w:jc w:val="center"/>
              <w:rPr>
                <w:rFonts w:eastAsia="Times New Roman"/>
              </w:rPr>
            </w:pPr>
            <w:r w:rsidRPr="007C5954">
              <w:rPr>
                <w:rFonts w:eastAsia="Times New Roman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5954" w:rsidRPr="007C5954" w:rsidRDefault="007C5954" w:rsidP="001533B5">
            <w:pPr>
              <w:jc w:val="center"/>
              <w:rPr>
                <w:rFonts w:eastAsia="Times New Roman"/>
              </w:rPr>
            </w:pPr>
            <w:r w:rsidRPr="007C5954">
              <w:rPr>
                <w:rFonts w:eastAsia="Times New Roman"/>
              </w:rPr>
              <w:t>.00</w:t>
            </w:r>
          </w:p>
        </w:tc>
      </w:tr>
    </w:tbl>
    <w:p w:rsidR="007C5954" w:rsidRPr="007C5954" w:rsidRDefault="007C5954" w:rsidP="00D30C6E">
      <w:pPr>
        <w:ind w:left="720"/>
      </w:pPr>
      <w:r w:rsidRPr="007C5954">
        <w:rPr>
          <w:i/>
          <w:color w:val="222222"/>
        </w:rPr>
        <w:t xml:space="preserve">Note. </w:t>
      </w:r>
      <w:r w:rsidRPr="007C5954">
        <w:rPr>
          <w:color w:val="222222"/>
        </w:rPr>
        <w:t xml:space="preserve">GMV: grey matter volume; </w:t>
      </w:r>
      <w:proofErr w:type="spellStart"/>
      <w:r w:rsidRPr="007C5954">
        <w:rPr>
          <w:color w:val="222222"/>
        </w:rPr>
        <w:t>vlPFC</w:t>
      </w:r>
      <w:proofErr w:type="spellEnd"/>
      <w:r w:rsidRPr="007C5954">
        <w:rPr>
          <w:color w:val="222222"/>
        </w:rPr>
        <w:t>: ventrolateral prefrontal cortex</w:t>
      </w:r>
      <w:r>
        <w:rPr>
          <w:color w:val="222222"/>
        </w:rPr>
        <w:t xml:space="preserve">; SRET: self-referent encoding </w:t>
      </w:r>
      <w:r w:rsidRPr="007C5954">
        <w:rPr>
          <w:color w:val="222222"/>
        </w:rPr>
        <w:t>task; SE: standard error; CDI: Child Depression Inventory; ICV: intracranial volume.</w:t>
      </w:r>
    </w:p>
    <w:p w:rsidR="00AC76E1" w:rsidRDefault="00AC76E1" w:rsidP="00D30C6E"/>
    <w:sectPr w:rsidR="00AC76E1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58A" w:rsidRDefault="0085558A" w:rsidP="007C5954">
      <w:r>
        <w:separator/>
      </w:r>
    </w:p>
  </w:endnote>
  <w:endnote w:type="continuationSeparator" w:id="0">
    <w:p w:rsidR="0085558A" w:rsidRDefault="0085558A" w:rsidP="007C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58A" w:rsidRDefault="0085558A" w:rsidP="007C5954">
      <w:r>
        <w:separator/>
      </w:r>
    </w:p>
  </w:footnote>
  <w:footnote w:type="continuationSeparator" w:id="0">
    <w:p w:rsidR="0085558A" w:rsidRDefault="0085558A" w:rsidP="007C5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7969101"/>
      <w:docPartObj>
        <w:docPartGallery w:val="Page Numbers (Top of Page)"/>
        <w:docPartUnique/>
      </w:docPartObj>
    </w:sdtPr>
    <w:sdtEndPr>
      <w:rPr>
        <w:noProof/>
      </w:rPr>
    </w:sdtEndPr>
    <w:sdtContent>
      <w:p w:rsidR="007C5954" w:rsidRDefault="007C595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7E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5954" w:rsidRDefault="007C59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F091C"/>
    <w:multiLevelType w:val="hybridMultilevel"/>
    <w:tmpl w:val="639240FE"/>
    <w:lvl w:ilvl="0" w:tplc="C1CADD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A55176"/>
    <w:multiLevelType w:val="hybridMultilevel"/>
    <w:tmpl w:val="ED34958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247787"/>
    <w:multiLevelType w:val="hybridMultilevel"/>
    <w:tmpl w:val="663EC168"/>
    <w:lvl w:ilvl="0" w:tplc="6804CA0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18D"/>
    <w:rsid w:val="000217EA"/>
    <w:rsid w:val="00120722"/>
    <w:rsid w:val="001533B5"/>
    <w:rsid w:val="00257E49"/>
    <w:rsid w:val="004068A6"/>
    <w:rsid w:val="0047618D"/>
    <w:rsid w:val="00677D70"/>
    <w:rsid w:val="007C5954"/>
    <w:rsid w:val="007E3D1D"/>
    <w:rsid w:val="0085558A"/>
    <w:rsid w:val="00AC76E1"/>
    <w:rsid w:val="00B20D59"/>
    <w:rsid w:val="00B23A80"/>
    <w:rsid w:val="00B26251"/>
    <w:rsid w:val="00C64275"/>
    <w:rsid w:val="00CB566C"/>
    <w:rsid w:val="00D30C6E"/>
    <w:rsid w:val="00E619B7"/>
    <w:rsid w:val="00EC1FA0"/>
    <w:rsid w:val="00F860A7"/>
    <w:rsid w:val="00FD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CF035F-2CC1-4E63-8374-78CF69374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18D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7C59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7C5954"/>
    <w:pPr>
      <w:suppressAutoHyphens w:val="0"/>
      <w:spacing w:after="16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7C595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9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954"/>
    <w:rPr>
      <w:rFonts w:ascii="Segoe UI" w:eastAsia="SimSu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C59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954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59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954"/>
    <w:rPr>
      <w:rFonts w:ascii="Times New Roman" w:eastAsia="SimSu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C5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0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Liu</dc:creator>
  <cp:keywords/>
  <dc:description/>
  <cp:lastModifiedBy>Pan Liu</cp:lastModifiedBy>
  <cp:revision>9</cp:revision>
  <dcterms:created xsi:type="dcterms:W3CDTF">2020-08-23T13:47:00Z</dcterms:created>
  <dcterms:modified xsi:type="dcterms:W3CDTF">2021-01-10T17:51:00Z</dcterms:modified>
</cp:coreProperties>
</file>