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08CAC" w14:textId="77777777" w:rsidR="00B156D6" w:rsidRDefault="008D3E3E"/>
    <w:p w14:paraId="7AD19007" w14:textId="42A1DFB2" w:rsidR="00186985" w:rsidRDefault="00186985" w:rsidP="00186985">
      <w:pPr>
        <w:spacing w:after="0" w:line="276" w:lineRule="auto"/>
        <w:jc w:val="both"/>
        <w:rPr>
          <w:sz w:val="24"/>
          <w:szCs w:val="24"/>
        </w:rPr>
      </w:pPr>
      <w:r>
        <w:rPr>
          <w:sz w:val="24"/>
          <w:szCs w:val="24"/>
        </w:rPr>
        <w:t>Table</w:t>
      </w:r>
      <w:r w:rsidR="005045F1">
        <w:rPr>
          <w:sz w:val="24"/>
          <w:szCs w:val="24"/>
        </w:rPr>
        <w:t xml:space="preserve"> S5</w:t>
      </w:r>
      <w:r>
        <w:rPr>
          <w:sz w:val="24"/>
          <w:szCs w:val="24"/>
        </w:rPr>
        <w:t xml:space="preserve">. </w:t>
      </w:r>
      <w:r w:rsidRPr="00BA72E5">
        <w:rPr>
          <w:sz w:val="24"/>
          <w:szCs w:val="24"/>
        </w:rPr>
        <w:t>The association between IPI and</w:t>
      </w:r>
      <w:r>
        <w:rPr>
          <w:sz w:val="24"/>
          <w:szCs w:val="24"/>
        </w:rPr>
        <w:t xml:space="preserve"> persistent ODD (n = 2</w:t>
      </w:r>
      <w:r w:rsidRPr="00186985">
        <w:rPr>
          <w:sz w:val="24"/>
          <w:szCs w:val="24"/>
        </w:rPr>
        <w:t>879</w:t>
      </w:r>
      <w:r>
        <w:rPr>
          <w:sz w:val="24"/>
          <w:szCs w:val="24"/>
        </w:rPr>
        <w:t>)</w:t>
      </w:r>
    </w:p>
    <w:p w14:paraId="624D08BD" w14:textId="77777777" w:rsidR="00B10FFC" w:rsidRDefault="00B10FFC" w:rsidP="00186985">
      <w:pPr>
        <w:spacing w:after="0" w:line="276" w:lineRule="auto"/>
        <w:jc w:val="both"/>
        <w:rPr>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2628"/>
        <w:gridCol w:w="2698"/>
      </w:tblGrid>
      <w:tr w:rsidR="00186985" w14:paraId="605E0E71" w14:textId="77777777" w:rsidTr="008D3E3E">
        <w:tc>
          <w:tcPr>
            <w:tcW w:w="1478" w:type="dxa"/>
            <w:tcBorders>
              <w:top w:val="single" w:sz="4" w:space="0" w:color="auto"/>
              <w:bottom w:val="nil"/>
            </w:tcBorders>
          </w:tcPr>
          <w:p w14:paraId="185C3A5D" w14:textId="77777777" w:rsidR="00186985" w:rsidRDefault="00186985" w:rsidP="008D3E3E">
            <w:pPr>
              <w:spacing w:line="360" w:lineRule="auto"/>
            </w:pPr>
            <w:r>
              <w:t xml:space="preserve">IPI category </w:t>
            </w:r>
          </w:p>
        </w:tc>
        <w:tc>
          <w:tcPr>
            <w:tcW w:w="2628" w:type="dxa"/>
            <w:tcBorders>
              <w:top w:val="single" w:sz="4" w:space="0" w:color="auto"/>
              <w:bottom w:val="single" w:sz="4" w:space="0" w:color="auto"/>
            </w:tcBorders>
          </w:tcPr>
          <w:p w14:paraId="2537C66C" w14:textId="77777777" w:rsidR="00186985" w:rsidRDefault="00186985" w:rsidP="008D3E3E">
            <w:pPr>
              <w:spacing w:line="360" w:lineRule="auto"/>
            </w:pPr>
            <w:r>
              <w:t xml:space="preserve">Unadjusted </w:t>
            </w:r>
          </w:p>
        </w:tc>
        <w:tc>
          <w:tcPr>
            <w:tcW w:w="2698" w:type="dxa"/>
            <w:tcBorders>
              <w:top w:val="single" w:sz="4" w:space="0" w:color="auto"/>
              <w:bottom w:val="single" w:sz="4" w:space="0" w:color="auto"/>
            </w:tcBorders>
          </w:tcPr>
          <w:p w14:paraId="67C3DF65" w14:textId="77777777" w:rsidR="00186985" w:rsidRDefault="00186985" w:rsidP="008D3E3E">
            <w:pPr>
              <w:spacing w:line="360" w:lineRule="auto"/>
            </w:pPr>
            <w:r>
              <w:t xml:space="preserve">Adjusted </w:t>
            </w:r>
          </w:p>
        </w:tc>
      </w:tr>
      <w:tr w:rsidR="00186985" w14:paraId="3AE90F3C" w14:textId="77777777" w:rsidTr="008D3E3E">
        <w:tc>
          <w:tcPr>
            <w:tcW w:w="1478" w:type="dxa"/>
            <w:tcBorders>
              <w:top w:val="nil"/>
              <w:bottom w:val="single" w:sz="4" w:space="0" w:color="auto"/>
            </w:tcBorders>
          </w:tcPr>
          <w:p w14:paraId="135CDC58" w14:textId="77777777" w:rsidR="00186985" w:rsidRDefault="00186985" w:rsidP="008D3E3E">
            <w:pPr>
              <w:spacing w:line="360" w:lineRule="auto"/>
            </w:pPr>
          </w:p>
        </w:tc>
        <w:tc>
          <w:tcPr>
            <w:tcW w:w="2628" w:type="dxa"/>
            <w:tcBorders>
              <w:top w:val="single" w:sz="4" w:space="0" w:color="auto"/>
              <w:bottom w:val="single" w:sz="4" w:space="0" w:color="auto"/>
            </w:tcBorders>
          </w:tcPr>
          <w:p w14:paraId="6C7DE6E5" w14:textId="77777777" w:rsidR="00186985" w:rsidRDefault="00186985" w:rsidP="008D3E3E">
            <w:pPr>
              <w:spacing w:line="360" w:lineRule="auto"/>
            </w:pPr>
            <w:r>
              <w:t>RR (95% CI)</w:t>
            </w:r>
          </w:p>
        </w:tc>
        <w:tc>
          <w:tcPr>
            <w:tcW w:w="2698" w:type="dxa"/>
            <w:tcBorders>
              <w:top w:val="single" w:sz="4" w:space="0" w:color="auto"/>
              <w:bottom w:val="single" w:sz="4" w:space="0" w:color="auto"/>
            </w:tcBorders>
          </w:tcPr>
          <w:p w14:paraId="350FD19C" w14:textId="77777777" w:rsidR="00186985" w:rsidRDefault="00186985" w:rsidP="008D3E3E">
            <w:pPr>
              <w:spacing w:line="360" w:lineRule="auto"/>
            </w:pPr>
            <w:r>
              <w:t>RR (95% CI)</w:t>
            </w:r>
          </w:p>
        </w:tc>
      </w:tr>
      <w:tr w:rsidR="00186985" w14:paraId="1DE2B218" w14:textId="77777777" w:rsidTr="008D3E3E">
        <w:tc>
          <w:tcPr>
            <w:tcW w:w="1478" w:type="dxa"/>
            <w:tcBorders>
              <w:top w:val="single" w:sz="4" w:space="0" w:color="auto"/>
            </w:tcBorders>
          </w:tcPr>
          <w:p w14:paraId="19FA482A" w14:textId="77777777" w:rsidR="00186985" w:rsidRDefault="00186985" w:rsidP="008D3E3E">
            <w:pPr>
              <w:spacing w:line="360" w:lineRule="auto"/>
            </w:pPr>
            <w:r>
              <w:t xml:space="preserve">&lt; 6 months </w:t>
            </w:r>
          </w:p>
        </w:tc>
        <w:tc>
          <w:tcPr>
            <w:tcW w:w="2628" w:type="dxa"/>
            <w:tcBorders>
              <w:top w:val="single" w:sz="4" w:space="0" w:color="auto"/>
            </w:tcBorders>
          </w:tcPr>
          <w:p w14:paraId="31AF4528" w14:textId="77777777" w:rsidR="00186985" w:rsidRDefault="00186985" w:rsidP="008D3E3E">
            <w:pPr>
              <w:spacing w:line="360" w:lineRule="auto"/>
            </w:pPr>
            <w:r>
              <w:t>2.</w:t>
            </w:r>
            <w:r>
              <w:t>62 (0.93</w:t>
            </w:r>
            <w:r>
              <w:t xml:space="preserve"> – </w:t>
            </w:r>
            <w:r>
              <w:t>7.59</w:t>
            </w:r>
            <w:r>
              <w:t xml:space="preserve">) </w:t>
            </w:r>
          </w:p>
        </w:tc>
        <w:tc>
          <w:tcPr>
            <w:tcW w:w="2698" w:type="dxa"/>
            <w:tcBorders>
              <w:top w:val="single" w:sz="4" w:space="0" w:color="auto"/>
            </w:tcBorders>
          </w:tcPr>
          <w:p w14:paraId="2BFCD777" w14:textId="77777777" w:rsidR="00186985" w:rsidRDefault="00186985" w:rsidP="008D3E3E">
            <w:pPr>
              <w:spacing w:line="360" w:lineRule="auto"/>
            </w:pPr>
            <w:r>
              <w:t>2</w:t>
            </w:r>
            <w:r>
              <w:t>.93 (1.01</w:t>
            </w:r>
            <w:r>
              <w:t xml:space="preserve"> – </w:t>
            </w:r>
            <w:r>
              <w:t>8.57</w:t>
            </w:r>
            <w:r>
              <w:t>)</w:t>
            </w:r>
          </w:p>
        </w:tc>
        <w:bookmarkStart w:id="0" w:name="_GoBack"/>
        <w:bookmarkEnd w:id="0"/>
      </w:tr>
      <w:tr w:rsidR="00186985" w14:paraId="77FB4F50" w14:textId="77777777" w:rsidTr="008D3E3E">
        <w:tc>
          <w:tcPr>
            <w:tcW w:w="1478" w:type="dxa"/>
          </w:tcPr>
          <w:p w14:paraId="1CD70F99" w14:textId="77777777" w:rsidR="00186985" w:rsidRDefault="00186985" w:rsidP="008D3E3E">
            <w:pPr>
              <w:spacing w:line="360" w:lineRule="auto"/>
            </w:pPr>
            <w:r>
              <w:t>6-11 months</w:t>
            </w:r>
          </w:p>
        </w:tc>
        <w:tc>
          <w:tcPr>
            <w:tcW w:w="2628" w:type="dxa"/>
          </w:tcPr>
          <w:p w14:paraId="017E2200" w14:textId="77777777" w:rsidR="00186985" w:rsidRDefault="00186985" w:rsidP="008D3E3E">
            <w:pPr>
              <w:spacing w:line="360" w:lineRule="auto"/>
            </w:pPr>
            <w:r>
              <w:t>1.</w:t>
            </w:r>
            <w:r>
              <w:t>46 (0.47 – 4.56</w:t>
            </w:r>
            <w:r>
              <w:t>)</w:t>
            </w:r>
          </w:p>
        </w:tc>
        <w:tc>
          <w:tcPr>
            <w:tcW w:w="2698" w:type="dxa"/>
          </w:tcPr>
          <w:p w14:paraId="5EEAFD11" w14:textId="77777777" w:rsidR="00186985" w:rsidRDefault="00186985" w:rsidP="008D3E3E">
            <w:pPr>
              <w:spacing w:line="360" w:lineRule="auto"/>
            </w:pPr>
            <w:r>
              <w:t>1.</w:t>
            </w:r>
            <w:r>
              <w:t>65 (0.52</w:t>
            </w:r>
            <w:r>
              <w:t xml:space="preserve"> – </w:t>
            </w:r>
            <w:r>
              <w:t>5.18</w:t>
            </w:r>
            <w:r>
              <w:t>)</w:t>
            </w:r>
          </w:p>
        </w:tc>
      </w:tr>
      <w:tr w:rsidR="00186985" w14:paraId="75330339" w14:textId="77777777" w:rsidTr="008D3E3E">
        <w:tc>
          <w:tcPr>
            <w:tcW w:w="1478" w:type="dxa"/>
          </w:tcPr>
          <w:p w14:paraId="7F1EA911" w14:textId="77777777" w:rsidR="00186985" w:rsidRDefault="00186985" w:rsidP="008D3E3E">
            <w:pPr>
              <w:spacing w:line="360" w:lineRule="auto"/>
            </w:pPr>
            <w:r>
              <w:t>12-17 months</w:t>
            </w:r>
          </w:p>
        </w:tc>
        <w:tc>
          <w:tcPr>
            <w:tcW w:w="2628" w:type="dxa"/>
          </w:tcPr>
          <w:p w14:paraId="5648FEDD" w14:textId="77777777" w:rsidR="00186985" w:rsidRDefault="00186985" w:rsidP="008D3E3E">
            <w:pPr>
              <w:spacing w:line="360" w:lineRule="auto"/>
            </w:pPr>
            <w:r>
              <w:t>1.22 (0.39</w:t>
            </w:r>
            <w:r>
              <w:t xml:space="preserve"> – </w:t>
            </w:r>
            <w:r>
              <w:t>3.82</w:t>
            </w:r>
            <w:r>
              <w:t>)</w:t>
            </w:r>
          </w:p>
        </w:tc>
        <w:tc>
          <w:tcPr>
            <w:tcW w:w="2698" w:type="dxa"/>
          </w:tcPr>
          <w:p w14:paraId="496650B5" w14:textId="77777777" w:rsidR="00186985" w:rsidRDefault="00186985" w:rsidP="008D3E3E">
            <w:pPr>
              <w:spacing w:line="360" w:lineRule="auto"/>
            </w:pPr>
            <w:r>
              <w:t>1.3</w:t>
            </w:r>
            <w:r>
              <w:t>4</w:t>
            </w:r>
            <w:r>
              <w:t xml:space="preserve"> (0.</w:t>
            </w:r>
            <w:r>
              <w:t>43</w:t>
            </w:r>
            <w:r>
              <w:t xml:space="preserve"> – </w:t>
            </w:r>
            <w:r>
              <w:t>4.19</w:t>
            </w:r>
            <w:r>
              <w:t>)</w:t>
            </w:r>
          </w:p>
        </w:tc>
      </w:tr>
      <w:tr w:rsidR="00186985" w14:paraId="51BA3351" w14:textId="77777777" w:rsidTr="008D3E3E">
        <w:tc>
          <w:tcPr>
            <w:tcW w:w="1478" w:type="dxa"/>
          </w:tcPr>
          <w:p w14:paraId="410F88E2" w14:textId="77777777" w:rsidR="00186985" w:rsidRDefault="00186985" w:rsidP="008D3E3E">
            <w:pPr>
              <w:spacing w:line="360" w:lineRule="auto"/>
            </w:pPr>
            <w:r>
              <w:t>18-23 months</w:t>
            </w:r>
          </w:p>
        </w:tc>
        <w:tc>
          <w:tcPr>
            <w:tcW w:w="2628" w:type="dxa"/>
          </w:tcPr>
          <w:p w14:paraId="0C032497" w14:textId="77777777" w:rsidR="00186985" w:rsidRDefault="00186985" w:rsidP="008D3E3E">
            <w:pPr>
              <w:spacing w:line="360" w:lineRule="auto"/>
            </w:pPr>
            <w:r>
              <w:t>1</w:t>
            </w:r>
            <w:r w:rsidRPr="008A5A61">
              <w:t xml:space="preserve"> (Reference)</w:t>
            </w:r>
          </w:p>
        </w:tc>
        <w:tc>
          <w:tcPr>
            <w:tcW w:w="2698" w:type="dxa"/>
          </w:tcPr>
          <w:p w14:paraId="6F9F6A34" w14:textId="77777777" w:rsidR="00186985" w:rsidRDefault="00186985" w:rsidP="008D3E3E">
            <w:pPr>
              <w:spacing w:line="360" w:lineRule="auto"/>
            </w:pPr>
            <w:r>
              <w:t>1</w:t>
            </w:r>
            <w:r w:rsidRPr="008A5A61">
              <w:t xml:space="preserve"> (Reference)</w:t>
            </w:r>
          </w:p>
        </w:tc>
      </w:tr>
      <w:tr w:rsidR="008D3E3E" w14:paraId="6FE94D38" w14:textId="77777777" w:rsidTr="008D3E3E">
        <w:tc>
          <w:tcPr>
            <w:tcW w:w="1478" w:type="dxa"/>
          </w:tcPr>
          <w:p w14:paraId="3676D853" w14:textId="60D2719C" w:rsidR="008D3E3E" w:rsidRDefault="008D3E3E" w:rsidP="008D3E3E">
            <w:pPr>
              <w:spacing w:line="360" w:lineRule="auto"/>
            </w:pPr>
            <w:r>
              <w:t>24-35 months</w:t>
            </w:r>
          </w:p>
        </w:tc>
        <w:tc>
          <w:tcPr>
            <w:tcW w:w="2628" w:type="dxa"/>
          </w:tcPr>
          <w:p w14:paraId="0855B9D4" w14:textId="0C7AA468" w:rsidR="008D3E3E" w:rsidRDefault="008D3E3E" w:rsidP="008D3E3E">
            <w:pPr>
              <w:spacing w:line="360" w:lineRule="auto"/>
            </w:pPr>
            <w:r>
              <w:t>0.81 (0.24– 2.79)</w:t>
            </w:r>
          </w:p>
        </w:tc>
        <w:tc>
          <w:tcPr>
            <w:tcW w:w="2698" w:type="dxa"/>
          </w:tcPr>
          <w:p w14:paraId="5BC6AD0A" w14:textId="1D2CF57D" w:rsidR="008D3E3E" w:rsidRDefault="008D3E3E" w:rsidP="008D3E3E">
            <w:pPr>
              <w:spacing w:line="360" w:lineRule="auto"/>
            </w:pPr>
            <w:r>
              <w:t>0.89 (0.26 – 3.08)</w:t>
            </w:r>
          </w:p>
        </w:tc>
      </w:tr>
      <w:tr w:rsidR="00186985" w14:paraId="59A0E8CD" w14:textId="77777777" w:rsidTr="008D3E3E">
        <w:tc>
          <w:tcPr>
            <w:tcW w:w="1478" w:type="dxa"/>
            <w:tcBorders>
              <w:bottom w:val="single" w:sz="4" w:space="0" w:color="auto"/>
            </w:tcBorders>
          </w:tcPr>
          <w:p w14:paraId="6F86B78E" w14:textId="77777777" w:rsidR="00186985" w:rsidRDefault="00186985" w:rsidP="008D3E3E">
            <w:pPr>
              <w:spacing w:line="360" w:lineRule="auto"/>
            </w:pPr>
            <w:r>
              <w:t>&gt;36 months</w:t>
            </w:r>
          </w:p>
        </w:tc>
        <w:tc>
          <w:tcPr>
            <w:tcW w:w="2628" w:type="dxa"/>
            <w:tcBorders>
              <w:bottom w:val="single" w:sz="4" w:space="0" w:color="auto"/>
            </w:tcBorders>
          </w:tcPr>
          <w:p w14:paraId="1E3CBDC5" w14:textId="77777777" w:rsidR="00186985" w:rsidRDefault="00186985" w:rsidP="008D3E3E">
            <w:pPr>
              <w:spacing w:line="360" w:lineRule="auto"/>
            </w:pPr>
            <w:r>
              <w:t>1.</w:t>
            </w:r>
            <w:r>
              <w:t>97(0.71</w:t>
            </w:r>
            <w:r>
              <w:t xml:space="preserve"> – </w:t>
            </w:r>
            <w:r>
              <w:t>5.50</w:t>
            </w:r>
            <w:r>
              <w:t>)</w:t>
            </w:r>
          </w:p>
        </w:tc>
        <w:tc>
          <w:tcPr>
            <w:tcW w:w="2698" w:type="dxa"/>
            <w:tcBorders>
              <w:bottom w:val="single" w:sz="4" w:space="0" w:color="auto"/>
            </w:tcBorders>
          </w:tcPr>
          <w:p w14:paraId="1B48F9B9" w14:textId="77777777" w:rsidR="00186985" w:rsidRDefault="00186985" w:rsidP="008D3E3E">
            <w:pPr>
              <w:spacing w:line="360" w:lineRule="auto"/>
            </w:pPr>
            <w:r>
              <w:t>1.</w:t>
            </w:r>
            <w:r>
              <w:t>68</w:t>
            </w:r>
            <w:r>
              <w:t xml:space="preserve"> (0.59 – 4.78)</w:t>
            </w:r>
          </w:p>
        </w:tc>
      </w:tr>
      <w:tr w:rsidR="00186985" w14:paraId="34763DE4" w14:textId="77777777" w:rsidTr="008D3E3E">
        <w:trPr>
          <w:trHeight w:val="844"/>
        </w:trPr>
        <w:tc>
          <w:tcPr>
            <w:tcW w:w="6804" w:type="dxa"/>
            <w:gridSpan w:val="3"/>
            <w:tcBorders>
              <w:top w:val="single" w:sz="4" w:space="0" w:color="auto"/>
              <w:bottom w:val="single" w:sz="4" w:space="0" w:color="auto"/>
            </w:tcBorders>
          </w:tcPr>
          <w:p w14:paraId="0D0FDBF7" w14:textId="77777777" w:rsidR="00186985" w:rsidRPr="00186985" w:rsidRDefault="00186985" w:rsidP="008D3E3E">
            <w:pPr>
              <w:spacing w:line="360" w:lineRule="auto"/>
              <w:jc w:val="both"/>
              <w:rPr>
                <w:rFonts w:cstheme="minorHAnsi"/>
              </w:rPr>
            </w:pPr>
            <w:r>
              <w:rPr>
                <w:rFonts w:cstheme="minorHAnsi"/>
              </w:rPr>
              <w:t>Adjusted</w:t>
            </w:r>
            <w:r w:rsidRPr="001F720A">
              <w:rPr>
                <w:rFonts w:cstheme="minorHAnsi"/>
              </w:rPr>
              <w:t xml:space="preserve"> for maternal and paternal age at birth, marital status, maternal education, parity, alcohol drinking during pregnancy, smoking during pregnancy, and maternal urinary tract infection during pregnancy, pregnancy diabetes status, and hypertensive disorders during pregnancy.</w:t>
            </w:r>
          </w:p>
        </w:tc>
      </w:tr>
    </w:tbl>
    <w:p w14:paraId="37311F48" w14:textId="77777777" w:rsidR="00186985" w:rsidRDefault="00186985" w:rsidP="00186985"/>
    <w:p w14:paraId="7289E39F" w14:textId="77777777" w:rsidR="00186985" w:rsidRDefault="00186985"/>
    <w:sectPr w:rsidR="00186985" w:rsidSect="00186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5D7D"/>
    <w:multiLevelType w:val="hybridMultilevel"/>
    <w:tmpl w:val="9B64E7B2"/>
    <w:lvl w:ilvl="0" w:tplc="BB541B4C">
      <w:start w:val="2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1sDAwN7AwMTQ0NLJQ0lEKTi0uzszPAykwrAUAeimLJywAAAA="/>
  </w:docVars>
  <w:rsids>
    <w:rsidRoot w:val="00186985"/>
    <w:rsid w:val="00052711"/>
    <w:rsid w:val="00186985"/>
    <w:rsid w:val="005045F1"/>
    <w:rsid w:val="00541A85"/>
    <w:rsid w:val="008D3E3E"/>
    <w:rsid w:val="009E185D"/>
    <w:rsid w:val="00B10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FDF6"/>
  <w15:chartTrackingRefBased/>
  <w15:docId w15:val="{0DD6DAA0-E40C-4239-8558-6933207E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15961DBCB84B8507470B0D1BAFB3" ma:contentTypeVersion="10" ma:contentTypeDescription="Create a new document." ma:contentTypeScope="" ma:versionID="b0229e3e256d5b9612a5adf6bdf7dd13">
  <xsd:schema xmlns:xsd="http://www.w3.org/2001/XMLSchema" xmlns:xs="http://www.w3.org/2001/XMLSchema" xmlns:p="http://schemas.microsoft.com/office/2006/metadata/properties" xmlns:ns3="222c0d6b-4807-43aa-b25a-82b135d8959f" targetNamespace="http://schemas.microsoft.com/office/2006/metadata/properties" ma:root="true" ma:fieldsID="93a7d2ec0c2727687ec3d429a550bd25" ns3:_="">
    <xsd:import namespace="222c0d6b-4807-43aa-b25a-82b135d895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c0d6b-4807-43aa-b25a-82b135d89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2A753-AF58-45D9-ABA3-0B41B7FD6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c0d6b-4807-43aa-b25a-82b135d89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3669D-DEF6-4A5E-A8A8-2404D6216BBF}">
  <ds:schemaRefs>
    <ds:schemaRef ds:uri="http://schemas.microsoft.com/sharepoint/v3/contenttype/forms"/>
  </ds:schemaRefs>
</ds:datastoreItem>
</file>

<file path=customXml/itemProps3.xml><?xml version="1.0" encoding="utf-8"?>
<ds:datastoreItem xmlns:ds="http://schemas.openxmlformats.org/officeDocument/2006/customXml" ds:itemID="{E339E9FB-0B3D-47FC-88CF-0673494D08AD}">
  <ds:schemaRefs>
    <ds:schemaRef ds:uri="http://schemas.microsoft.com/office/2006/documentManagement/types"/>
    <ds:schemaRef ds:uri="222c0d6b-4807-43aa-b25a-82b135d8959f"/>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Berihun Dachew</dc:creator>
  <cp:keywords/>
  <dc:description/>
  <cp:lastModifiedBy>Berihun Dachew</cp:lastModifiedBy>
  <cp:revision>5</cp:revision>
  <dcterms:created xsi:type="dcterms:W3CDTF">2021-11-17T02:01:00Z</dcterms:created>
  <dcterms:modified xsi:type="dcterms:W3CDTF">2021-11-18T06:33:00Z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0x01010033F815961DBCB84B8507470B0D1BAFB3</vt:lpwstr>
  </property>
</Properties>
</file>