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44"/>
        <w:gridCol w:w="2844"/>
      </w:tblGrid>
      <w:tr w:rsidR="00DF08A6" w14:paraId="099D0817" w14:textId="77777777" w:rsidTr="00DF08A6">
        <w:trPr>
          <w:trHeight w:val="277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3FC5DEBA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4FE687A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 w:rsidRPr="00DF08A6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shd w:val="clear" w:color="auto" w:fill="FFFFFF"/>
              </w:rPr>
              <w:t>ADHD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M (</w:t>
            </w:r>
            <w:r w:rsidRPr="00613DFA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SD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4EFAE12B" w14:textId="51EC7F86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 w:rsidRPr="00DF08A6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shd w:val="clear" w:color="auto" w:fill="FFFFFF"/>
              </w:rPr>
              <w:t>Contro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shd w:val="clear" w:color="auto" w:fill="FFFFFF"/>
              </w:rPr>
              <w:t>ls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M (</w:t>
            </w:r>
            <w:r w:rsidRPr="00613DFA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SD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F08A6" w14:paraId="608B7C30" w14:textId="77777777" w:rsidTr="00DF08A6">
        <w:trPr>
          <w:trHeight w:val="292"/>
        </w:trPr>
        <w:tc>
          <w:tcPr>
            <w:tcW w:w="2842" w:type="dxa"/>
            <w:tcBorders>
              <w:top w:val="single" w:sz="4" w:space="0" w:color="auto"/>
            </w:tcBorders>
          </w:tcPr>
          <w:p w14:paraId="684C092F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SWAN Total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48093E12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1.42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0.62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259F04E5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-0.66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0.59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F08A6" w14:paraId="3A2629A6" w14:textId="77777777" w:rsidTr="00DF08A6">
        <w:trPr>
          <w:trHeight w:val="277"/>
        </w:trPr>
        <w:tc>
          <w:tcPr>
            <w:tcW w:w="2842" w:type="dxa"/>
          </w:tcPr>
          <w:p w14:paraId="622823B6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    SWAN Inattention</w:t>
            </w:r>
          </w:p>
        </w:tc>
        <w:tc>
          <w:tcPr>
            <w:tcW w:w="2844" w:type="dxa"/>
          </w:tcPr>
          <w:p w14:paraId="38EEFAFF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1.57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0.80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44" w:type="dxa"/>
          </w:tcPr>
          <w:p w14:paraId="431FE878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-0.61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0.59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F08A6" w14:paraId="7513208A" w14:textId="77777777" w:rsidTr="00DF08A6">
        <w:trPr>
          <w:trHeight w:val="277"/>
        </w:trPr>
        <w:tc>
          <w:tcPr>
            <w:tcW w:w="2842" w:type="dxa"/>
          </w:tcPr>
          <w:p w14:paraId="651887EA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    SWAN Hyperactivity</w:t>
            </w:r>
          </w:p>
        </w:tc>
        <w:tc>
          <w:tcPr>
            <w:tcW w:w="2844" w:type="dxa"/>
          </w:tcPr>
          <w:p w14:paraId="79230833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1.28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0.75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44" w:type="dxa"/>
          </w:tcPr>
          <w:p w14:paraId="4FFE97D2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-0.72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0.76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F08A6" w14:paraId="3BC6CB4D" w14:textId="77777777" w:rsidTr="00DF08A6">
        <w:trPr>
          <w:trHeight w:val="277"/>
        </w:trPr>
        <w:tc>
          <w:tcPr>
            <w:tcW w:w="2842" w:type="dxa"/>
            <w:tcBorders>
              <w:bottom w:val="single" w:sz="4" w:space="0" w:color="auto"/>
            </w:tcBorders>
          </w:tcPr>
          <w:p w14:paraId="79D43262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Full Scale IQ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5C9DDB4D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109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2EF302FF" w14:textId="77777777" w:rsidR="00DF08A6" w:rsidRDefault="00DF08A6" w:rsidP="00DF08A6">
            <w:pP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118 (</w:t>
            </w:r>
            <w:r w:rsidRPr="00DF08A6">
              <w:rPr>
                <w:rFonts w:ascii="Times New Roman" w:hAnsi="Times New Roman" w:cs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69196E02" w14:textId="33BD7306" w:rsidR="00903308" w:rsidRPr="00FC659F" w:rsidRDefault="00DF08A6">
      <w:pPr>
        <w:rPr>
          <w:rFonts w:ascii="Times New Roman" w:hAnsi="Times New Roman" w:cs="Times New Roman"/>
        </w:rPr>
      </w:pPr>
      <w:r w:rsidRPr="00DF08A6">
        <w:rPr>
          <w:rFonts w:ascii="Times New Roman" w:hAnsi="Times New Roman" w:cs="Times New Roman"/>
          <w:b/>
          <w:bCs/>
        </w:rPr>
        <w:t>Table 1</w:t>
      </w:r>
      <w:r w:rsidR="00FC659F">
        <w:rPr>
          <w:rFonts w:ascii="Times New Roman" w:hAnsi="Times New Roman" w:cs="Times New Roman"/>
          <w:b/>
          <w:bCs/>
        </w:rPr>
        <w:t>.</w:t>
      </w:r>
      <w:r w:rsidR="00FC659F">
        <w:rPr>
          <w:rFonts w:ascii="Times New Roman" w:hAnsi="Times New Roman" w:cs="Times New Roman"/>
        </w:rPr>
        <w:t xml:space="preserve"> Descriptive information for participants.</w:t>
      </w:r>
    </w:p>
    <w:p w14:paraId="38722576" w14:textId="0E13F237" w:rsidR="00DF08A6" w:rsidRDefault="00DF08A6">
      <w:pPr>
        <w:rPr>
          <w:rFonts w:ascii="Times New Roman" w:hAnsi="Times New Roman" w:cs="Times New Roman"/>
          <w:b/>
          <w:bCs/>
        </w:rPr>
      </w:pPr>
    </w:p>
    <w:p w14:paraId="2E3FF35C" w14:textId="6667DFEB" w:rsidR="00DF08A6" w:rsidRDefault="00DF08A6">
      <w:pPr>
        <w:rPr>
          <w:rFonts w:ascii="Times New Roman" w:hAnsi="Times New Roman" w:cs="Times New Roman"/>
          <w:b/>
          <w:bCs/>
        </w:rPr>
      </w:pPr>
    </w:p>
    <w:p w14:paraId="3A062FDC" w14:textId="1A66DD92" w:rsidR="00DF08A6" w:rsidRDefault="00DF08A6">
      <w:pPr>
        <w:rPr>
          <w:rFonts w:ascii="Times New Roman" w:hAnsi="Times New Roman" w:cs="Times New Roman"/>
          <w:b/>
          <w:bCs/>
        </w:rPr>
      </w:pPr>
    </w:p>
    <w:p w14:paraId="774EEAED" w14:textId="29976B7A" w:rsidR="00DF08A6" w:rsidRDefault="00DF08A6">
      <w:pPr>
        <w:rPr>
          <w:rFonts w:ascii="Times New Roman" w:hAnsi="Times New Roman" w:cs="Times New Roman"/>
          <w:b/>
          <w:bCs/>
        </w:rPr>
      </w:pPr>
    </w:p>
    <w:p w14:paraId="3102F805" w14:textId="59F1A358" w:rsidR="00DF08A6" w:rsidRDefault="00DF08A6">
      <w:pPr>
        <w:rPr>
          <w:rFonts w:ascii="Times New Roman" w:hAnsi="Times New Roman" w:cs="Times New Roman"/>
          <w:b/>
          <w:bCs/>
        </w:rPr>
      </w:pPr>
    </w:p>
    <w:p w14:paraId="26144468" w14:textId="729110A9" w:rsidR="00DF08A6" w:rsidRDefault="00DF08A6">
      <w:pPr>
        <w:rPr>
          <w:rFonts w:ascii="Times New Roman" w:hAnsi="Times New Roman" w:cs="Times New Roman"/>
          <w:b/>
          <w:bCs/>
        </w:rPr>
      </w:pPr>
    </w:p>
    <w:p w14:paraId="42391D27" w14:textId="24204174" w:rsidR="00DF08A6" w:rsidRDefault="00DF08A6">
      <w:pPr>
        <w:rPr>
          <w:rFonts w:ascii="Times New Roman" w:hAnsi="Times New Roman" w:cs="Times New Roman"/>
          <w:b/>
          <w:bCs/>
        </w:rPr>
      </w:pPr>
    </w:p>
    <w:p w14:paraId="047BC248" w14:textId="2DFD0999" w:rsidR="00DF08A6" w:rsidRDefault="00DF0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Note. </w:t>
      </w:r>
      <w:r>
        <w:rPr>
          <w:rFonts w:ascii="Times New Roman" w:hAnsi="Times New Roman" w:cs="Times New Roman"/>
        </w:rPr>
        <w:t xml:space="preserve">SWAN = Strengths and Weaknesses of Attention-Deficit/Hyperactivity Disorder Symptoms and Normal Behavior Rating Scale (recoded such that more positive values reflect greater ADHD symptoms). </w:t>
      </w:r>
    </w:p>
    <w:p w14:paraId="5F661171" w14:textId="69B7F43D" w:rsidR="00FC659F" w:rsidRDefault="00FC659F">
      <w:pPr>
        <w:rPr>
          <w:rFonts w:ascii="Times New Roman" w:hAnsi="Times New Roman" w:cs="Times New Roman"/>
        </w:rPr>
      </w:pPr>
    </w:p>
    <w:p w14:paraId="5121C058" w14:textId="16DCD74C" w:rsidR="00FC659F" w:rsidRDefault="00FC659F">
      <w:pPr>
        <w:rPr>
          <w:rFonts w:ascii="Times New Roman" w:hAnsi="Times New Roman" w:cs="Times New Roman"/>
        </w:rPr>
      </w:pPr>
    </w:p>
    <w:p w14:paraId="29481992" w14:textId="77777777" w:rsidR="00FC659F" w:rsidRDefault="00FC65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02047B8" w14:textId="324C0427" w:rsidR="00FC659F" w:rsidRDefault="00FC659F" w:rsidP="00FC659F">
      <w:pPr>
        <w:spacing w:line="480" w:lineRule="auto"/>
        <w:rPr>
          <w:rFonts w:ascii="Times New Roman" w:hAnsi="Times New Roman" w:cs="Times New Roman"/>
        </w:rPr>
      </w:pPr>
      <w:r w:rsidRPr="005F6E93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2.</w:t>
      </w:r>
      <w:r w:rsidRPr="005F6E93">
        <w:rPr>
          <w:rFonts w:ascii="Times New Roman" w:hAnsi="Times New Roman" w:cs="Times New Roman"/>
          <w:b/>
          <w:bCs/>
        </w:rPr>
        <w:t xml:space="preserve"> </w:t>
      </w:r>
      <w:r w:rsidRPr="005F6E93">
        <w:rPr>
          <w:rFonts w:ascii="Times New Roman" w:hAnsi="Times New Roman" w:cs="Times New Roman"/>
        </w:rPr>
        <w:t xml:space="preserve">Fit </w:t>
      </w:r>
      <w:r>
        <w:rPr>
          <w:rFonts w:ascii="Times New Roman" w:hAnsi="Times New Roman" w:cs="Times New Roman"/>
        </w:rPr>
        <w:t>i</w:t>
      </w:r>
      <w:r w:rsidRPr="005F6E93">
        <w:rPr>
          <w:rFonts w:ascii="Times New Roman" w:hAnsi="Times New Roman" w:cs="Times New Roman"/>
        </w:rPr>
        <w:t xml:space="preserve">ndices of the </w:t>
      </w:r>
      <w:r>
        <w:rPr>
          <w:rFonts w:ascii="Times New Roman" w:hAnsi="Times New Roman" w:cs="Times New Roman"/>
        </w:rPr>
        <w:t>c</w:t>
      </w:r>
      <w:r w:rsidRPr="005F6E93">
        <w:rPr>
          <w:rFonts w:ascii="Times New Roman" w:hAnsi="Times New Roman" w:cs="Times New Roman"/>
        </w:rPr>
        <w:t xml:space="preserve">onfirmatory </w:t>
      </w:r>
      <w:r>
        <w:rPr>
          <w:rFonts w:ascii="Times New Roman" w:hAnsi="Times New Roman" w:cs="Times New Roman"/>
        </w:rPr>
        <w:t>f</w:t>
      </w:r>
      <w:r w:rsidRPr="005F6E93">
        <w:rPr>
          <w:rFonts w:ascii="Times New Roman" w:hAnsi="Times New Roman" w:cs="Times New Roman"/>
        </w:rPr>
        <w:t xml:space="preserve">actor </w:t>
      </w:r>
      <w:r>
        <w:rPr>
          <w:rFonts w:ascii="Times New Roman" w:hAnsi="Times New Roman" w:cs="Times New Roman"/>
        </w:rPr>
        <w:t>m</w:t>
      </w:r>
      <w:r w:rsidRPr="005F6E93">
        <w:rPr>
          <w:rFonts w:ascii="Times New Roman" w:hAnsi="Times New Roman" w:cs="Times New Roman"/>
        </w:rPr>
        <w:t>odels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942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2741"/>
        <w:gridCol w:w="2278"/>
        <w:gridCol w:w="2217"/>
      </w:tblGrid>
      <w:tr w:rsidR="00FC659F" w14:paraId="31D9328C" w14:textId="77777777" w:rsidTr="00FC659F">
        <w:trPr>
          <w:trHeight w:val="287"/>
          <w:jc w:val="center"/>
        </w:trPr>
        <w:tc>
          <w:tcPr>
            <w:tcW w:w="2193" w:type="dxa"/>
            <w:tcBorders>
              <w:bottom w:val="single" w:sz="4" w:space="0" w:color="auto"/>
            </w:tcBorders>
          </w:tcPr>
          <w:p w14:paraId="216C4925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23EC81D" w14:textId="77777777" w:rsidR="00FC659F" w:rsidRPr="003B44B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χ</w:t>
            </w:r>
            <w:r w:rsidRPr="003953D9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3953D9">
              <w:rPr>
                <w:rFonts w:ascii="Times New Roman" w:hAnsi="Times New Roman" w:cs="Times New Roman"/>
                <w:i/>
                <w:iCs/>
              </w:rPr>
              <w:t>df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4D8FD8CD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SRMR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227D0944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CFI</w:t>
            </w:r>
          </w:p>
        </w:tc>
      </w:tr>
      <w:tr w:rsidR="00FC659F" w14:paraId="5F645BAD" w14:textId="77777777" w:rsidTr="00FC659F">
        <w:trPr>
          <w:trHeight w:val="287"/>
          <w:jc w:val="center"/>
        </w:trPr>
        <w:tc>
          <w:tcPr>
            <w:tcW w:w="2193" w:type="dxa"/>
            <w:tcBorders>
              <w:bottom w:val="nil"/>
            </w:tcBorders>
          </w:tcPr>
          <w:p w14:paraId="7474EB37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</w:t>
            </w:r>
          </w:p>
        </w:tc>
        <w:tc>
          <w:tcPr>
            <w:tcW w:w="2741" w:type="dxa"/>
            <w:tcBorders>
              <w:bottom w:val="nil"/>
            </w:tcBorders>
          </w:tcPr>
          <w:p w14:paraId="44708C53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8.33 (1), </w:t>
            </w:r>
            <w:r w:rsidRPr="006F064C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.004</w:t>
            </w:r>
          </w:p>
        </w:tc>
        <w:tc>
          <w:tcPr>
            <w:tcW w:w="2278" w:type="dxa"/>
            <w:tcBorders>
              <w:bottom w:val="nil"/>
            </w:tcBorders>
          </w:tcPr>
          <w:p w14:paraId="2CC422FF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.052</w:t>
            </w:r>
          </w:p>
        </w:tc>
        <w:tc>
          <w:tcPr>
            <w:tcW w:w="2217" w:type="dxa"/>
            <w:tcBorders>
              <w:bottom w:val="nil"/>
            </w:tcBorders>
          </w:tcPr>
          <w:p w14:paraId="7B7F581D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.949</w:t>
            </w:r>
          </w:p>
        </w:tc>
      </w:tr>
      <w:tr w:rsidR="00FC659F" w14:paraId="06EE7FB1" w14:textId="77777777" w:rsidTr="00FC659F">
        <w:trPr>
          <w:trHeight w:val="298"/>
          <w:jc w:val="center"/>
        </w:trPr>
        <w:tc>
          <w:tcPr>
            <w:tcW w:w="2193" w:type="dxa"/>
            <w:tcBorders>
              <w:top w:val="nil"/>
              <w:bottom w:val="nil"/>
            </w:tcBorders>
          </w:tcPr>
          <w:p w14:paraId="281DE187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Cognitive control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D61BE2E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11.79 (8), </w:t>
            </w:r>
            <w:r w:rsidRPr="006F064C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>
              <w:rPr>
                <w:rFonts w:ascii="Times New Roman" w:hAnsi="Times New Roman" w:cs="Times New Roman"/>
              </w:rPr>
              <w:t>= .161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9C99EC9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.058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14:paraId="56DD6813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.954</w:t>
            </w:r>
          </w:p>
        </w:tc>
      </w:tr>
      <w:tr w:rsidR="00FC659F" w14:paraId="3FC85EBA" w14:textId="77777777" w:rsidTr="00FC659F">
        <w:trPr>
          <w:trHeight w:val="287"/>
          <w:jc w:val="center"/>
        </w:trPr>
        <w:tc>
          <w:tcPr>
            <w:tcW w:w="2193" w:type="dxa"/>
            <w:tcBorders>
              <w:top w:val="nil"/>
            </w:tcBorders>
          </w:tcPr>
          <w:p w14:paraId="06A5542A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ADHD</w:t>
            </w:r>
          </w:p>
        </w:tc>
        <w:tc>
          <w:tcPr>
            <w:tcW w:w="2741" w:type="dxa"/>
            <w:tcBorders>
              <w:top w:val="nil"/>
            </w:tcBorders>
          </w:tcPr>
          <w:p w14:paraId="0F9A7ED7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3.30(1), </w:t>
            </w:r>
            <w:r w:rsidRPr="006F064C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.069</w:t>
            </w:r>
          </w:p>
        </w:tc>
        <w:tc>
          <w:tcPr>
            <w:tcW w:w="2278" w:type="dxa"/>
            <w:tcBorders>
              <w:top w:val="nil"/>
            </w:tcBorders>
          </w:tcPr>
          <w:p w14:paraId="3500BEB2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2217" w:type="dxa"/>
            <w:tcBorders>
              <w:top w:val="nil"/>
            </w:tcBorders>
          </w:tcPr>
          <w:p w14:paraId="78A07C2A" w14:textId="77777777" w:rsidR="00FC659F" w:rsidRDefault="00FC659F" w:rsidP="00292F7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.991</w:t>
            </w:r>
          </w:p>
        </w:tc>
      </w:tr>
    </w:tbl>
    <w:p w14:paraId="04E6EF00" w14:textId="77777777" w:rsidR="00FC659F" w:rsidRPr="00E96EDD" w:rsidRDefault="00FC659F" w:rsidP="00FC6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Note. </w:t>
      </w:r>
      <w:r>
        <w:rPr>
          <w:rFonts w:ascii="Times New Roman" w:hAnsi="Times New Roman" w:cs="Times New Roman"/>
        </w:rPr>
        <w:t>The aperiodic slope model was just identified (two indicators), thus fit statistics are not reported. ERP=Event related potential factor; ADHD=ADHD factor; SRMR=</w:t>
      </w:r>
      <w:r w:rsidRPr="003D2CBC">
        <w:rPr>
          <w:rFonts w:ascii="Times New Roman" w:hAnsi="Times New Roman" w:cs="Times New Roman"/>
        </w:rPr>
        <w:t>Standardized Root Mean Square Residual</w:t>
      </w:r>
      <w:r>
        <w:rPr>
          <w:rFonts w:ascii="Times New Roman" w:hAnsi="Times New Roman" w:cs="Times New Roman"/>
        </w:rPr>
        <w:t>; CFI=Comparative Fit Index.</w:t>
      </w:r>
    </w:p>
    <w:p w14:paraId="313C4498" w14:textId="77777777" w:rsidR="00FC659F" w:rsidRPr="00DF08A6" w:rsidRDefault="00FC659F">
      <w:pPr>
        <w:rPr>
          <w:rFonts w:ascii="Times New Roman" w:hAnsi="Times New Roman" w:cs="Times New Roman"/>
          <w:b/>
          <w:bCs/>
          <w:i/>
          <w:iCs/>
        </w:rPr>
      </w:pPr>
    </w:p>
    <w:sectPr w:rsidR="00FC659F" w:rsidRPr="00DF08A6" w:rsidSect="00325D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0DE1" w14:textId="77777777" w:rsidR="00A95956" w:rsidRDefault="00A95956" w:rsidP="00FC659F">
      <w:r>
        <w:separator/>
      </w:r>
    </w:p>
  </w:endnote>
  <w:endnote w:type="continuationSeparator" w:id="0">
    <w:p w14:paraId="262023F5" w14:textId="77777777" w:rsidR="00A95956" w:rsidRDefault="00A95956" w:rsidP="00FC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2AB3" w14:textId="77777777" w:rsidR="00A95956" w:rsidRDefault="00A95956" w:rsidP="00FC659F">
      <w:r>
        <w:separator/>
      </w:r>
    </w:p>
  </w:footnote>
  <w:footnote w:type="continuationSeparator" w:id="0">
    <w:p w14:paraId="75022493" w14:textId="77777777" w:rsidR="00A95956" w:rsidRDefault="00A95956" w:rsidP="00FC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532" w14:textId="79EFA81D" w:rsidR="00FC659F" w:rsidRPr="00FC659F" w:rsidRDefault="00FC659F">
    <w:pPr>
      <w:pStyle w:val="Header"/>
      <w:rPr>
        <w:rFonts w:ascii="Times New Roman" w:hAnsi="Times New Roman" w:cs="Times New Roman"/>
      </w:rPr>
    </w:pPr>
    <w:r w:rsidRPr="00FC659F">
      <w:rPr>
        <w:rFonts w:ascii="Times New Roman" w:hAnsi="Times New Roman" w:cs="Times New Roman"/>
      </w:rPr>
      <w:t>SUPPLEMENTARY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A"/>
    <w:rsid w:val="00007003"/>
    <w:rsid w:val="00014C80"/>
    <w:rsid w:val="00016A90"/>
    <w:rsid w:val="00057818"/>
    <w:rsid w:val="000647F0"/>
    <w:rsid w:val="00081EAA"/>
    <w:rsid w:val="00090F1A"/>
    <w:rsid w:val="00094A7C"/>
    <w:rsid w:val="000A63A3"/>
    <w:rsid w:val="000B5D45"/>
    <w:rsid w:val="000B65CA"/>
    <w:rsid w:val="000E3370"/>
    <w:rsid w:val="000E7C32"/>
    <w:rsid w:val="000F5000"/>
    <w:rsid w:val="00125302"/>
    <w:rsid w:val="00133F98"/>
    <w:rsid w:val="00165428"/>
    <w:rsid w:val="00190C66"/>
    <w:rsid w:val="001966C9"/>
    <w:rsid w:val="001A05D3"/>
    <w:rsid w:val="002335BF"/>
    <w:rsid w:val="002410A9"/>
    <w:rsid w:val="00247918"/>
    <w:rsid w:val="0025449E"/>
    <w:rsid w:val="002703CC"/>
    <w:rsid w:val="00281D55"/>
    <w:rsid w:val="00295319"/>
    <w:rsid w:val="002D777B"/>
    <w:rsid w:val="002E601D"/>
    <w:rsid w:val="0031200E"/>
    <w:rsid w:val="00325D47"/>
    <w:rsid w:val="00355D50"/>
    <w:rsid w:val="003B142B"/>
    <w:rsid w:val="00426403"/>
    <w:rsid w:val="00450831"/>
    <w:rsid w:val="00457132"/>
    <w:rsid w:val="00486E8C"/>
    <w:rsid w:val="004D050D"/>
    <w:rsid w:val="004D27B7"/>
    <w:rsid w:val="004D56C3"/>
    <w:rsid w:val="0050357E"/>
    <w:rsid w:val="00521CFA"/>
    <w:rsid w:val="005511B6"/>
    <w:rsid w:val="00575BF1"/>
    <w:rsid w:val="005A6EA0"/>
    <w:rsid w:val="005D11D5"/>
    <w:rsid w:val="006130A6"/>
    <w:rsid w:val="00613DFA"/>
    <w:rsid w:val="006714A9"/>
    <w:rsid w:val="00687C77"/>
    <w:rsid w:val="006D10CA"/>
    <w:rsid w:val="006D56CA"/>
    <w:rsid w:val="006E2193"/>
    <w:rsid w:val="006F3CBB"/>
    <w:rsid w:val="006F4F08"/>
    <w:rsid w:val="007052AD"/>
    <w:rsid w:val="00712F71"/>
    <w:rsid w:val="007174EE"/>
    <w:rsid w:val="008227CC"/>
    <w:rsid w:val="00834A45"/>
    <w:rsid w:val="00841C8C"/>
    <w:rsid w:val="00852841"/>
    <w:rsid w:val="008B21FC"/>
    <w:rsid w:val="00901D62"/>
    <w:rsid w:val="00916689"/>
    <w:rsid w:val="00955BC8"/>
    <w:rsid w:val="0096364F"/>
    <w:rsid w:val="00980700"/>
    <w:rsid w:val="0098654D"/>
    <w:rsid w:val="009A1224"/>
    <w:rsid w:val="009A7E2D"/>
    <w:rsid w:val="009B0F56"/>
    <w:rsid w:val="009C61CB"/>
    <w:rsid w:val="009E1C16"/>
    <w:rsid w:val="009F3C45"/>
    <w:rsid w:val="00A14CAD"/>
    <w:rsid w:val="00A43C7B"/>
    <w:rsid w:val="00A71351"/>
    <w:rsid w:val="00A95956"/>
    <w:rsid w:val="00A97DA6"/>
    <w:rsid w:val="00AF58B2"/>
    <w:rsid w:val="00B1707C"/>
    <w:rsid w:val="00B54D40"/>
    <w:rsid w:val="00BE02EA"/>
    <w:rsid w:val="00C52363"/>
    <w:rsid w:val="00C95038"/>
    <w:rsid w:val="00C96711"/>
    <w:rsid w:val="00CA588A"/>
    <w:rsid w:val="00CC0A33"/>
    <w:rsid w:val="00CD5176"/>
    <w:rsid w:val="00CF132A"/>
    <w:rsid w:val="00D17DF5"/>
    <w:rsid w:val="00D540AF"/>
    <w:rsid w:val="00D62EEA"/>
    <w:rsid w:val="00D710A2"/>
    <w:rsid w:val="00D76F25"/>
    <w:rsid w:val="00D90427"/>
    <w:rsid w:val="00DA3801"/>
    <w:rsid w:val="00DC4A87"/>
    <w:rsid w:val="00DF08A6"/>
    <w:rsid w:val="00E16110"/>
    <w:rsid w:val="00E16BAF"/>
    <w:rsid w:val="00E31B76"/>
    <w:rsid w:val="00E36F49"/>
    <w:rsid w:val="00E73D51"/>
    <w:rsid w:val="00EA4798"/>
    <w:rsid w:val="00EC545C"/>
    <w:rsid w:val="00F12520"/>
    <w:rsid w:val="00F262B8"/>
    <w:rsid w:val="00F55BAF"/>
    <w:rsid w:val="00F65743"/>
    <w:rsid w:val="00FB0483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6F486"/>
  <w14:defaultImageDpi w14:val="32767"/>
  <w15:chartTrackingRefBased/>
  <w15:docId w15:val="{A02E27DD-BD7F-144D-8871-ECF7736A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9F"/>
  </w:style>
  <w:style w:type="paragraph" w:styleId="Footer">
    <w:name w:val="footer"/>
    <w:basedOn w:val="Normal"/>
    <w:link w:val="FooterChar"/>
    <w:uiPriority w:val="99"/>
    <w:unhideWhenUsed/>
    <w:rsid w:val="00FC6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Peisch</dc:creator>
  <cp:keywords/>
  <dc:description/>
  <cp:lastModifiedBy>Virginia Peisch</cp:lastModifiedBy>
  <cp:revision>4</cp:revision>
  <dcterms:created xsi:type="dcterms:W3CDTF">2022-09-25T18:47:00Z</dcterms:created>
  <dcterms:modified xsi:type="dcterms:W3CDTF">2022-09-27T08:26:00Z</dcterms:modified>
</cp:coreProperties>
</file>