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7472" w14:textId="6F32F90A" w:rsidR="00E477C3" w:rsidRDefault="00E477C3" w:rsidP="00E477C3">
      <w:pPr>
        <w:jc w:val="center"/>
        <w:rPr>
          <w:rFonts w:ascii="Times New Roman" w:hAnsi="Times New Roman" w:cs="Times New Roman"/>
          <w:b/>
          <w:bCs/>
          <w:sz w:val="24"/>
          <w:szCs w:val="24"/>
        </w:rPr>
      </w:pPr>
      <w:r>
        <w:rPr>
          <w:rFonts w:ascii="Times New Roman" w:hAnsi="Times New Roman" w:cs="Times New Roman"/>
          <w:b/>
          <w:bCs/>
          <w:sz w:val="24"/>
          <w:szCs w:val="24"/>
        </w:rPr>
        <w:t>Supplement</w:t>
      </w:r>
    </w:p>
    <w:p w14:paraId="30B916B0" w14:textId="77777777" w:rsidR="005F0A2A" w:rsidRDefault="005F0A2A" w:rsidP="005F0A2A">
      <w:pPr>
        <w:jc w:val="center"/>
        <w:rPr>
          <w:rFonts w:ascii="Times New Roman" w:hAnsi="Times New Roman" w:cs="Times New Roman"/>
          <w:b/>
          <w:bCs/>
          <w:sz w:val="24"/>
          <w:szCs w:val="24"/>
        </w:rPr>
      </w:pPr>
    </w:p>
    <w:p w14:paraId="4B3262D3" w14:textId="6706042E" w:rsidR="005F0A2A" w:rsidRDefault="005F0A2A">
      <w:pPr>
        <w:rPr>
          <w:rFonts w:ascii="Times New Roman" w:hAnsi="Times New Roman" w:cs="Times New Roman"/>
          <w:b/>
          <w:bCs/>
          <w:sz w:val="24"/>
          <w:szCs w:val="24"/>
        </w:rPr>
      </w:pPr>
      <w:r>
        <w:rPr>
          <w:rFonts w:ascii="Times New Roman" w:hAnsi="Times New Roman" w:cs="Times New Roman"/>
          <w:b/>
          <w:bCs/>
          <w:sz w:val="24"/>
          <w:szCs w:val="24"/>
        </w:rPr>
        <w:t>Descriptive Statistics</w:t>
      </w:r>
    </w:p>
    <w:p w14:paraId="201C4CC3" w14:textId="025BE533" w:rsidR="005F0A2A" w:rsidRDefault="005F0A2A" w:rsidP="005F0A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Boys scored higher than girls on all psychopathology scales except disordered eating, on which sex differences were not significant. Such findings are consistent with prior results indicating that the female preponderance of internalizing symptoms emerges during puberty (Hayward &amp; Sanborn, 2002). These sex differences were larger for externalizing outcomes (Cohen’s </w:t>
      </w:r>
      <w:r>
        <w:rPr>
          <w:rFonts w:ascii="Times New Roman" w:hAnsi="Times New Roman" w:cs="Times New Roman"/>
          <w:i/>
          <w:iCs/>
          <w:sz w:val="24"/>
          <w:szCs w:val="24"/>
        </w:rPr>
        <w:t xml:space="preserve">d </w:t>
      </w:r>
      <w:r>
        <w:rPr>
          <w:rFonts w:ascii="Times New Roman" w:hAnsi="Times New Roman" w:cs="Times New Roman"/>
          <w:sz w:val="24"/>
          <w:szCs w:val="24"/>
        </w:rPr>
        <w:t>ranged from .27 to .34) than for internalizing (</w:t>
      </w:r>
      <w:r>
        <w:rPr>
          <w:rFonts w:ascii="Times New Roman" w:hAnsi="Times New Roman" w:cs="Times New Roman"/>
          <w:i/>
          <w:iCs/>
          <w:sz w:val="24"/>
          <w:szCs w:val="24"/>
        </w:rPr>
        <w:t>d</w:t>
      </w:r>
      <w:r>
        <w:rPr>
          <w:rFonts w:ascii="Times New Roman" w:hAnsi="Times New Roman" w:cs="Times New Roman"/>
          <w:sz w:val="24"/>
          <w:szCs w:val="24"/>
        </w:rPr>
        <w:t xml:space="preserve">s </w:t>
      </w:r>
      <w:r w:rsidR="008207C5">
        <w:rPr>
          <w:rFonts w:ascii="Times New Roman" w:hAnsi="Times New Roman" w:cs="Times New Roman"/>
          <w:sz w:val="24"/>
          <w:szCs w:val="24"/>
        </w:rPr>
        <w:t>ranged from .04 to .18</w:t>
      </w:r>
      <w:r>
        <w:rPr>
          <w:rFonts w:ascii="Times New Roman" w:hAnsi="Times New Roman" w:cs="Times New Roman"/>
          <w:sz w:val="24"/>
          <w:szCs w:val="24"/>
        </w:rPr>
        <w:t xml:space="preserve">). Girls scored higher than boys on the TOWRE </w:t>
      </w:r>
      <w:r w:rsidR="00152581">
        <w:rPr>
          <w:rFonts w:ascii="Times New Roman" w:hAnsi="Times New Roman" w:cs="Times New Roman"/>
          <w:sz w:val="24"/>
          <w:szCs w:val="24"/>
        </w:rPr>
        <w:t xml:space="preserve">Sight </w:t>
      </w:r>
      <w:r w:rsidR="009B1A8E">
        <w:rPr>
          <w:rFonts w:ascii="Times New Roman" w:hAnsi="Times New Roman" w:cs="Times New Roman"/>
          <w:sz w:val="24"/>
          <w:szCs w:val="24"/>
        </w:rPr>
        <w:t xml:space="preserve">Word </w:t>
      </w:r>
      <w:r w:rsidR="00152581">
        <w:rPr>
          <w:rFonts w:ascii="Times New Roman" w:hAnsi="Times New Roman" w:cs="Times New Roman"/>
          <w:sz w:val="24"/>
          <w:szCs w:val="24"/>
        </w:rPr>
        <w:t>Efficiency</w:t>
      </w:r>
      <w:r>
        <w:rPr>
          <w:rFonts w:ascii="Times New Roman" w:hAnsi="Times New Roman" w:cs="Times New Roman"/>
          <w:sz w:val="24"/>
          <w:szCs w:val="24"/>
        </w:rPr>
        <w:t xml:space="preserve"> test (</w:t>
      </w:r>
      <w:r w:rsidRPr="00BA1038">
        <w:rPr>
          <w:rFonts w:ascii="Times New Roman" w:hAnsi="Times New Roman" w:cs="Times New Roman"/>
          <w:i/>
          <w:iCs/>
          <w:sz w:val="24"/>
          <w:szCs w:val="24"/>
        </w:rPr>
        <w:t>d</w:t>
      </w:r>
      <w:r>
        <w:rPr>
          <w:rFonts w:ascii="Times New Roman" w:hAnsi="Times New Roman" w:cs="Times New Roman"/>
          <w:sz w:val="24"/>
          <w:szCs w:val="24"/>
        </w:rPr>
        <w:t xml:space="preserve">=.17, </w:t>
      </w:r>
      <w:r w:rsidRPr="00BA1038">
        <w:rPr>
          <w:rFonts w:ascii="Times New Roman" w:hAnsi="Times New Roman" w:cs="Times New Roman"/>
          <w:i/>
          <w:iCs/>
          <w:sz w:val="24"/>
          <w:szCs w:val="24"/>
        </w:rPr>
        <w:t>p</w:t>
      </w:r>
      <w:r>
        <w:rPr>
          <w:rFonts w:ascii="Times New Roman" w:hAnsi="Times New Roman" w:cs="Times New Roman"/>
          <w:sz w:val="24"/>
          <w:szCs w:val="24"/>
        </w:rPr>
        <w:t xml:space="preserve">&lt;.05), whereas scores did not differ by sex on TOWRE </w:t>
      </w:r>
      <w:r w:rsidR="00152581">
        <w:rPr>
          <w:rFonts w:ascii="Times New Roman" w:hAnsi="Times New Roman" w:cs="Times New Roman"/>
          <w:sz w:val="24"/>
          <w:szCs w:val="24"/>
        </w:rPr>
        <w:t>Phonemic Decoding Efficiency</w:t>
      </w:r>
      <w:r>
        <w:rPr>
          <w:rFonts w:ascii="Times New Roman" w:hAnsi="Times New Roman" w:cs="Times New Roman"/>
          <w:sz w:val="24"/>
          <w:szCs w:val="24"/>
        </w:rPr>
        <w:t xml:space="preserve">. </w:t>
      </w:r>
      <w:r w:rsidDel="00B03C28">
        <w:rPr>
          <w:rFonts w:ascii="Times New Roman" w:hAnsi="Times New Roman" w:cs="Times New Roman"/>
          <w:sz w:val="24"/>
          <w:szCs w:val="24"/>
        </w:rPr>
        <w:t xml:space="preserve"> </w:t>
      </w:r>
    </w:p>
    <w:p w14:paraId="3840C830" w14:textId="1A7490F3" w:rsidR="005F0A2A" w:rsidRDefault="005F0A2A" w:rsidP="005F0A2A">
      <w:pPr>
        <w:spacing w:line="480" w:lineRule="auto"/>
        <w:ind w:firstLine="720"/>
        <w:rPr>
          <w:rFonts w:ascii="Times New Roman" w:hAnsi="Times New Roman" w:cs="Times New Roman"/>
          <w:sz w:val="24"/>
          <w:szCs w:val="24"/>
        </w:rPr>
      </w:pPr>
      <w:r>
        <w:rPr>
          <w:rFonts w:ascii="Times New Roman" w:hAnsi="Times New Roman" w:cs="Times New Roman"/>
          <w:sz w:val="24"/>
          <w:szCs w:val="24"/>
        </w:rPr>
        <w:t>Affective problems were more common among older participants (</w:t>
      </w:r>
      <w:r>
        <w:rPr>
          <w:rFonts w:ascii="Times New Roman" w:hAnsi="Times New Roman" w:cs="Times New Roman"/>
          <w:i/>
          <w:iCs/>
          <w:sz w:val="24"/>
          <w:szCs w:val="24"/>
        </w:rPr>
        <w:t>r</w:t>
      </w:r>
      <w:r>
        <w:rPr>
          <w:rFonts w:ascii="Times New Roman" w:hAnsi="Times New Roman" w:cs="Times New Roman"/>
          <w:sz w:val="24"/>
          <w:szCs w:val="24"/>
        </w:rPr>
        <w:t xml:space="preserve">=.08, </w:t>
      </w:r>
      <w:r w:rsidRPr="008261D3">
        <w:rPr>
          <w:rFonts w:ascii="Times New Roman" w:hAnsi="Times New Roman" w:cs="Times New Roman"/>
          <w:i/>
          <w:iCs/>
          <w:sz w:val="24"/>
          <w:szCs w:val="24"/>
        </w:rPr>
        <w:t>p</w:t>
      </w:r>
      <w:r>
        <w:rPr>
          <w:rFonts w:ascii="Times New Roman" w:hAnsi="Times New Roman" w:cs="Times New Roman"/>
          <w:sz w:val="24"/>
          <w:szCs w:val="24"/>
        </w:rPr>
        <w:t xml:space="preserve">&lt;.001), whereas conduct problems and disordered eating were somewhat less common (both </w:t>
      </w:r>
      <w:proofErr w:type="spellStart"/>
      <w:r>
        <w:rPr>
          <w:rFonts w:ascii="Times New Roman" w:hAnsi="Times New Roman" w:cs="Times New Roman"/>
          <w:i/>
          <w:iCs/>
          <w:sz w:val="24"/>
          <w:szCs w:val="24"/>
        </w:rPr>
        <w:t>r</w:t>
      </w:r>
      <w:r>
        <w:rPr>
          <w:rFonts w:ascii="Times New Roman" w:hAnsi="Times New Roman" w:cs="Times New Roman"/>
          <w:sz w:val="24"/>
          <w:szCs w:val="24"/>
        </w:rPr>
        <w:t>s</w:t>
      </w:r>
      <w:proofErr w:type="spellEnd"/>
      <w:r>
        <w:rPr>
          <w:rFonts w:ascii="Times New Roman" w:hAnsi="Times New Roman" w:cs="Times New Roman"/>
          <w:sz w:val="24"/>
          <w:szCs w:val="24"/>
        </w:rPr>
        <w:t xml:space="preserve"> were -.05, </w:t>
      </w:r>
      <w:r>
        <w:rPr>
          <w:rFonts w:ascii="Times New Roman" w:hAnsi="Times New Roman" w:cs="Times New Roman"/>
          <w:i/>
          <w:iCs/>
          <w:sz w:val="24"/>
          <w:szCs w:val="24"/>
        </w:rPr>
        <w:t>p</w:t>
      </w:r>
      <w:r>
        <w:rPr>
          <w:rFonts w:ascii="Times New Roman" w:hAnsi="Times New Roman" w:cs="Times New Roman"/>
          <w:sz w:val="24"/>
          <w:szCs w:val="24"/>
        </w:rPr>
        <w:t xml:space="preserve">&lt;.05). </w:t>
      </w:r>
      <w:r w:rsidR="001A6E25">
        <w:rPr>
          <w:rFonts w:ascii="Times New Roman" w:hAnsi="Times New Roman" w:cs="Times New Roman"/>
          <w:sz w:val="24"/>
          <w:szCs w:val="24"/>
        </w:rPr>
        <w:t xml:space="preserve">Externalizing broadband scores were somewhat lower for older participants (r=-.08, p&lt;.01). </w:t>
      </w:r>
      <w:r>
        <w:rPr>
          <w:rFonts w:ascii="Times New Roman" w:hAnsi="Times New Roman" w:cs="Times New Roman"/>
          <w:sz w:val="24"/>
          <w:szCs w:val="24"/>
        </w:rPr>
        <w:t>Scores on the other scales</w:t>
      </w:r>
      <w:r w:rsidR="001A6E25">
        <w:rPr>
          <w:rFonts w:ascii="Times New Roman" w:hAnsi="Times New Roman" w:cs="Times New Roman"/>
          <w:sz w:val="24"/>
          <w:szCs w:val="24"/>
        </w:rPr>
        <w:t>, including the Internalizing broadband,</w:t>
      </w:r>
      <w:r>
        <w:rPr>
          <w:rFonts w:ascii="Times New Roman" w:hAnsi="Times New Roman" w:cs="Times New Roman"/>
          <w:sz w:val="24"/>
          <w:szCs w:val="24"/>
        </w:rPr>
        <w:t xml:space="preserve"> did not vary significantly by age. </w:t>
      </w:r>
      <w:r w:rsidR="009B1A8E">
        <w:rPr>
          <w:rFonts w:ascii="Times New Roman" w:hAnsi="Times New Roman" w:cs="Times New Roman"/>
          <w:sz w:val="24"/>
          <w:szCs w:val="24"/>
        </w:rPr>
        <w:t>S</w:t>
      </w:r>
      <w:r>
        <w:rPr>
          <w:rFonts w:ascii="Times New Roman" w:hAnsi="Times New Roman" w:cs="Times New Roman"/>
          <w:sz w:val="24"/>
          <w:szCs w:val="24"/>
        </w:rPr>
        <w:t xml:space="preserve">cores </w:t>
      </w:r>
      <w:r w:rsidR="009B1A8E">
        <w:rPr>
          <w:rFonts w:ascii="Times New Roman" w:hAnsi="Times New Roman" w:cs="Times New Roman"/>
          <w:sz w:val="24"/>
          <w:szCs w:val="24"/>
        </w:rPr>
        <w:t xml:space="preserve">on both TOWRE subtests </w:t>
      </w:r>
      <w:r>
        <w:rPr>
          <w:rFonts w:ascii="Times New Roman" w:hAnsi="Times New Roman" w:cs="Times New Roman"/>
          <w:sz w:val="24"/>
          <w:szCs w:val="24"/>
        </w:rPr>
        <w:t>were significantly correlated with age (</w:t>
      </w:r>
      <w:proofErr w:type="spellStart"/>
      <w:r w:rsidRPr="00D319DE">
        <w:rPr>
          <w:rFonts w:ascii="Times New Roman" w:hAnsi="Times New Roman" w:cs="Times New Roman"/>
          <w:i/>
          <w:iCs/>
          <w:sz w:val="24"/>
          <w:szCs w:val="24"/>
        </w:rPr>
        <w:t>r</w:t>
      </w:r>
      <w:r>
        <w:rPr>
          <w:rFonts w:ascii="Times New Roman" w:hAnsi="Times New Roman" w:cs="Times New Roman"/>
          <w:sz w:val="24"/>
          <w:szCs w:val="24"/>
        </w:rPr>
        <w:t>s</w:t>
      </w:r>
      <w:proofErr w:type="spellEnd"/>
      <w:r>
        <w:rPr>
          <w:rFonts w:ascii="Times New Roman" w:hAnsi="Times New Roman" w:cs="Times New Roman"/>
          <w:sz w:val="24"/>
          <w:szCs w:val="24"/>
        </w:rPr>
        <w:t xml:space="preserve"> were .71 and .63, respectively, both </w:t>
      </w:r>
      <w:r w:rsidRPr="00D319DE">
        <w:rPr>
          <w:rFonts w:ascii="Times New Roman" w:hAnsi="Times New Roman" w:cs="Times New Roman"/>
          <w:i/>
          <w:iCs/>
          <w:sz w:val="24"/>
          <w:szCs w:val="24"/>
        </w:rPr>
        <w:t>p</w:t>
      </w:r>
      <w:r>
        <w:rPr>
          <w:rFonts w:ascii="Times New Roman" w:hAnsi="Times New Roman" w:cs="Times New Roman"/>
          <w:sz w:val="24"/>
          <w:szCs w:val="24"/>
        </w:rPr>
        <w:t>&lt;.001), as expected given that raw scores were used for these analyses.</w:t>
      </w:r>
    </w:p>
    <w:p w14:paraId="680DE355" w14:textId="6482B339" w:rsidR="00152581" w:rsidRDefault="00152581" w:rsidP="00152581">
      <w:pPr>
        <w:spacing w:line="480" w:lineRule="auto"/>
        <w:rPr>
          <w:rFonts w:ascii="Times New Roman" w:hAnsi="Times New Roman" w:cs="Times New Roman"/>
          <w:b/>
          <w:bCs/>
          <w:sz w:val="24"/>
          <w:szCs w:val="24"/>
        </w:rPr>
      </w:pPr>
      <w:r>
        <w:rPr>
          <w:rFonts w:ascii="Times New Roman" w:hAnsi="Times New Roman" w:cs="Times New Roman"/>
          <w:b/>
          <w:bCs/>
          <w:sz w:val="24"/>
          <w:szCs w:val="24"/>
        </w:rPr>
        <w:t>Specification Curve Analyses</w:t>
      </w:r>
    </w:p>
    <w:p w14:paraId="5F9F07F1" w14:textId="5218F5F4" w:rsidR="00D62AEE" w:rsidRDefault="00D62AEE" w:rsidP="00D62AEE">
      <w:pPr>
        <w:spacing w:line="480" w:lineRule="auto"/>
        <w:ind w:firstLine="720"/>
        <w:rPr>
          <w:rFonts w:ascii="Times New Roman" w:hAnsi="Times New Roman" w:cs="Times New Roman"/>
          <w:sz w:val="24"/>
          <w:szCs w:val="24"/>
        </w:rPr>
      </w:pPr>
      <w:r>
        <w:rPr>
          <w:rFonts w:ascii="Times New Roman" w:hAnsi="Times New Roman" w:cs="Times New Roman"/>
          <w:sz w:val="24"/>
          <w:szCs w:val="24"/>
        </w:rPr>
        <w:t>Each individual measure of proximal disadvantage was observed to predict youth outcomes overall</w:t>
      </w:r>
      <w:r w:rsidR="00E8441F">
        <w:rPr>
          <w:rFonts w:ascii="Times New Roman" w:hAnsi="Times New Roman" w:cs="Times New Roman"/>
          <w:sz w:val="24"/>
          <w:szCs w:val="24"/>
        </w:rPr>
        <w:t xml:space="preserve"> (i.e., collapsing across all measures of psychopathology and academic performance)</w:t>
      </w:r>
      <w:r>
        <w:rPr>
          <w:rFonts w:ascii="Times New Roman" w:hAnsi="Times New Roman" w:cs="Times New Roman"/>
          <w:sz w:val="24"/>
          <w:szCs w:val="24"/>
        </w:rPr>
        <w:t xml:space="preserve">, with median effect sizes ranging from .10 to .16 (81.66%-93.12% significant at </w:t>
      </w:r>
      <w:r>
        <w:rPr>
          <w:rFonts w:ascii="Times New Roman" w:hAnsi="Times New Roman" w:cs="Times New Roman"/>
          <w:i/>
          <w:iCs/>
          <w:sz w:val="24"/>
          <w:szCs w:val="24"/>
        </w:rPr>
        <w:t xml:space="preserve">p </w:t>
      </w:r>
      <w:r>
        <w:rPr>
          <w:rFonts w:ascii="Times New Roman" w:hAnsi="Times New Roman" w:cs="Times New Roman"/>
          <w:sz w:val="24"/>
          <w:szCs w:val="24"/>
        </w:rPr>
        <w:t xml:space="preserve">&lt; .05). Median </w:t>
      </w:r>
      <w:r>
        <w:rPr>
          <w:rFonts w:ascii="Times New Roman" w:hAnsi="Times New Roman" w:cs="Times New Roman"/>
          <w:i/>
          <w:iCs/>
          <w:sz w:val="24"/>
          <w:szCs w:val="24"/>
        </w:rPr>
        <w:t>p</w:t>
      </w:r>
      <w:r w:rsidR="001D13FA">
        <w:rPr>
          <w:rFonts w:ascii="Times New Roman" w:hAnsi="Times New Roman" w:cs="Times New Roman"/>
          <w:i/>
          <w:iCs/>
          <w:sz w:val="24"/>
          <w:szCs w:val="24"/>
        </w:rPr>
        <w:t>-</w:t>
      </w:r>
      <w:r>
        <w:rPr>
          <w:rFonts w:ascii="Times New Roman" w:hAnsi="Times New Roman" w:cs="Times New Roman"/>
          <w:sz w:val="24"/>
          <w:szCs w:val="24"/>
        </w:rPr>
        <w:t xml:space="preserve">values were &lt; .05, and average Z-scores ranged from 3.44 to 5.20. Thus, results were robust across specifications of proximal disadvantage. Likewise, results persisted across </w:t>
      </w:r>
      <w:r>
        <w:rPr>
          <w:rFonts w:ascii="Times New Roman" w:hAnsi="Times New Roman" w:cs="Times New Roman"/>
          <w:sz w:val="24"/>
          <w:szCs w:val="24"/>
        </w:rPr>
        <w:lastRenderedPageBreak/>
        <w:t xml:space="preserve">indices of contextual disadvantage. Each was observed to predict youth outcomes overall, with median effect sizes ranging from .10 to .16 (77.13%-95.58% significant at </w:t>
      </w:r>
      <w:r>
        <w:rPr>
          <w:rFonts w:ascii="Times New Roman" w:hAnsi="Times New Roman" w:cs="Times New Roman"/>
          <w:i/>
          <w:iCs/>
          <w:sz w:val="24"/>
          <w:szCs w:val="24"/>
        </w:rPr>
        <w:t xml:space="preserve">p </w:t>
      </w:r>
      <w:r>
        <w:rPr>
          <w:rFonts w:ascii="Times New Roman" w:hAnsi="Times New Roman" w:cs="Times New Roman"/>
          <w:sz w:val="24"/>
          <w:szCs w:val="24"/>
        </w:rPr>
        <w:t xml:space="preserve">&lt; .05), mean Z-scores ranging from 2.98 to 4.90, and all median </w:t>
      </w:r>
      <w:r>
        <w:rPr>
          <w:rFonts w:ascii="Times New Roman" w:hAnsi="Times New Roman" w:cs="Times New Roman"/>
          <w:i/>
          <w:iCs/>
          <w:sz w:val="24"/>
          <w:szCs w:val="24"/>
        </w:rPr>
        <w:t>p</w:t>
      </w:r>
      <w:r w:rsidR="001D13FA">
        <w:rPr>
          <w:rFonts w:ascii="Times New Roman" w:hAnsi="Times New Roman" w:cs="Times New Roman"/>
          <w:i/>
          <w:iCs/>
          <w:sz w:val="24"/>
          <w:szCs w:val="24"/>
        </w:rPr>
        <w:t>-</w:t>
      </w:r>
      <w:r>
        <w:rPr>
          <w:rFonts w:ascii="Times New Roman" w:hAnsi="Times New Roman" w:cs="Times New Roman"/>
          <w:sz w:val="24"/>
          <w:szCs w:val="24"/>
        </w:rPr>
        <w:t>values &lt; .05.</w:t>
      </w:r>
    </w:p>
    <w:p w14:paraId="60E58EB6" w14:textId="0CD09801" w:rsidR="00901EA0" w:rsidRDefault="00901EA0" w:rsidP="00D62A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controlling for contextual disadvantage, each proximal indicator was </w:t>
      </w:r>
      <w:r w:rsidR="00507E27">
        <w:rPr>
          <w:rFonts w:ascii="Times New Roman" w:hAnsi="Times New Roman" w:cs="Times New Roman"/>
          <w:sz w:val="24"/>
          <w:szCs w:val="24"/>
        </w:rPr>
        <w:t xml:space="preserve">also </w:t>
      </w:r>
      <w:r>
        <w:rPr>
          <w:rFonts w:ascii="Times New Roman" w:hAnsi="Times New Roman" w:cs="Times New Roman"/>
          <w:sz w:val="24"/>
          <w:szCs w:val="24"/>
        </w:rPr>
        <w:t xml:space="preserve">observed to predict youth outcomes overall, with median effect sizes ranging from .08 to .13 (59.21%-88.17% significant), average Z-scores ranging from 2.23 to 3.72, and median </w:t>
      </w:r>
      <w:r>
        <w:rPr>
          <w:rFonts w:ascii="Times New Roman" w:hAnsi="Times New Roman" w:cs="Times New Roman"/>
          <w:i/>
          <w:iCs/>
          <w:sz w:val="24"/>
          <w:szCs w:val="24"/>
        </w:rPr>
        <w:t>p</w:t>
      </w:r>
      <w:r w:rsidR="001D13FA">
        <w:rPr>
          <w:rFonts w:ascii="Times New Roman" w:hAnsi="Times New Roman" w:cs="Times New Roman"/>
          <w:i/>
          <w:iCs/>
          <w:sz w:val="24"/>
          <w:szCs w:val="24"/>
        </w:rPr>
        <w:t>-</w:t>
      </w:r>
      <w:r>
        <w:rPr>
          <w:rFonts w:ascii="Times New Roman" w:hAnsi="Times New Roman" w:cs="Times New Roman"/>
          <w:sz w:val="24"/>
          <w:szCs w:val="24"/>
        </w:rPr>
        <w:t xml:space="preserve">values &lt; .05. Likewise, each contextual indicator predicted youth outcomes overall when controlling for proximal disadvantage, such that median effect sizes were .07 to .14 (60.97%-82.15% significant), average Z-scores were 2.05 to 3.49, and median </w:t>
      </w:r>
      <w:r>
        <w:rPr>
          <w:rFonts w:ascii="Times New Roman" w:hAnsi="Times New Roman" w:cs="Times New Roman"/>
          <w:i/>
          <w:iCs/>
          <w:sz w:val="24"/>
          <w:szCs w:val="24"/>
        </w:rPr>
        <w:t>p</w:t>
      </w:r>
      <w:r w:rsidR="001D13FA">
        <w:rPr>
          <w:rFonts w:ascii="Times New Roman" w:hAnsi="Times New Roman" w:cs="Times New Roman"/>
          <w:i/>
          <w:iCs/>
          <w:sz w:val="24"/>
          <w:szCs w:val="24"/>
        </w:rPr>
        <w:t>-</w:t>
      </w:r>
      <w:r>
        <w:rPr>
          <w:rFonts w:ascii="Times New Roman" w:hAnsi="Times New Roman" w:cs="Times New Roman"/>
          <w:sz w:val="24"/>
          <w:szCs w:val="24"/>
        </w:rPr>
        <w:t>values were &lt; .05 (see Table S3). Thus, the associations observed between both broad forms of disadvantage and youth outcomes were robust across specifications of disadvantage.</w:t>
      </w:r>
    </w:p>
    <w:p w14:paraId="071B8F75" w14:textId="7300848F" w:rsidR="00D62AEE" w:rsidRDefault="00D62AEE" w:rsidP="00D62AEE">
      <w:pPr>
        <w:spacing w:line="480" w:lineRule="auto"/>
        <w:ind w:firstLine="720"/>
        <w:rPr>
          <w:rFonts w:ascii="Times New Roman" w:hAnsi="Times New Roman" w:cs="Times New Roman"/>
          <w:sz w:val="24"/>
          <w:szCs w:val="24"/>
        </w:rPr>
      </w:pPr>
    </w:p>
    <w:p w14:paraId="0522804E" w14:textId="77777777" w:rsidR="00D62AEE" w:rsidRPr="00D62AEE" w:rsidRDefault="00D62AEE" w:rsidP="008654AB">
      <w:pPr>
        <w:spacing w:line="480" w:lineRule="auto"/>
        <w:rPr>
          <w:rFonts w:ascii="Times New Roman" w:hAnsi="Times New Roman" w:cs="Times New Roman"/>
          <w:sz w:val="24"/>
          <w:szCs w:val="24"/>
        </w:rPr>
      </w:pPr>
    </w:p>
    <w:p w14:paraId="4A1384FA" w14:textId="77777777" w:rsidR="00F05DCC" w:rsidRDefault="00F05DCC">
      <w:pPr>
        <w:rPr>
          <w:rFonts w:ascii="Times New Roman" w:hAnsi="Times New Roman" w:cs="Times New Roman"/>
          <w:b/>
          <w:bCs/>
          <w:sz w:val="24"/>
          <w:szCs w:val="24"/>
        </w:rPr>
      </w:pPr>
      <w:r>
        <w:rPr>
          <w:rFonts w:ascii="Times New Roman" w:hAnsi="Times New Roman" w:cs="Times New Roman"/>
          <w:b/>
          <w:bCs/>
          <w:sz w:val="24"/>
          <w:szCs w:val="24"/>
        </w:rPr>
        <w:br w:type="page"/>
      </w:r>
    </w:p>
    <w:p w14:paraId="4B1CC20E" w14:textId="01F0DBBE" w:rsidR="008C6987" w:rsidRPr="005C08B0" w:rsidRDefault="008C6987" w:rsidP="00173579">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S1. </w:t>
      </w:r>
      <w:r>
        <w:rPr>
          <w:rFonts w:ascii="Times New Roman" w:hAnsi="Times New Roman" w:cs="Times New Roman"/>
          <w:sz w:val="24"/>
          <w:szCs w:val="24"/>
        </w:rPr>
        <w:t>Measures included in Area Deprivation Index.</w:t>
      </w:r>
    </w:p>
    <w:tbl>
      <w:tblPr>
        <w:tblStyle w:val="TableGrid"/>
        <w:tblW w:w="9810" w:type="dxa"/>
        <w:tblLook w:val="04A0" w:firstRow="1" w:lastRow="0" w:firstColumn="1" w:lastColumn="0" w:noHBand="0" w:noVBand="1"/>
      </w:tblPr>
      <w:tblGrid>
        <w:gridCol w:w="1165"/>
        <w:gridCol w:w="8645"/>
      </w:tblGrid>
      <w:tr w:rsidR="008C6987" w14:paraId="0B7A3F18" w14:textId="77777777" w:rsidTr="00173579">
        <w:tc>
          <w:tcPr>
            <w:tcW w:w="1165" w:type="dxa"/>
            <w:tcBorders>
              <w:left w:val="nil"/>
              <w:bottom w:val="single" w:sz="4" w:space="0" w:color="auto"/>
              <w:right w:val="nil"/>
            </w:tcBorders>
          </w:tcPr>
          <w:p w14:paraId="294D80B5" w14:textId="77777777" w:rsidR="008C6987" w:rsidRPr="005C4E6A" w:rsidRDefault="008C6987" w:rsidP="00173579">
            <w:pPr>
              <w:spacing w:line="480" w:lineRule="auto"/>
              <w:rPr>
                <w:rFonts w:ascii="Times New Roman" w:hAnsi="Times New Roman" w:cs="Times New Roman"/>
                <w:b/>
                <w:bCs/>
                <w:i/>
                <w:iCs/>
                <w:sz w:val="24"/>
                <w:szCs w:val="24"/>
              </w:rPr>
            </w:pPr>
            <w:r w:rsidRPr="005C4E6A">
              <w:rPr>
                <w:rFonts w:ascii="Times New Roman" w:hAnsi="Times New Roman" w:cs="Times New Roman"/>
                <w:b/>
                <w:bCs/>
                <w:i/>
                <w:iCs/>
                <w:sz w:val="24"/>
                <w:szCs w:val="24"/>
              </w:rPr>
              <w:t>Measure</w:t>
            </w:r>
          </w:p>
        </w:tc>
        <w:tc>
          <w:tcPr>
            <w:tcW w:w="8645" w:type="dxa"/>
            <w:tcBorders>
              <w:left w:val="nil"/>
              <w:bottom w:val="single" w:sz="4" w:space="0" w:color="auto"/>
              <w:right w:val="nil"/>
            </w:tcBorders>
          </w:tcPr>
          <w:p w14:paraId="1D4F6FA1" w14:textId="77777777" w:rsidR="008C6987" w:rsidRDefault="008C6987" w:rsidP="00173579">
            <w:pPr>
              <w:spacing w:line="480" w:lineRule="auto"/>
              <w:rPr>
                <w:rFonts w:ascii="Times New Roman" w:hAnsi="Times New Roman" w:cs="Times New Roman"/>
                <w:b/>
                <w:bCs/>
                <w:sz w:val="24"/>
                <w:szCs w:val="24"/>
              </w:rPr>
            </w:pPr>
          </w:p>
        </w:tc>
      </w:tr>
      <w:tr w:rsidR="008C6987" w14:paraId="5592D7CA" w14:textId="77777777" w:rsidTr="00173579">
        <w:tc>
          <w:tcPr>
            <w:tcW w:w="1165" w:type="dxa"/>
            <w:tcBorders>
              <w:left w:val="nil"/>
              <w:bottom w:val="single" w:sz="4" w:space="0" w:color="auto"/>
              <w:right w:val="nil"/>
            </w:tcBorders>
          </w:tcPr>
          <w:p w14:paraId="6BD339C2" w14:textId="77777777" w:rsidR="008C6987" w:rsidRPr="005C4E6A" w:rsidRDefault="008C6987" w:rsidP="00173579">
            <w:pPr>
              <w:spacing w:line="480" w:lineRule="auto"/>
              <w:rPr>
                <w:rFonts w:ascii="Times New Roman" w:hAnsi="Times New Roman" w:cs="Times New Roman"/>
                <w:i/>
                <w:iCs/>
                <w:sz w:val="24"/>
                <w:szCs w:val="24"/>
              </w:rPr>
            </w:pPr>
          </w:p>
        </w:tc>
        <w:tc>
          <w:tcPr>
            <w:tcW w:w="8645" w:type="dxa"/>
            <w:tcBorders>
              <w:left w:val="nil"/>
              <w:bottom w:val="single" w:sz="4" w:space="0" w:color="auto"/>
              <w:right w:val="nil"/>
            </w:tcBorders>
          </w:tcPr>
          <w:p w14:paraId="215BB09A"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sidRPr="005C4E6A">
              <w:rPr>
                <w:rFonts w:ascii="Times New Roman" w:hAnsi="Times New Roman" w:cs="Times New Roman"/>
                <w:sz w:val="24"/>
                <w:szCs w:val="24"/>
              </w:rPr>
              <w:t>Percent of population aged 25 and older with &lt;9 years of education</w:t>
            </w:r>
          </w:p>
        </w:tc>
      </w:tr>
      <w:tr w:rsidR="008C6987" w14:paraId="70228860" w14:textId="77777777" w:rsidTr="00173579">
        <w:tc>
          <w:tcPr>
            <w:tcW w:w="1165" w:type="dxa"/>
            <w:tcBorders>
              <w:left w:val="nil"/>
              <w:bottom w:val="single" w:sz="4" w:space="0" w:color="auto"/>
              <w:right w:val="nil"/>
            </w:tcBorders>
          </w:tcPr>
          <w:p w14:paraId="7D6D4409"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63D7FD6F"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sidRPr="005C4E6A">
              <w:rPr>
                <w:rFonts w:ascii="Times New Roman" w:hAnsi="Times New Roman" w:cs="Times New Roman"/>
                <w:sz w:val="24"/>
                <w:szCs w:val="24"/>
              </w:rPr>
              <w:t>Percent of population aged 25 and older with at least a high school diploma</w:t>
            </w:r>
          </w:p>
        </w:tc>
      </w:tr>
      <w:tr w:rsidR="008C6987" w14:paraId="4D9B44CC" w14:textId="77777777" w:rsidTr="00173579">
        <w:tc>
          <w:tcPr>
            <w:tcW w:w="1165" w:type="dxa"/>
            <w:tcBorders>
              <w:left w:val="nil"/>
              <w:bottom w:val="single" w:sz="4" w:space="0" w:color="auto"/>
              <w:right w:val="nil"/>
            </w:tcBorders>
          </w:tcPr>
          <w:p w14:paraId="77D6D125"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07226577"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sidRPr="005C4E6A">
              <w:rPr>
                <w:rFonts w:ascii="Times New Roman" w:hAnsi="Times New Roman" w:cs="Times New Roman"/>
                <w:sz w:val="24"/>
                <w:szCs w:val="24"/>
              </w:rPr>
              <w:t>Percent of population aged 16 and older in white-collar occupations</w:t>
            </w:r>
          </w:p>
        </w:tc>
      </w:tr>
      <w:tr w:rsidR="008C6987" w14:paraId="13982226" w14:textId="77777777" w:rsidTr="00173579">
        <w:tc>
          <w:tcPr>
            <w:tcW w:w="1165" w:type="dxa"/>
            <w:tcBorders>
              <w:left w:val="nil"/>
              <w:bottom w:val="single" w:sz="4" w:space="0" w:color="auto"/>
              <w:right w:val="nil"/>
            </w:tcBorders>
          </w:tcPr>
          <w:p w14:paraId="58AB1349"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360FB4CE"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sidRPr="005C4E6A">
              <w:rPr>
                <w:rFonts w:ascii="Times New Roman" w:hAnsi="Times New Roman" w:cs="Times New Roman"/>
                <w:sz w:val="24"/>
                <w:szCs w:val="24"/>
              </w:rPr>
              <w:t>Median family income</w:t>
            </w:r>
          </w:p>
        </w:tc>
      </w:tr>
      <w:tr w:rsidR="008C6987" w14:paraId="3DE6D1C8" w14:textId="77777777" w:rsidTr="00173579">
        <w:tc>
          <w:tcPr>
            <w:tcW w:w="1165" w:type="dxa"/>
            <w:tcBorders>
              <w:left w:val="nil"/>
              <w:bottom w:val="single" w:sz="4" w:space="0" w:color="auto"/>
              <w:right w:val="nil"/>
            </w:tcBorders>
          </w:tcPr>
          <w:p w14:paraId="4E62C114"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3D95FBBA"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sidRPr="005C4E6A">
              <w:rPr>
                <w:rFonts w:ascii="Times New Roman" w:hAnsi="Times New Roman" w:cs="Times New Roman"/>
                <w:sz w:val="24"/>
                <w:szCs w:val="24"/>
              </w:rPr>
              <w:t>Income disparity (ratio of households with &lt;$10,000 income to households with ≥$50,000 income)</w:t>
            </w:r>
          </w:p>
        </w:tc>
      </w:tr>
      <w:tr w:rsidR="008C6987" w14:paraId="07C6306B" w14:textId="77777777" w:rsidTr="00173579">
        <w:tc>
          <w:tcPr>
            <w:tcW w:w="1165" w:type="dxa"/>
            <w:tcBorders>
              <w:left w:val="nil"/>
              <w:bottom w:val="single" w:sz="4" w:space="0" w:color="auto"/>
              <w:right w:val="nil"/>
            </w:tcBorders>
          </w:tcPr>
          <w:p w14:paraId="5B0ABCDF"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45FCA156"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Median home value</w:t>
            </w:r>
          </w:p>
        </w:tc>
      </w:tr>
      <w:tr w:rsidR="008C6987" w14:paraId="0C475BDB" w14:textId="77777777" w:rsidTr="00173579">
        <w:tc>
          <w:tcPr>
            <w:tcW w:w="1165" w:type="dxa"/>
            <w:tcBorders>
              <w:left w:val="nil"/>
              <w:bottom w:val="single" w:sz="4" w:space="0" w:color="auto"/>
              <w:right w:val="nil"/>
            </w:tcBorders>
          </w:tcPr>
          <w:p w14:paraId="593C39FC"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76894C77"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Median gross rent</w:t>
            </w:r>
          </w:p>
        </w:tc>
      </w:tr>
      <w:tr w:rsidR="008C6987" w14:paraId="4F1A5A43" w14:textId="77777777" w:rsidTr="00173579">
        <w:tc>
          <w:tcPr>
            <w:tcW w:w="1165" w:type="dxa"/>
            <w:tcBorders>
              <w:left w:val="nil"/>
              <w:bottom w:val="single" w:sz="4" w:space="0" w:color="auto"/>
              <w:right w:val="nil"/>
            </w:tcBorders>
          </w:tcPr>
          <w:p w14:paraId="289BA652"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76484F62"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Median monthly mortgage</w:t>
            </w:r>
          </w:p>
        </w:tc>
      </w:tr>
      <w:tr w:rsidR="008C6987" w14:paraId="0CF6CC67" w14:textId="77777777" w:rsidTr="00173579">
        <w:tc>
          <w:tcPr>
            <w:tcW w:w="1165" w:type="dxa"/>
            <w:tcBorders>
              <w:left w:val="nil"/>
              <w:bottom w:val="single" w:sz="4" w:space="0" w:color="auto"/>
              <w:right w:val="nil"/>
            </w:tcBorders>
          </w:tcPr>
          <w:p w14:paraId="41059953"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0ED7EEF4"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Percent of housing units owned by occupiers</w:t>
            </w:r>
          </w:p>
        </w:tc>
      </w:tr>
      <w:tr w:rsidR="008C6987" w14:paraId="4BDCBFBC" w14:textId="77777777" w:rsidTr="00173579">
        <w:tc>
          <w:tcPr>
            <w:tcW w:w="1165" w:type="dxa"/>
            <w:tcBorders>
              <w:left w:val="nil"/>
              <w:bottom w:val="single" w:sz="4" w:space="0" w:color="auto"/>
              <w:right w:val="nil"/>
            </w:tcBorders>
          </w:tcPr>
          <w:p w14:paraId="730C4303"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3873C1C0"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Percent of population aged 16 and older who are unemployed</w:t>
            </w:r>
          </w:p>
        </w:tc>
      </w:tr>
      <w:tr w:rsidR="008C6987" w14:paraId="53CD0B24" w14:textId="77777777" w:rsidTr="00173579">
        <w:tc>
          <w:tcPr>
            <w:tcW w:w="1165" w:type="dxa"/>
            <w:tcBorders>
              <w:left w:val="nil"/>
              <w:bottom w:val="single" w:sz="4" w:space="0" w:color="auto"/>
              <w:right w:val="nil"/>
            </w:tcBorders>
          </w:tcPr>
          <w:p w14:paraId="6EB47918"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1C9679D8"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Percent of families below poverty level</w:t>
            </w:r>
          </w:p>
        </w:tc>
      </w:tr>
      <w:tr w:rsidR="008C6987" w14:paraId="70C2F9C1" w14:textId="77777777" w:rsidTr="00173579">
        <w:tc>
          <w:tcPr>
            <w:tcW w:w="1165" w:type="dxa"/>
            <w:tcBorders>
              <w:left w:val="nil"/>
              <w:bottom w:val="single" w:sz="4" w:space="0" w:color="auto"/>
              <w:right w:val="nil"/>
            </w:tcBorders>
          </w:tcPr>
          <w:p w14:paraId="7C313C57"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07E4D4C3"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Percent of population below 150% of the poverty threshold</w:t>
            </w:r>
          </w:p>
        </w:tc>
      </w:tr>
      <w:tr w:rsidR="008C6987" w14:paraId="540DAEBB" w14:textId="77777777" w:rsidTr="00173579">
        <w:tc>
          <w:tcPr>
            <w:tcW w:w="1165" w:type="dxa"/>
            <w:tcBorders>
              <w:left w:val="nil"/>
              <w:bottom w:val="single" w:sz="4" w:space="0" w:color="auto"/>
              <w:right w:val="nil"/>
            </w:tcBorders>
          </w:tcPr>
          <w:p w14:paraId="02F454CE"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726627B1"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Percent of households with children under age 18 headed by a single parent</w:t>
            </w:r>
          </w:p>
        </w:tc>
      </w:tr>
      <w:tr w:rsidR="008C6987" w14:paraId="392149F1" w14:textId="77777777" w:rsidTr="00173579">
        <w:tc>
          <w:tcPr>
            <w:tcW w:w="1165" w:type="dxa"/>
            <w:tcBorders>
              <w:left w:val="nil"/>
              <w:bottom w:val="single" w:sz="4" w:space="0" w:color="auto"/>
              <w:right w:val="nil"/>
            </w:tcBorders>
          </w:tcPr>
          <w:p w14:paraId="2BF52F66"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7828325E"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Percent of households without a motor vehicle</w:t>
            </w:r>
          </w:p>
        </w:tc>
      </w:tr>
      <w:tr w:rsidR="008C6987" w14:paraId="44B65134" w14:textId="77777777" w:rsidTr="00173579">
        <w:tc>
          <w:tcPr>
            <w:tcW w:w="1165" w:type="dxa"/>
            <w:tcBorders>
              <w:left w:val="nil"/>
              <w:bottom w:val="single" w:sz="4" w:space="0" w:color="auto"/>
              <w:right w:val="nil"/>
            </w:tcBorders>
          </w:tcPr>
          <w:p w14:paraId="4D1E7DE3"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25D0576A"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Percent of households without a telephone</w:t>
            </w:r>
          </w:p>
        </w:tc>
      </w:tr>
      <w:tr w:rsidR="008C6987" w14:paraId="3DE3C7B6" w14:textId="77777777" w:rsidTr="00173579">
        <w:tc>
          <w:tcPr>
            <w:tcW w:w="1165" w:type="dxa"/>
            <w:tcBorders>
              <w:left w:val="nil"/>
              <w:bottom w:val="single" w:sz="4" w:space="0" w:color="auto"/>
              <w:right w:val="nil"/>
            </w:tcBorders>
          </w:tcPr>
          <w:p w14:paraId="21560D9C"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bottom w:val="single" w:sz="4" w:space="0" w:color="auto"/>
              <w:right w:val="nil"/>
            </w:tcBorders>
          </w:tcPr>
          <w:p w14:paraId="7D54EBB7"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Percent of occupied housing units without complete plumbing</w:t>
            </w:r>
          </w:p>
        </w:tc>
      </w:tr>
      <w:tr w:rsidR="008C6987" w14:paraId="45BE270E" w14:textId="77777777" w:rsidTr="00173579">
        <w:tc>
          <w:tcPr>
            <w:tcW w:w="1165" w:type="dxa"/>
            <w:tcBorders>
              <w:left w:val="nil"/>
              <w:right w:val="nil"/>
            </w:tcBorders>
          </w:tcPr>
          <w:p w14:paraId="66717140" w14:textId="77777777" w:rsidR="008C6987" w:rsidRPr="00125914" w:rsidRDefault="008C6987" w:rsidP="00173579">
            <w:pPr>
              <w:spacing w:line="480" w:lineRule="auto"/>
              <w:rPr>
                <w:rFonts w:ascii="Times New Roman" w:hAnsi="Times New Roman" w:cs="Times New Roman"/>
                <w:sz w:val="24"/>
                <w:szCs w:val="24"/>
              </w:rPr>
            </w:pPr>
          </w:p>
        </w:tc>
        <w:tc>
          <w:tcPr>
            <w:tcW w:w="8645" w:type="dxa"/>
            <w:tcBorders>
              <w:left w:val="nil"/>
              <w:right w:val="nil"/>
            </w:tcBorders>
          </w:tcPr>
          <w:p w14:paraId="29127FD0" w14:textId="77777777" w:rsidR="008C6987" w:rsidRPr="005C4E6A" w:rsidRDefault="008C6987" w:rsidP="001735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Percent of households with more than 1 person per room</w:t>
            </w:r>
          </w:p>
        </w:tc>
      </w:tr>
    </w:tbl>
    <w:p w14:paraId="6C377405" w14:textId="77777777" w:rsidR="00173579" w:rsidRDefault="008C6987" w:rsidP="00173579">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Note. </w:t>
      </w:r>
      <w:r>
        <w:rPr>
          <w:rFonts w:ascii="Times New Roman" w:hAnsi="Times New Roman" w:cs="Times New Roman"/>
          <w:sz w:val="24"/>
          <w:szCs w:val="24"/>
        </w:rPr>
        <w:t>Participating families’ ADI scores were determined by the level of deprivation in their Census block group based on all indices listed above. For additional details, see Singh (2003) and Kind &amp; Buckingham (2018).</w:t>
      </w:r>
    </w:p>
    <w:p w14:paraId="64657618" w14:textId="5D674AE4" w:rsidR="0000752F" w:rsidRPr="00173579" w:rsidRDefault="00173579" w:rsidP="00173579">
      <w:pPr>
        <w:spacing w:line="480" w:lineRule="auto"/>
        <w:rPr>
          <w:rFonts w:ascii="Times New Roman" w:hAnsi="Times New Roman" w:cs="Times New Roman"/>
          <w:sz w:val="24"/>
          <w:szCs w:val="24"/>
        </w:rPr>
      </w:pPr>
      <w:r>
        <w:rPr>
          <w:rFonts w:ascii="Times New Roman" w:hAnsi="Times New Roman" w:cs="Times New Roman"/>
          <w:sz w:val="24"/>
          <w:szCs w:val="24"/>
        </w:rPr>
        <w:br w:type="page"/>
      </w:r>
      <w:r w:rsidR="0000752F">
        <w:rPr>
          <w:rFonts w:ascii="Times New Roman" w:hAnsi="Times New Roman" w:cs="Times New Roman"/>
          <w:b/>
          <w:bCs/>
          <w:sz w:val="24"/>
          <w:szCs w:val="24"/>
        </w:rPr>
        <w:lastRenderedPageBreak/>
        <w:t>Table S</w:t>
      </w:r>
      <w:r w:rsidR="005C1274">
        <w:rPr>
          <w:rFonts w:ascii="Times New Roman" w:hAnsi="Times New Roman" w:cs="Times New Roman"/>
          <w:b/>
          <w:bCs/>
          <w:sz w:val="24"/>
          <w:szCs w:val="24"/>
        </w:rPr>
        <w:t>2</w:t>
      </w:r>
      <w:r w:rsidR="0000752F">
        <w:rPr>
          <w:rFonts w:ascii="Times New Roman" w:hAnsi="Times New Roman" w:cs="Times New Roman"/>
          <w:b/>
          <w:bCs/>
          <w:sz w:val="24"/>
          <w:szCs w:val="24"/>
        </w:rPr>
        <w:t xml:space="preserve">. </w:t>
      </w:r>
      <w:r w:rsidR="0000752F">
        <w:rPr>
          <w:rFonts w:ascii="Times New Roman" w:hAnsi="Times New Roman" w:cs="Times New Roman"/>
          <w:sz w:val="24"/>
          <w:szCs w:val="24"/>
        </w:rPr>
        <w:t>Descriptive statistics for disadvantage and youth outcomes (</w:t>
      </w:r>
      <w:r w:rsidR="0000752F">
        <w:rPr>
          <w:rFonts w:ascii="Times New Roman" w:hAnsi="Times New Roman" w:cs="Times New Roman"/>
          <w:i/>
          <w:iCs/>
          <w:sz w:val="24"/>
          <w:szCs w:val="24"/>
        </w:rPr>
        <w:t>N</w:t>
      </w:r>
      <w:r w:rsidR="00AB0788">
        <w:rPr>
          <w:rFonts w:ascii="Times New Roman" w:hAnsi="Times New Roman" w:cs="Times New Roman"/>
          <w:i/>
          <w:iCs/>
          <w:sz w:val="24"/>
          <w:szCs w:val="24"/>
        </w:rPr>
        <w:t xml:space="preserve"> </w:t>
      </w:r>
      <w:r w:rsidR="0000752F">
        <w:rPr>
          <w:rFonts w:ascii="Times New Roman" w:hAnsi="Times New Roman" w:cs="Times New Roman"/>
          <w:sz w:val="24"/>
          <w:szCs w:val="24"/>
        </w:rPr>
        <w:t>=</w:t>
      </w:r>
      <w:r w:rsidR="00AB0788">
        <w:rPr>
          <w:rFonts w:ascii="Times New Roman" w:hAnsi="Times New Roman" w:cs="Times New Roman"/>
          <w:sz w:val="24"/>
          <w:szCs w:val="24"/>
        </w:rPr>
        <w:t xml:space="preserve"> </w:t>
      </w:r>
      <w:r w:rsidR="0000752F">
        <w:rPr>
          <w:rFonts w:ascii="Times New Roman" w:hAnsi="Times New Roman" w:cs="Times New Roman"/>
          <w:sz w:val="24"/>
          <w:szCs w:val="24"/>
        </w:rPr>
        <w:t>2060 participants)</w:t>
      </w:r>
      <w:r w:rsidR="00FC040C">
        <w:rPr>
          <w:rFonts w:ascii="Times New Roman" w:hAnsi="Times New Roman" w:cs="Times New Roman"/>
          <w:sz w:val="24"/>
          <w:szCs w:val="24"/>
        </w:rPr>
        <w:t>.</w:t>
      </w:r>
    </w:p>
    <w:tbl>
      <w:tblPr>
        <w:tblStyle w:val="TableGrid"/>
        <w:tblW w:w="10080" w:type="dxa"/>
        <w:tblLook w:val="04A0" w:firstRow="1" w:lastRow="0" w:firstColumn="1" w:lastColumn="0" w:noHBand="0" w:noVBand="1"/>
      </w:tblPr>
      <w:tblGrid>
        <w:gridCol w:w="4651"/>
        <w:gridCol w:w="1194"/>
        <w:gridCol w:w="1710"/>
        <w:gridCol w:w="2525"/>
      </w:tblGrid>
      <w:tr w:rsidR="0000752F" w:rsidRPr="00C87EDE" w14:paraId="2BD0DD06" w14:textId="77777777" w:rsidTr="00056736">
        <w:tc>
          <w:tcPr>
            <w:tcW w:w="4651" w:type="dxa"/>
            <w:tcBorders>
              <w:left w:val="nil"/>
              <w:bottom w:val="single" w:sz="4" w:space="0" w:color="auto"/>
              <w:right w:val="nil"/>
            </w:tcBorders>
          </w:tcPr>
          <w:p w14:paraId="2370755A" w14:textId="77777777" w:rsidR="0000752F" w:rsidRPr="00C87EDE" w:rsidRDefault="0000752F" w:rsidP="00173579">
            <w:pPr>
              <w:spacing w:line="480" w:lineRule="auto"/>
              <w:rPr>
                <w:rFonts w:ascii="Times New Roman" w:hAnsi="Times New Roman" w:cs="Times New Roman"/>
                <w:b/>
                <w:bCs/>
                <w:sz w:val="24"/>
                <w:szCs w:val="24"/>
              </w:rPr>
            </w:pPr>
            <w:r>
              <w:rPr>
                <w:rFonts w:ascii="Times New Roman" w:hAnsi="Times New Roman" w:cs="Times New Roman"/>
                <w:b/>
                <w:bCs/>
                <w:sz w:val="24"/>
                <w:szCs w:val="24"/>
              </w:rPr>
              <w:t>Measure</w:t>
            </w:r>
          </w:p>
        </w:tc>
        <w:tc>
          <w:tcPr>
            <w:tcW w:w="1194" w:type="dxa"/>
            <w:tcBorders>
              <w:left w:val="nil"/>
              <w:bottom w:val="single" w:sz="4" w:space="0" w:color="auto"/>
              <w:right w:val="nil"/>
            </w:tcBorders>
          </w:tcPr>
          <w:p w14:paraId="2C52C720" w14:textId="77777777" w:rsidR="0000752F" w:rsidRPr="00C87EDE" w:rsidRDefault="0000752F" w:rsidP="00173579">
            <w:pPr>
              <w:spacing w:line="480" w:lineRule="auto"/>
              <w:jc w:val="center"/>
              <w:rPr>
                <w:rFonts w:ascii="Times New Roman" w:hAnsi="Times New Roman" w:cs="Times New Roman"/>
                <w:b/>
                <w:bCs/>
                <w:i/>
                <w:iCs/>
                <w:sz w:val="24"/>
                <w:szCs w:val="24"/>
              </w:rPr>
            </w:pPr>
            <w:r w:rsidRPr="00C87EDE">
              <w:rPr>
                <w:rFonts w:ascii="Times New Roman" w:hAnsi="Times New Roman" w:cs="Times New Roman"/>
                <w:b/>
                <w:bCs/>
                <w:i/>
                <w:iCs/>
                <w:sz w:val="24"/>
                <w:szCs w:val="24"/>
              </w:rPr>
              <w:t>N</w:t>
            </w:r>
          </w:p>
        </w:tc>
        <w:tc>
          <w:tcPr>
            <w:tcW w:w="1710" w:type="dxa"/>
            <w:tcBorders>
              <w:left w:val="nil"/>
              <w:bottom w:val="single" w:sz="4" w:space="0" w:color="auto"/>
              <w:right w:val="nil"/>
            </w:tcBorders>
          </w:tcPr>
          <w:p w14:paraId="7EADF0C3" w14:textId="77777777" w:rsidR="0000752F" w:rsidRPr="00C87EDE" w:rsidRDefault="0000752F" w:rsidP="0017357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Mean (SD)</w:t>
            </w:r>
          </w:p>
        </w:tc>
        <w:tc>
          <w:tcPr>
            <w:tcW w:w="2525" w:type="dxa"/>
            <w:tcBorders>
              <w:left w:val="nil"/>
              <w:bottom w:val="single" w:sz="4" w:space="0" w:color="auto"/>
              <w:right w:val="nil"/>
            </w:tcBorders>
          </w:tcPr>
          <w:p w14:paraId="71FA5662" w14:textId="0C22FDA7" w:rsidR="0000752F" w:rsidRPr="00C87EDE" w:rsidRDefault="0000752F" w:rsidP="0017357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Range</w:t>
            </w:r>
            <w:r w:rsidR="00056736">
              <w:rPr>
                <w:rFonts w:ascii="Times New Roman" w:hAnsi="Times New Roman" w:cs="Times New Roman"/>
                <w:b/>
                <w:bCs/>
                <w:sz w:val="24"/>
                <w:szCs w:val="24"/>
              </w:rPr>
              <w:t xml:space="preserve"> </w:t>
            </w:r>
            <w:r w:rsidR="00056736" w:rsidRPr="00056736">
              <w:rPr>
                <w:rFonts w:ascii="Times New Roman" w:hAnsi="Times New Roman" w:cs="Times New Roman"/>
                <w:sz w:val="24"/>
                <w:szCs w:val="24"/>
              </w:rPr>
              <w:t>(possible range)</w:t>
            </w:r>
          </w:p>
        </w:tc>
      </w:tr>
      <w:tr w:rsidR="0000752F" w:rsidRPr="00C87EDE" w14:paraId="799890E9" w14:textId="77777777" w:rsidTr="00056736">
        <w:tc>
          <w:tcPr>
            <w:tcW w:w="4651" w:type="dxa"/>
            <w:tcBorders>
              <w:left w:val="nil"/>
              <w:bottom w:val="single" w:sz="4" w:space="0" w:color="auto"/>
              <w:right w:val="nil"/>
            </w:tcBorders>
          </w:tcPr>
          <w:p w14:paraId="06BBE68E" w14:textId="77777777" w:rsidR="0000752F" w:rsidRPr="00C87EDE" w:rsidRDefault="0000752F" w:rsidP="00173579">
            <w:pPr>
              <w:spacing w:line="480" w:lineRule="auto"/>
              <w:rPr>
                <w:rFonts w:ascii="Times New Roman" w:hAnsi="Times New Roman" w:cs="Times New Roman"/>
                <w:b/>
                <w:bCs/>
                <w:i/>
                <w:iCs/>
                <w:sz w:val="24"/>
                <w:szCs w:val="24"/>
              </w:rPr>
            </w:pPr>
            <w:r w:rsidRPr="00C87EDE">
              <w:rPr>
                <w:rFonts w:ascii="Times New Roman" w:hAnsi="Times New Roman" w:cs="Times New Roman"/>
                <w:b/>
                <w:bCs/>
                <w:i/>
                <w:iCs/>
                <w:sz w:val="24"/>
                <w:szCs w:val="24"/>
              </w:rPr>
              <w:t>Disadvantage</w:t>
            </w:r>
          </w:p>
        </w:tc>
        <w:tc>
          <w:tcPr>
            <w:tcW w:w="1194" w:type="dxa"/>
            <w:tcBorders>
              <w:left w:val="nil"/>
              <w:bottom w:val="single" w:sz="4" w:space="0" w:color="auto"/>
              <w:right w:val="nil"/>
            </w:tcBorders>
          </w:tcPr>
          <w:p w14:paraId="718891FA" w14:textId="77777777" w:rsidR="0000752F" w:rsidRPr="00C87EDE" w:rsidRDefault="0000752F" w:rsidP="00173579">
            <w:pPr>
              <w:spacing w:line="480" w:lineRule="auto"/>
              <w:jc w:val="center"/>
              <w:rPr>
                <w:rFonts w:ascii="Times New Roman" w:hAnsi="Times New Roman" w:cs="Times New Roman"/>
                <w:sz w:val="24"/>
                <w:szCs w:val="24"/>
              </w:rPr>
            </w:pPr>
          </w:p>
        </w:tc>
        <w:tc>
          <w:tcPr>
            <w:tcW w:w="1710" w:type="dxa"/>
            <w:tcBorders>
              <w:left w:val="nil"/>
              <w:bottom w:val="single" w:sz="4" w:space="0" w:color="auto"/>
              <w:right w:val="nil"/>
            </w:tcBorders>
          </w:tcPr>
          <w:p w14:paraId="1F550D19" w14:textId="77777777" w:rsidR="0000752F" w:rsidRPr="00C87EDE" w:rsidRDefault="0000752F" w:rsidP="00173579">
            <w:pPr>
              <w:spacing w:line="480" w:lineRule="auto"/>
              <w:jc w:val="center"/>
              <w:rPr>
                <w:rFonts w:ascii="Times New Roman" w:hAnsi="Times New Roman" w:cs="Times New Roman"/>
                <w:sz w:val="24"/>
                <w:szCs w:val="24"/>
              </w:rPr>
            </w:pPr>
          </w:p>
        </w:tc>
        <w:tc>
          <w:tcPr>
            <w:tcW w:w="2525" w:type="dxa"/>
            <w:tcBorders>
              <w:left w:val="nil"/>
              <w:bottom w:val="single" w:sz="4" w:space="0" w:color="auto"/>
              <w:right w:val="nil"/>
            </w:tcBorders>
          </w:tcPr>
          <w:p w14:paraId="1CE43381" w14:textId="77777777" w:rsidR="0000752F" w:rsidRPr="00C87EDE" w:rsidRDefault="0000752F" w:rsidP="00173579">
            <w:pPr>
              <w:spacing w:line="480" w:lineRule="auto"/>
              <w:jc w:val="center"/>
              <w:rPr>
                <w:rFonts w:ascii="Times New Roman" w:hAnsi="Times New Roman" w:cs="Times New Roman"/>
                <w:sz w:val="24"/>
                <w:szCs w:val="24"/>
              </w:rPr>
            </w:pPr>
          </w:p>
        </w:tc>
      </w:tr>
      <w:tr w:rsidR="0000752F" w:rsidRPr="00C87EDE" w14:paraId="5EF4C3AD" w14:textId="77777777" w:rsidTr="00056736">
        <w:tc>
          <w:tcPr>
            <w:tcW w:w="4651" w:type="dxa"/>
            <w:tcBorders>
              <w:left w:val="nil"/>
              <w:bottom w:val="single" w:sz="4" w:space="0" w:color="auto"/>
              <w:right w:val="nil"/>
            </w:tcBorders>
          </w:tcPr>
          <w:p w14:paraId="6CFC2B8F" w14:textId="77777777" w:rsidR="0000752F" w:rsidRPr="00C87EDE" w:rsidRDefault="0000752F" w:rsidP="00173579">
            <w:pPr>
              <w:spacing w:line="480" w:lineRule="auto"/>
              <w:rPr>
                <w:rFonts w:ascii="Times New Roman" w:hAnsi="Times New Roman" w:cs="Times New Roman"/>
                <w:sz w:val="24"/>
                <w:szCs w:val="24"/>
              </w:rPr>
            </w:pPr>
            <w:r w:rsidRPr="00C87EDE">
              <w:rPr>
                <w:rFonts w:ascii="Times New Roman" w:hAnsi="Times New Roman" w:cs="Times New Roman"/>
                <w:sz w:val="24"/>
                <w:szCs w:val="24"/>
              </w:rPr>
              <w:t xml:space="preserve">     ADI</w:t>
            </w:r>
          </w:p>
        </w:tc>
        <w:tc>
          <w:tcPr>
            <w:tcW w:w="1194" w:type="dxa"/>
            <w:tcBorders>
              <w:left w:val="nil"/>
              <w:bottom w:val="single" w:sz="4" w:space="0" w:color="auto"/>
              <w:right w:val="nil"/>
            </w:tcBorders>
          </w:tcPr>
          <w:p w14:paraId="212002F7" w14:textId="09B8F931" w:rsidR="0000752F" w:rsidRPr="00C87EDE" w:rsidRDefault="00FC2C1C"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2010</w:t>
            </w:r>
          </w:p>
        </w:tc>
        <w:tc>
          <w:tcPr>
            <w:tcW w:w="1710" w:type="dxa"/>
            <w:tcBorders>
              <w:left w:val="nil"/>
              <w:bottom w:val="single" w:sz="4" w:space="0" w:color="auto"/>
              <w:right w:val="nil"/>
            </w:tcBorders>
          </w:tcPr>
          <w:p w14:paraId="641E7480" w14:textId="55924FC9" w:rsidR="0000752F" w:rsidRPr="00C87EDE" w:rsidRDefault="00FC2C1C"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57.25</w:t>
            </w:r>
            <w:r w:rsidR="0000752F">
              <w:rPr>
                <w:rFonts w:ascii="Times New Roman" w:hAnsi="Times New Roman" w:cs="Times New Roman"/>
                <w:sz w:val="24"/>
                <w:szCs w:val="24"/>
              </w:rPr>
              <w:t xml:space="preserve"> (2</w:t>
            </w:r>
            <w:r>
              <w:rPr>
                <w:rFonts w:ascii="Times New Roman" w:hAnsi="Times New Roman" w:cs="Times New Roman"/>
                <w:sz w:val="24"/>
                <w:szCs w:val="24"/>
              </w:rPr>
              <w:t>2</w:t>
            </w:r>
            <w:r w:rsidR="0000752F">
              <w:rPr>
                <w:rFonts w:ascii="Times New Roman" w:hAnsi="Times New Roman" w:cs="Times New Roman"/>
                <w:sz w:val="24"/>
                <w:szCs w:val="24"/>
              </w:rPr>
              <w:t>.</w:t>
            </w:r>
            <w:r>
              <w:rPr>
                <w:rFonts w:ascii="Times New Roman" w:hAnsi="Times New Roman" w:cs="Times New Roman"/>
                <w:sz w:val="24"/>
                <w:szCs w:val="24"/>
              </w:rPr>
              <w:t>68</w:t>
            </w:r>
            <w:r w:rsidR="0000752F">
              <w:rPr>
                <w:rFonts w:ascii="Times New Roman" w:hAnsi="Times New Roman" w:cs="Times New Roman"/>
                <w:sz w:val="24"/>
                <w:szCs w:val="24"/>
              </w:rPr>
              <w:t>)</w:t>
            </w:r>
          </w:p>
        </w:tc>
        <w:tc>
          <w:tcPr>
            <w:tcW w:w="2525" w:type="dxa"/>
            <w:tcBorders>
              <w:left w:val="nil"/>
              <w:bottom w:val="single" w:sz="4" w:space="0" w:color="auto"/>
              <w:right w:val="nil"/>
            </w:tcBorders>
          </w:tcPr>
          <w:p w14:paraId="7F684A3B" w14:textId="276A77E3" w:rsidR="0000752F" w:rsidRPr="00C87EDE" w:rsidRDefault="00FC2C1C"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00752F">
              <w:rPr>
                <w:rFonts w:ascii="Times New Roman" w:hAnsi="Times New Roman" w:cs="Times New Roman"/>
                <w:sz w:val="24"/>
                <w:szCs w:val="24"/>
              </w:rPr>
              <w:t>-</w:t>
            </w:r>
            <w:r>
              <w:rPr>
                <w:rFonts w:ascii="Times New Roman" w:hAnsi="Times New Roman" w:cs="Times New Roman"/>
                <w:sz w:val="24"/>
                <w:szCs w:val="24"/>
              </w:rPr>
              <w:t>99</w:t>
            </w:r>
            <w:r w:rsidR="00056736">
              <w:rPr>
                <w:rFonts w:ascii="Times New Roman" w:hAnsi="Times New Roman" w:cs="Times New Roman"/>
                <w:sz w:val="24"/>
                <w:szCs w:val="24"/>
              </w:rPr>
              <w:t xml:space="preserve"> (1-100)</w:t>
            </w:r>
          </w:p>
        </w:tc>
      </w:tr>
      <w:tr w:rsidR="0000752F" w:rsidRPr="00C87EDE" w14:paraId="7A34419B" w14:textId="77777777" w:rsidTr="00056736">
        <w:tc>
          <w:tcPr>
            <w:tcW w:w="4651" w:type="dxa"/>
            <w:tcBorders>
              <w:left w:val="nil"/>
              <w:bottom w:val="single" w:sz="4" w:space="0" w:color="auto"/>
              <w:right w:val="nil"/>
            </w:tcBorders>
          </w:tcPr>
          <w:p w14:paraId="6F03A2A1" w14:textId="77777777" w:rsidR="0000752F" w:rsidRPr="00C87EDE" w:rsidRDefault="0000752F" w:rsidP="00173579">
            <w:pPr>
              <w:spacing w:line="480" w:lineRule="auto"/>
              <w:rPr>
                <w:rFonts w:ascii="Times New Roman" w:hAnsi="Times New Roman" w:cs="Times New Roman"/>
                <w:sz w:val="24"/>
                <w:szCs w:val="24"/>
              </w:rPr>
            </w:pPr>
            <w:r w:rsidRPr="00C87EDE">
              <w:rPr>
                <w:rFonts w:ascii="Times New Roman" w:hAnsi="Times New Roman" w:cs="Times New Roman"/>
                <w:sz w:val="24"/>
                <w:szCs w:val="24"/>
              </w:rPr>
              <w:t xml:space="preserve">     Neighborhood Problems (neighbor report)</w:t>
            </w:r>
          </w:p>
        </w:tc>
        <w:tc>
          <w:tcPr>
            <w:tcW w:w="1194" w:type="dxa"/>
            <w:tcBorders>
              <w:left w:val="nil"/>
              <w:bottom w:val="single" w:sz="4" w:space="0" w:color="auto"/>
              <w:right w:val="nil"/>
            </w:tcBorders>
          </w:tcPr>
          <w:p w14:paraId="7982F212"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1690</w:t>
            </w:r>
          </w:p>
        </w:tc>
        <w:tc>
          <w:tcPr>
            <w:tcW w:w="1710" w:type="dxa"/>
            <w:tcBorders>
              <w:left w:val="nil"/>
              <w:bottom w:val="single" w:sz="4" w:space="0" w:color="auto"/>
              <w:right w:val="nil"/>
            </w:tcBorders>
          </w:tcPr>
          <w:p w14:paraId="2F8D98D9"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25.94 (6.96)</w:t>
            </w:r>
          </w:p>
        </w:tc>
        <w:tc>
          <w:tcPr>
            <w:tcW w:w="2525" w:type="dxa"/>
            <w:tcBorders>
              <w:left w:val="nil"/>
              <w:bottom w:val="single" w:sz="4" w:space="0" w:color="auto"/>
              <w:right w:val="nil"/>
            </w:tcBorders>
          </w:tcPr>
          <w:p w14:paraId="662D7D7E" w14:textId="6AFA8C16"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13-55</w:t>
            </w:r>
            <w:r w:rsidR="00056736">
              <w:rPr>
                <w:rFonts w:ascii="Times New Roman" w:hAnsi="Times New Roman" w:cs="Times New Roman"/>
                <w:sz w:val="24"/>
                <w:szCs w:val="24"/>
              </w:rPr>
              <w:t xml:space="preserve"> (</w:t>
            </w:r>
            <w:r w:rsidR="0050186D">
              <w:rPr>
                <w:rFonts w:ascii="Times New Roman" w:hAnsi="Times New Roman" w:cs="Times New Roman"/>
                <w:sz w:val="24"/>
                <w:szCs w:val="24"/>
              </w:rPr>
              <w:t>13-65)</w:t>
            </w:r>
          </w:p>
        </w:tc>
      </w:tr>
      <w:tr w:rsidR="0000752F" w:rsidRPr="00C87EDE" w14:paraId="001E9B6D" w14:textId="77777777" w:rsidTr="00056736">
        <w:tc>
          <w:tcPr>
            <w:tcW w:w="4651" w:type="dxa"/>
            <w:tcBorders>
              <w:left w:val="nil"/>
              <w:bottom w:val="single" w:sz="4" w:space="0" w:color="auto"/>
              <w:right w:val="nil"/>
            </w:tcBorders>
          </w:tcPr>
          <w:p w14:paraId="41C5DAA8" w14:textId="77777777" w:rsidR="0000752F" w:rsidRPr="00C87EDE" w:rsidRDefault="0000752F" w:rsidP="00173579">
            <w:pPr>
              <w:spacing w:line="480" w:lineRule="auto"/>
              <w:rPr>
                <w:rFonts w:ascii="Times New Roman" w:hAnsi="Times New Roman" w:cs="Times New Roman"/>
                <w:sz w:val="24"/>
                <w:szCs w:val="24"/>
              </w:rPr>
            </w:pPr>
            <w:r w:rsidRPr="00C87EDE">
              <w:rPr>
                <w:rFonts w:ascii="Times New Roman" w:hAnsi="Times New Roman" w:cs="Times New Roman"/>
                <w:sz w:val="24"/>
                <w:szCs w:val="24"/>
              </w:rPr>
              <w:t xml:space="preserve">     Neighborhood Problems (mother report)</w:t>
            </w:r>
          </w:p>
        </w:tc>
        <w:tc>
          <w:tcPr>
            <w:tcW w:w="1194" w:type="dxa"/>
            <w:tcBorders>
              <w:left w:val="nil"/>
              <w:bottom w:val="single" w:sz="4" w:space="0" w:color="auto"/>
              <w:right w:val="nil"/>
            </w:tcBorders>
          </w:tcPr>
          <w:p w14:paraId="5E6248E7"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1438</w:t>
            </w:r>
          </w:p>
        </w:tc>
        <w:tc>
          <w:tcPr>
            <w:tcW w:w="1710" w:type="dxa"/>
            <w:tcBorders>
              <w:left w:val="nil"/>
              <w:bottom w:val="single" w:sz="4" w:space="0" w:color="auto"/>
              <w:right w:val="nil"/>
            </w:tcBorders>
          </w:tcPr>
          <w:p w14:paraId="7B93B901"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22.13 (10.44)</w:t>
            </w:r>
          </w:p>
        </w:tc>
        <w:tc>
          <w:tcPr>
            <w:tcW w:w="2525" w:type="dxa"/>
            <w:tcBorders>
              <w:left w:val="nil"/>
              <w:bottom w:val="single" w:sz="4" w:space="0" w:color="auto"/>
              <w:right w:val="nil"/>
            </w:tcBorders>
          </w:tcPr>
          <w:p w14:paraId="6D2D5B90" w14:textId="42767F0C"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13-65</w:t>
            </w:r>
            <w:r w:rsidR="0050186D">
              <w:rPr>
                <w:rFonts w:ascii="Times New Roman" w:hAnsi="Times New Roman" w:cs="Times New Roman"/>
                <w:sz w:val="24"/>
                <w:szCs w:val="24"/>
              </w:rPr>
              <w:t xml:space="preserve"> (13-65)</w:t>
            </w:r>
          </w:p>
        </w:tc>
      </w:tr>
      <w:tr w:rsidR="0000752F" w:rsidRPr="00C87EDE" w14:paraId="51D24EB0" w14:textId="77777777" w:rsidTr="00056736">
        <w:tc>
          <w:tcPr>
            <w:tcW w:w="4651" w:type="dxa"/>
            <w:tcBorders>
              <w:left w:val="nil"/>
              <w:bottom w:val="single" w:sz="4" w:space="0" w:color="auto"/>
              <w:right w:val="nil"/>
            </w:tcBorders>
          </w:tcPr>
          <w:p w14:paraId="313D5EAB" w14:textId="77777777" w:rsidR="0000752F" w:rsidRPr="00C87EDE"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Subsidized lunch rate</w:t>
            </w:r>
          </w:p>
        </w:tc>
        <w:tc>
          <w:tcPr>
            <w:tcW w:w="1194" w:type="dxa"/>
            <w:tcBorders>
              <w:left w:val="nil"/>
              <w:bottom w:val="single" w:sz="4" w:space="0" w:color="auto"/>
              <w:right w:val="nil"/>
            </w:tcBorders>
          </w:tcPr>
          <w:p w14:paraId="1A659733"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1630</w:t>
            </w:r>
          </w:p>
        </w:tc>
        <w:tc>
          <w:tcPr>
            <w:tcW w:w="1710" w:type="dxa"/>
            <w:tcBorders>
              <w:left w:val="nil"/>
              <w:bottom w:val="single" w:sz="4" w:space="0" w:color="auto"/>
              <w:right w:val="nil"/>
            </w:tcBorders>
          </w:tcPr>
          <w:p w14:paraId="46662F8E"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44.25 (22.77)</w:t>
            </w:r>
          </w:p>
        </w:tc>
        <w:tc>
          <w:tcPr>
            <w:tcW w:w="2525" w:type="dxa"/>
            <w:tcBorders>
              <w:left w:val="nil"/>
              <w:bottom w:val="single" w:sz="4" w:space="0" w:color="auto"/>
              <w:right w:val="nil"/>
            </w:tcBorders>
          </w:tcPr>
          <w:p w14:paraId="593B44FC" w14:textId="77923CA3"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0-100</w:t>
            </w:r>
            <w:r w:rsidR="00EA41CE">
              <w:rPr>
                <w:rFonts w:ascii="Times New Roman" w:hAnsi="Times New Roman" w:cs="Times New Roman"/>
                <w:sz w:val="24"/>
                <w:szCs w:val="24"/>
              </w:rPr>
              <w:t xml:space="preserve"> (0-100)</w:t>
            </w:r>
          </w:p>
        </w:tc>
      </w:tr>
      <w:tr w:rsidR="0000752F" w:rsidRPr="00C87EDE" w14:paraId="56BEA6DC" w14:textId="77777777" w:rsidTr="00056736">
        <w:tc>
          <w:tcPr>
            <w:tcW w:w="4651" w:type="dxa"/>
            <w:tcBorders>
              <w:left w:val="nil"/>
              <w:bottom w:val="single" w:sz="4" w:space="0" w:color="auto"/>
              <w:right w:val="nil"/>
            </w:tcBorders>
          </w:tcPr>
          <w:p w14:paraId="0C21994C" w14:textId="77777777" w:rsidR="0000752F" w:rsidRPr="00C87EDE"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Test score average</w:t>
            </w:r>
          </w:p>
        </w:tc>
        <w:tc>
          <w:tcPr>
            <w:tcW w:w="1194" w:type="dxa"/>
            <w:tcBorders>
              <w:left w:val="nil"/>
              <w:bottom w:val="single" w:sz="4" w:space="0" w:color="auto"/>
              <w:right w:val="nil"/>
            </w:tcBorders>
          </w:tcPr>
          <w:p w14:paraId="0002A68B"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1406</w:t>
            </w:r>
          </w:p>
        </w:tc>
        <w:tc>
          <w:tcPr>
            <w:tcW w:w="1710" w:type="dxa"/>
            <w:tcBorders>
              <w:left w:val="nil"/>
              <w:bottom w:val="single" w:sz="4" w:space="0" w:color="auto"/>
              <w:right w:val="nil"/>
            </w:tcBorders>
          </w:tcPr>
          <w:p w14:paraId="00BBE33D"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39.52 (23.78)</w:t>
            </w:r>
          </w:p>
        </w:tc>
        <w:tc>
          <w:tcPr>
            <w:tcW w:w="2525" w:type="dxa"/>
            <w:tcBorders>
              <w:left w:val="nil"/>
              <w:bottom w:val="single" w:sz="4" w:space="0" w:color="auto"/>
              <w:right w:val="nil"/>
            </w:tcBorders>
          </w:tcPr>
          <w:p w14:paraId="43094C3D" w14:textId="7E012FF2"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0-95</w:t>
            </w:r>
            <w:r w:rsidR="009925BE">
              <w:rPr>
                <w:rFonts w:ascii="Times New Roman" w:hAnsi="Times New Roman" w:cs="Times New Roman"/>
                <w:sz w:val="24"/>
                <w:szCs w:val="24"/>
              </w:rPr>
              <w:t xml:space="preserve"> (0-100)</w:t>
            </w:r>
          </w:p>
        </w:tc>
      </w:tr>
      <w:tr w:rsidR="0000752F" w:rsidRPr="00C87EDE" w14:paraId="166775AD" w14:textId="77777777" w:rsidTr="00056736">
        <w:tc>
          <w:tcPr>
            <w:tcW w:w="4651" w:type="dxa"/>
            <w:tcBorders>
              <w:left w:val="nil"/>
              <w:bottom w:val="single" w:sz="4" w:space="0" w:color="auto"/>
              <w:right w:val="nil"/>
            </w:tcBorders>
          </w:tcPr>
          <w:p w14:paraId="6B142501" w14:textId="77777777" w:rsidR="0000752F" w:rsidRPr="00C87EDE"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Household income</w:t>
            </w:r>
          </w:p>
        </w:tc>
        <w:tc>
          <w:tcPr>
            <w:tcW w:w="1194" w:type="dxa"/>
            <w:tcBorders>
              <w:left w:val="nil"/>
              <w:bottom w:val="single" w:sz="4" w:space="0" w:color="auto"/>
              <w:right w:val="nil"/>
            </w:tcBorders>
          </w:tcPr>
          <w:p w14:paraId="7EDC8475"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1958</w:t>
            </w:r>
          </w:p>
        </w:tc>
        <w:tc>
          <w:tcPr>
            <w:tcW w:w="1710" w:type="dxa"/>
            <w:tcBorders>
              <w:left w:val="nil"/>
              <w:bottom w:val="single" w:sz="4" w:space="0" w:color="auto"/>
              <w:right w:val="nil"/>
            </w:tcBorders>
          </w:tcPr>
          <w:p w14:paraId="6CD26853"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25" w:type="dxa"/>
            <w:tcBorders>
              <w:left w:val="nil"/>
              <w:bottom w:val="single" w:sz="4" w:space="0" w:color="auto"/>
              <w:right w:val="nil"/>
            </w:tcBorders>
          </w:tcPr>
          <w:p w14:paraId="5EF920AD"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0752F" w:rsidRPr="00C87EDE" w14:paraId="16038B3C" w14:textId="77777777" w:rsidTr="00056736">
        <w:tc>
          <w:tcPr>
            <w:tcW w:w="4651" w:type="dxa"/>
            <w:tcBorders>
              <w:left w:val="nil"/>
              <w:bottom w:val="single" w:sz="4" w:space="0" w:color="auto"/>
              <w:right w:val="nil"/>
            </w:tcBorders>
          </w:tcPr>
          <w:p w14:paraId="1A1A25BF" w14:textId="77777777" w:rsidR="0000752F" w:rsidRPr="00C87EDE"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Maternal education</w:t>
            </w:r>
          </w:p>
        </w:tc>
        <w:tc>
          <w:tcPr>
            <w:tcW w:w="1194" w:type="dxa"/>
            <w:tcBorders>
              <w:left w:val="nil"/>
              <w:bottom w:val="single" w:sz="4" w:space="0" w:color="auto"/>
              <w:right w:val="nil"/>
            </w:tcBorders>
          </w:tcPr>
          <w:p w14:paraId="7826D731"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1960</w:t>
            </w:r>
          </w:p>
        </w:tc>
        <w:tc>
          <w:tcPr>
            <w:tcW w:w="1710" w:type="dxa"/>
            <w:tcBorders>
              <w:left w:val="nil"/>
              <w:bottom w:val="single" w:sz="4" w:space="0" w:color="auto"/>
              <w:right w:val="nil"/>
            </w:tcBorders>
          </w:tcPr>
          <w:p w14:paraId="051A6598"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25" w:type="dxa"/>
            <w:tcBorders>
              <w:left w:val="nil"/>
              <w:bottom w:val="single" w:sz="4" w:space="0" w:color="auto"/>
              <w:right w:val="nil"/>
            </w:tcBorders>
          </w:tcPr>
          <w:p w14:paraId="60B8362F"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0752F" w:rsidRPr="00C87EDE" w14:paraId="1C230241" w14:textId="77777777" w:rsidTr="00056736">
        <w:tc>
          <w:tcPr>
            <w:tcW w:w="4651" w:type="dxa"/>
            <w:tcBorders>
              <w:left w:val="nil"/>
              <w:bottom w:val="single" w:sz="4" w:space="0" w:color="auto"/>
              <w:right w:val="nil"/>
            </w:tcBorders>
          </w:tcPr>
          <w:p w14:paraId="21012E54" w14:textId="77777777" w:rsidR="0000752F" w:rsidRPr="00C87EDE"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Paternal education</w:t>
            </w:r>
          </w:p>
        </w:tc>
        <w:tc>
          <w:tcPr>
            <w:tcW w:w="1194" w:type="dxa"/>
            <w:tcBorders>
              <w:left w:val="nil"/>
              <w:bottom w:val="single" w:sz="4" w:space="0" w:color="auto"/>
              <w:right w:val="nil"/>
            </w:tcBorders>
          </w:tcPr>
          <w:p w14:paraId="455B0277"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1658</w:t>
            </w:r>
          </w:p>
        </w:tc>
        <w:tc>
          <w:tcPr>
            <w:tcW w:w="1710" w:type="dxa"/>
            <w:tcBorders>
              <w:left w:val="nil"/>
              <w:bottom w:val="single" w:sz="4" w:space="0" w:color="auto"/>
              <w:right w:val="nil"/>
            </w:tcBorders>
          </w:tcPr>
          <w:p w14:paraId="4F7A60AD"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25" w:type="dxa"/>
            <w:tcBorders>
              <w:left w:val="nil"/>
              <w:bottom w:val="single" w:sz="4" w:space="0" w:color="auto"/>
              <w:right w:val="nil"/>
            </w:tcBorders>
          </w:tcPr>
          <w:p w14:paraId="24DBB7B3"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0752F" w:rsidRPr="00C87EDE" w14:paraId="398BB27F" w14:textId="77777777" w:rsidTr="00056736">
        <w:tc>
          <w:tcPr>
            <w:tcW w:w="4651" w:type="dxa"/>
            <w:tcBorders>
              <w:left w:val="nil"/>
              <w:bottom w:val="single" w:sz="4" w:space="0" w:color="auto"/>
              <w:right w:val="nil"/>
            </w:tcBorders>
          </w:tcPr>
          <w:p w14:paraId="061A423F" w14:textId="77777777" w:rsidR="0000752F" w:rsidRPr="00C87EDE" w:rsidRDefault="0000752F" w:rsidP="00173579">
            <w:pPr>
              <w:spacing w:line="480" w:lineRule="auto"/>
              <w:rPr>
                <w:rFonts w:ascii="Times New Roman" w:hAnsi="Times New Roman" w:cs="Times New Roman"/>
                <w:b/>
                <w:bCs/>
                <w:i/>
                <w:iCs/>
                <w:sz w:val="24"/>
                <w:szCs w:val="24"/>
              </w:rPr>
            </w:pPr>
            <w:r w:rsidRPr="00C87EDE">
              <w:rPr>
                <w:rFonts w:ascii="Times New Roman" w:hAnsi="Times New Roman" w:cs="Times New Roman"/>
                <w:b/>
                <w:bCs/>
                <w:i/>
                <w:iCs/>
                <w:sz w:val="24"/>
                <w:szCs w:val="24"/>
              </w:rPr>
              <w:t>Psychopathology</w:t>
            </w:r>
          </w:p>
        </w:tc>
        <w:tc>
          <w:tcPr>
            <w:tcW w:w="1194" w:type="dxa"/>
            <w:tcBorders>
              <w:left w:val="nil"/>
              <w:bottom w:val="single" w:sz="4" w:space="0" w:color="auto"/>
              <w:right w:val="nil"/>
            </w:tcBorders>
          </w:tcPr>
          <w:p w14:paraId="386C1B11" w14:textId="77777777" w:rsidR="0000752F" w:rsidRPr="00C87EDE" w:rsidRDefault="0000752F" w:rsidP="00173579">
            <w:pPr>
              <w:spacing w:line="480" w:lineRule="auto"/>
              <w:jc w:val="center"/>
              <w:rPr>
                <w:rFonts w:ascii="Times New Roman" w:hAnsi="Times New Roman" w:cs="Times New Roman"/>
                <w:sz w:val="24"/>
                <w:szCs w:val="24"/>
              </w:rPr>
            </w:pPr>
          </w:p>
        </w:tc>
        <w:tc>
          <w:tcPr>
            <w:tcW w:w="1710" w:type="dxa"/>
            <w:tcBorders>
              <w:left w:val="nil"/>
              <w:bottom w:val="single" w:sz="4" w:space="0" w:color="auto"/>
              <w:right w:val="nil"/>
            </w:tcBorders>
          </w:tcPr>
          <w:p w14:paraId="26572D26" w14:textId="77777777" w:rsidR="0000752F" w:rsidRPr="00C87EDE" w:rsidRDefault="0000752F" w:rsidP="00173579">
            <w:pPr>
              <w:spacing w:line="480" w:lineRule="auto"/>
              <w:jc w:val="center"/>
              <w:rPr>
                <w:rFonts w:ascii="Times New Roman" w:hAnsi="Times New Roman" w:cs="Times New Roman"/>
                <w:sz w:val="24"/>
                <w:szCs w:val="24"/>
              </w:rPr>
            </w:pPr>
          </w:p>
        </w:tc>
        <w:tc>
          <w:tcPr>
            <w:tcW w:w="2525" w:type="dxa"/>
            <w:tcBorders>
              <w:left w:val="nil"/>
              <w:bottom w:val="single" w:sz="4" w:space="0" w:color="auto"/>
              <w:right w:val="nil"/>
            </w:tcBorders>
          </w:tcPr>
          <w:p w14:paraId="796BD9B3" w14:textId="77777777" w:rsidR="0000752F" w:rsidRPr="00C87EDE" w:rsidRDefault="0000752F" w:rsidP="00173579">
            <w:pPr>
              <w:spacing w:line="480" w:lineRule="auto"/>
              <w:jc w:val="center"/>
              <w:rPr>
                <w:rFonts w:ascii="Times New Roman" w:hAnsi="Times New Roman" w:cs="Times New Roman"/>
                <w:sz w:val="24"/>
                <w:szCs w:val="24"/>
              </w:rPr>
            </w:pPr>
          </w:p>
        </w:tc>
      </w:tr>
      <w:tr w:rsidR="0000752F" w:rsidRPr="00C87EDE" w14:paraId="4505D5CF" w14:textId="77777777" w:rsidTr="00056736">
        <w:tc>
          <w:tcPr>
            <w:tcW w:w="4651" w:type="dxa"/>
            <w:tcBorders>
              <w:left w:val="nil"/>
              <w:bottom w:val="single" w:sz="4" w:space="0" w:color="auto"/>
              <w:right w:val="nil"/>
            </w:tcBorders>
          </w:tcPr>
          <w:p w14:paraId="3F4B7F63" w14:textId="77777777" w:rsidR="0000752F" w:rsidRPr="00F33F86"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Affective Problemsǂ</w:t>
            </w:r>
          </w:p>
        </w:tc>
        <w:tc>
          <w:tcPr>
            <w:tcW w:w="1194" w:type="dxa"/>
            <w:tcBorders>
              <w:left w:val="nil"/>
              <w:bottom w:val="single" w:sz="4" w:space="0" w:color="auto"/>
              <w:right w:val="nil"/>
            </w:tcBorders>
          </w:tcPr>
          <w:p w14:paraId="4E62DD38"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2055</w:t>
            </w:r>
          </w:p>
        </w:tc>
        <w:tc>
          <w:tcPr>
            <w:tcW w:w="1710" w:type="dxa"/>
            <w:tcBorders>
              <w:left w:val="nil"/>
              <w:bottom w:val="single" w:sz="4" w:space="0" w:color="auto"/>
              <w:right w:val="nil"/>
            </w:tcBorders>
          </w:tcPr>
          <w:p w14:paraId="41CD8888"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1.11 (1.59)</w:t>
            </w:r>
          </w:p>
        </w:tc>
        <w:tc>
          <w:tcPr>
            <w:tcW w:w="2525" w:type="dxa"/>
            <w:tcBorders>
              <w:left w:val="nil"/>
              <w:bottom w:val="single" w:sz="4" w:space="0" w:color="auto"/>
              <w:right w:val="nil"/>
            </w:tcBorders>
          </w:tcPr>
          <w:p w14:paraId="04FBA56C" w14:textId="1658EFE6"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0-12</w:t>
            </w:r>
            <w:r w:rsidR="0050186D">
              <w:rPr>
                <w:rFonts w:ascii="Times New Roman" w:hAnsi="Times New Roman" w:cs="Times New Roman"/>
                <w:sz w:val="24"/>
                <w:szCs w:val="24"/>
              </w:rPr>
              <w:t xml:space="preserve"> (0-27)</w:t>
            </w:r>
          </w:p>
        </w:tc>
      </w:tr>
      <w:tr w:rsidR="0000752F" w:rsidRPr="00C87EDE" w14:paraId="121DEDE1" w14:textId="77777777" w:rsidTr="00056736">
        <w:tc>
          <w:tcPr>
            <w:tcW w:w="4651" w:type="dxa"/>
            <w:tcBorders>
              <w:left w:val="nil"/>
              <w:bottom w:val="single" w:sz="4" w:space="0" w:color="auto"/>
              <w:right w:val="nil"/>
            </w:tcBorders>
          </w:tcPr>
          <w:p w14:paraId="0BE83B2C" w14:textId="77777777" w:rsidR="0000752F" w:rsidRPr="00F33F86" w:rsidRDefault="0000752F" w:rsidP="00173579">
            <w:pPr>
              <w:spacing w:line="48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rPr>
              <w:t>Anxiety Problemsǂ</w:t>
            </w:r>
          </w:p>
        </w:tc>
        <w:tc>
          <w:tcPr>
            <w:tcW w:w="1194" w:type="dxa"/>
            <w:tcBorders>
              <w:left w:val="nil"/>
              <w:bottom w:val="single" w:sz="4" w:space="0" w:color="auto"/>
              <w:right w:val="nil"/>
            </w:tcBorders>
          </w:tcPr>
          <w:p w14:paraId="6732B9B5"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2055</w:t>
            </w:r>
          </w:p>
        </w:tc>
        <w:tc>
          <w:tcPr>
            <w:tcW w:w="1710" w:type="dxa"/>
            <w:tcBorders>
              <w:left w:val="nil"/>
              <w:bottom w:val="single" w:sz="4" w:space="0" w:color="auto"/>
              <w:right w:val="nil"/>
            </w:tcBorders>
          </w:tcPr>
          <w:p w14:paraId="200B53D6"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1.19 (1.45)</w:t>
            </w:r>
          </w:p>
        </w:tc>
        <w:tc>
          <w:tcPr>
            <w:tcW w:w="2525" w:type="dxa"/>
            <w:tcBorders>
              <w:left w:val="nil"/>
              <w:bottom w:val="single" w:sz="4" w:space="0" w:color="auto"/>
              <w:right w:val="nil"/>
            </w:tcBorders>
          </w:tcPr>
          <w:p w14:paraId="6D9BEE9D" w14:textId="60274A4E"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0-10</w:t>
            </w:r>
            <w:r w:rsidR="0050186D">
              <w:rPr>
                <w:rFonts w:ascii="Times New Roman" w:hAnsi="Times New Roman" w:cs="Times New Roman"/>
                <w:sz w:val="24"/>
                <w:szCs w:val="24"/>
              </w:rPr>
              <w:t xml:space="preserve"> (0-12)</w:t>
            </w:r>
          </w:p>
        </w:tc>
      </w:tr>
      <w:tr w:rsidR="0000752F" w:rsidRPr="00C87EDE" w14:paraId="58EC4D65" w14:textId="77777777" w:rsidTr="00056736">
        <w:tc>
          <w:tcPr>
            <w:tcW w:w="4651" w:type="dxa"/>
            <w:tcBorders>
              <w:left w:val="nil"/>
              <w:bottom w:val="single" w:sz="4" w:space="0" w:color="auto"/>
              <w:right w:val="nil"/>
            </w:tcBorders>
          </w:tcPr>
          <w:p w14:paraId="213B997F" w14:textId="77777777" w:rsidR="0000752F" w:rsidRPr="00F33F86" w:rsidRDefault="0000752F" w:rsidP="00173579">
            <w:pPr>
              <w:spacing w:line="48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rPr>
              <w:t>Oppositional Defiant Problemsǂ</w:t>
            </w:r>
          </w:p>
        </w:tc>
        <w:tc>
          <w:tcPr>
            <w:tcW w:w="1194" w:type="dxa"/>
            <w:tcBorders>
              <w:left w:val="nil"/>
              <w:bottom w:val="single" w:sz="4" w:space="0" w:color="auto"/>
              <w:right w:val="nil"/>
            </w:tcBorders>
          </w:tcPr>
          <w:p w14:paraId="067C5EED"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2055</w:t>
            </w:r>
          </w:p>
        </w:tc>
        <w:tc>
          <w:tcPr>
            <w:tcW w:w="1710" w:type="dxa"/>
            <w:tcBorders>
              <w:left w:val="nil"/>
              <w:bottom w:val="single" w:sz="4" w:space="0" w:color="auto"/>
              <w:right w:val="nil"/>
            </w:tcBorders>
          </w:tcPr>
          <w:p w14:paraId="6C527001"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1.67 (1.71)</w:t>
            </w:r>
          </w:p>
        </w:tc>
        <w:tc>
          <w:tcPr>
            <w:tcW w:w="2525" w:type="dxa"/>
            <w:tcBorders>
              <w:left w:val="nil"/>
              <w:bottom w:val="single" w:sz="4" w:space="0" w:color="auto"/>
              <w:right w:val="nil"/>
            </w:tcBorders>
          </w:tcPr>
          <w:p w14:paraId="319FC243" w14:textId="340BB7A4"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0-10</w:t>
            </w:r>
            <w:r w:rsidR="0050186D">
              <w:rPr>
                <w:rFonts w:ascii="Times New Roman" w:hAnsi="Times New Roman" w:cs="Times New Roman"/>
                <w:sz w:val="24"/>
                <w:szCs w:val="24"/>
              </w:rPr>
              <w:t xml:space="preserve"> (0-11)</w:t>
            </w:r>
          </w:p>
        </w:tc>
      </w:tr>
      <w:tr w:rsidR="0000752F" w:rsidRPr="00C87EDE" w14:paraId="0B68CC71" w14:textId="77777777" w:rsidTr="00056736">
        <w:tc>
          <w:tcPr>
            <w:tcW w:w="4651" w:type="dxa"/>
            <w:tcBorders>
              <w:left w:val="nil"/>
              <w:bottom w:val="single" w:sz="4" w:space="0" w:color="auto"/>
              <w:right w:val="nil"/>
            </w:tcBorders>
          </w:tcPr>
          <w:p w14:paraId="7C61F959" w14:textId="77777777" w:rsidR="0000752F" w:rsidRPr="00F33F86"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Conduct Problemsǂ</w:t>
            </w:r>
          </w:p>
        </w:tc>
        <w:tc>
          <w:tcPr>
            <w:tcW w:w="1194" w:type="dxa"/>
            <w:tcBorders>
              <w:left w:val="nil"/>
              <w:bottom w:val="single" w:sz="4" w:space="0" w:color="auto"/>
              <w:right w:val="nil"/>
            </w:tcBorders>
          </w:tcPr>
          <w:p w14:paraId="55A7CD7B"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2055</w:t>
            </w:r>
          </w:p>
        </w:tc>
        <w:tc>
          <w:tcPr>
            <w:tcW w:w="1710" w:type="dxa"/>
            <w:tcBorders>
              <w:left w:val="nil"/>
              <w:bottom w:val="single" w:sz="4" w:space="0" w:color="auto"/>
              <w:right w:val="nil"/>
            </w:tcBorders>
          </w:tcPr>
          <w:p w14:paraId="2182D528"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1.44 (2.31)</w:t>
            </w:r>
          </w:p>
        </w:tc>
        <w:tc>
          <w:tcPr>
            <w:tcW w:w="2525" w:type="dxa"/>
            <w:tcBorders>
              <w:left w:val="nil"/>
              <w:bottom w:val="single" w:sz="4" w:space="0" w:color="auto"/>
              <w:right w:val="nil"/>
            </w:tcBorders>
          </w:tcPr>
          <w:p w14:paraId="33382178" w14:textId="08C91C2E"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0-19.50</w:t>
            </w:r>
            <w:r w:rsidR="0050186D">
              <w:rPr>
                <w:rFonts w:ascii="Times New Roman" w:hAnsi="Times New Roman" w:cs="Times New Roman"/>
                <w:sz w:val="24"/>
                <w:szCs w:val="24"/>
              </w:rPr>
              <w:t xml:space="preserve"> (0-35)</w:t>
            </w:r>
          </w:p>
        </w:tc>
      </w:tr>
      <w:tr w:rsidR="0000752F" w:rsidRPr="00C87EDE" w14:paraId="7E6D613F" w14:textId="77777777" w:rsidTr="00056736">
        <w:tc>
          <w:tcPr>
            <w:tcW w:w="4651" w:type="dxa"/>
            <w:tcBorders>
              <w:left w:val="nil"/>
              <w:bottom w:val="single" w:sz="4" w:space="0" w:color="auto"/>
              <w:right w:val="nil"/>
            </w:tcBorders>
          </w:tcPr>
          <w:p w14:paraId="4E77C857" w14:textId="77777777" w:rsidR="0000752F" w:rsidRPr="00F33F86"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Aggressionǂ</w:t>
            </w:r>
          </w:p>
        </w:tc>
        <w:tc>
          <w:tcPr>
            <w:tcW w:w="1194" w:type="dxa"/>
            <w:tcBorders>
              <w:left w:val="nil"/>
              <w:bottom w:val="single" w:sz="4" w:space="0" w:color="auto"/>
              <w:right w:val="nil"/>
            </w:tcBorders>
          </w:tcPr>
          <w:p w14:paraId="644DA1C5"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2055</w:t>
            </w:r>
          </w:p>
        </w:tc>
        <w:tc>
          <w:tcPr>
            <w:tcW w:w="1710" w:type="dxa"/>
            <w:tcBorders>
              <w:left w:val="nil"/>
              <w:bottom w:val="single" w:sz="4" w:space="0" w:color="auto"/>
              <w:right w:val="nil"/>
            </w:tcBorders>
          </w:tcPr>
          <w:p w14:paraId="1143FF8D"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3.51 (4.09)</w:t>
            </w:r>
          </w:p>
        </w:tc>
        <w:tc>
          <w:tcPr>
            <w:tcW w:w="2525" w:type="dxa"/>
            <w:tcBorders>
              <w:left w:val="nil"/>
              <w:bottom w:val="single" w:sz="4" w:space="0" w:color="auto"/>
              <w:right w:val="nil"/>
            </w:tcBorders>
          </w:tcPr>
          <w:p w14:paraId="78AF76CC" w14:textId="4109E02F"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0-32</w:t>
            </w:r>
            <w:r w:rsidR="0050186D">
              <w:rPr>
                <w:rFonts w:ascii="Times New Roman" w:hAnsi="Times New Roman" w:cs="Times New Roman"/>
                <w:sz w:val="24"/>
                <w:szCs w:val="24"/>
              </w:rPr>
              <w:t xml:space="preserve"> (0-38)</w:t>
            </w:r>
          </w:p>
        </w:tc>
      </w:tr>
      <w:tr w:rsidR="0000752F" w:rsidRPr="00C87EDE" w14:paraId="25CB25D1" w14:textId="77777777" w:rsidTr="00056736">
        <w:tc>
          <w:tcPr>
            <w:tcW w:w="4651" w:type="dxa"/>
            <w:tcBorders>
              <w:left w:val="nil"/>
              <w:bottom w:val="single" w:sz="4" w:space="0" w:color="auto"/>
              <w:right w:val="nil"/>
            </w:tcBorders>
          </w:tcPr>
          <w:p w14:paraId="4538B8E1" w14:textId="77777777" w:rsidR="0000752F" w:rsidRPr="00F33F86" w:rsidRDefault="0000752F" w:rsidP="00173579">
            <w:pPr>
              <w:spacing w:line="48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rPr>
              <w:t>Rule-Breakingǂ</w:t>
            </w:r>
          </w:p>
        </w:tc>
        <w:tc>
          <w:tcPr>
            <w:tcW w:w="1194" w:type="dxa"/>
            <w:tcBorders>
              <w:left w:val="nil"/>
              <w:bottom w:val="single" w:sz="4" w:space="0" w:color="auto"/>
              <w:right w:val="nil"/>
            </w:tcBorders>
          </w:tcPr>
          <w:p w14:paraId="2C19677B"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2055</w:t>
            </w:r>
          </w:p>
        </w:tc>
        <w:tc>
          <w:tcPr>
            <w:tcW w:w="1710" w:type="dxa"/>
            <w:tcBorders>
              <w:left w:val="nil"/>
              <w:bottom w:val="single" w:sz="4" w:space="0" w:color="auto"/>
              <w:right w:val="nil"/>
            </w:tcBorders>
          </w:tcPr>
          <w:p w14:paraId="65A3A80E"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1.22 (1.64)</w:t>
            </w:r>
          </w:p>
        </w:tc>
        <w:tc>
          <w:tcPr>
            <w:tcW w:w="2525" w:type="dxa"/>
            <w:tcBorders>
              <w:left w:val="nil"/>
              <w:bottom w:val="single" w:sz="4" w:space="0" w:color="auto"/>
              <w:right w:val="nil"/>
            </w:tcBorders>
          </w:tcPr>
          <w:p w14:paraId="52732123" w14:textId="1EFD5651"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0-14</w:t>
            </w:r>
            <w:r w:rsidR="0050186D">
              <w:rPr>
                <w:rFonts w:ascii="Times New Roman" w:hAnsi="Times New Roman" w:cs="Times New Roman"/>
                <w:sz w:val="24"/>
                <w:szCs w:val="24"/>
              </w:rPr>
              <w:t xml:space="preserve"> (0-29)</w:t>
            </w:r>
          </w:p>
        </w:tc>
      </w:tr>
      <w:tr w:rsidR="002A460B" w:rsidRPr="00C87EDE" w14:paraId="43ECF99D" w14:textId="77777777" w:rsidTr="00056736">
        <w:tc>
          <w:tcPr>
            <w:tcW w:w="4651" w:type="dxa"/>
            <w:tcBorders>
              <w:left w:val="nil"/>
              <w:bottom w:val="single" w:sz="4" w:space="0" w:color="auto"/>
              <w:right w:val="nil"/>
            </w:tcBorders>
          </w:tcPr>
          <w:p w14:paraId="78E12E32" w14:textId="3445F795" w:rsidR="002A460B" w:rsidRPr="002A460B" w:rsidRDefault="002A460B"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Externalizing</w:t>
            </w:r>
            <w:r w:rsidR="00165C65">
              <w:rPr>
                <w:rFonts w:ascii="Times New Roman" w:hAnsi="Times New Roman" w:cs="Times New Roman"/>
                <w:sz w:val="24"/>
                <w:szCs w:val="24"/>
              </w:rPr>
              <w:t>ǂ</w:t>
            </w:r>
          </w:p>
        </w:tc>
        <w:tc>
          <w:tcPr>
            <w:tcW w:w="1194" w:type="dxa"/>
            <w:tcBorders>
              <w:left w:val="nil"/>
              <w:bottom w:val="single" w:sz="4" w:space="0" w:color="auto"/>
              <w:right w:val="nil"/>
            </w:tcBorders>
          </w:tcPr>
          <w:p w14:paraId="71B627ED" w14:textId="167FE13A" w:rsidR="002A460B" w:rsidRDefault="00A82798"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2059</w:t>
            </w:r>
          </w:p>
        </w:tc>
        <w:tc>
          <w:tcPr>
            <w:tcW w:w="1710" w:type="dxa"/>
            <w:tcBorders>
              <w:left w:val="nil"/>
              <w:bottom w:val="single" w:sz="4" w:space="0" w:color="auto"/>
              <w:right w:val="nil"/>
            </w:tcBorders>
          </w:tcPr>
          <w:p w14:paraId="7426A15C" w14:textId="5FB8C654" w:rsidR="002A460B" w:rsidRDefault="003579FC"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4.75 (5.49)</w:t>
            </w:r>
          </w:p>
        </w:tc>
        <w:tc>
          <w:tcPr>
            <w:tcW w:w="2525" w:type="dxa"/>
            <w:tcBorders>
              <w:left w:val="nil"/>
              <w:bottom w:val="single" w:sz="4" w:space="0" w:color="auto"/>
              <w:right w:val="nil"/>
            </w:tcBorders>
          </w:tcPr>
          <w:p w14:paraId="090946C7" w14:textId="2A649047" w:rsidR="002A460B" w:rsidRDefault="003579FC"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0-41.50</w:t>
            </w:r>
            <w:r w:rsidR="006D63E0">
              <w:rPr>
                <w:rFonts w:ascii="Times New Roman" w:hAnsi="Times New Roman" w:cs="Times New Roman"/>
                <w:sz w:val="24"/>
                <w:szCs w:val="24"/>
              </w:rPr>
              <w:t xml:space="preserve"> (0-67)</w:t>
            </w:r>
          </w:p>
        </w:tc>
      </w:tr>
      <w:tr w:rsidR="002A460B" w:rsidRPr="00C87EDE" w14:paraId="47664F29" w14:textId="77777777" w:rsidTr="00056736">
        <w:tc>
          <w:tcPr>
            <w:tcW w:w="4651" w:type="dxa"/>
            <w:tcBorders>
              <w:left w:val="nil"/>
              <w:bottom w:val="single" w:sz="4" w:space="0" w:color="auto"/>
              <w:right w:val="nil"/>
            </w:tcBorders>
          </w:tcPr>
          <w:p w14:paraId="7515FAEB" w14:textId="68B96732" w:rsidR="002A460B" w:rsidRPr="002A460B" w:rsidRDefault="002A460B"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Internalizing</w:t>
            </w:r>
            <w:r w:rsidR="00165C65">
              <w:rPr>
                <w:rFonts w:ascii="Times New Roman" w:hAnsi="Times New Roman" w:cs="Times New Roman"/>
                <w:sz w:val="24"/>
                <w:szCs w:val="24"/>
              </w:rPr>
              <w:t>ǂ</w:t>
            </w:r>
          </w:p>
        </w:tc>
        <w:tc>
          <w:tcPr>
            <w:tcW w:w="1194" w:type="dxa"/>
            <w:tcBorders>
              <w:left w:val="nil"/>
              <w:bottom w:val="single" w:sz="4" w:space="0" w:color="auto"/>
              <w:right w:val="nil"/>
            </w:tcBorders>
          </w:tcPr>
          <w:p w14:paraId="67480C7E" w14:textId="49926054" w:rsidR="002A460B" w:rsidRDefault="00A82798"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2059</w:t>
            </w:r>
          </w:p>
        </w:tc>
        <w:tc>
          <w:tcPr>
            <w:tcW w:w="1710" w:type="dxa"/>
            <w:tcBorders>
              <w:left w:val="nil"/>
              <w:bottom w:val="single" w:sz="4" w:space="0" w:color="auto"/>
              <w:right w:val="nil"/>
            </w:tcBorders>
          </w:tcPr>
          <w:p w14:paraId="5214392E" w14:textId="0823FF30" w:rsidR="002A460B" w:rsidRDefault="003579FC"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4.68 (4.40)</w:t>
            </w:r>
          </w:p>
        </w:tc>
        <w:tc>
          <w:tcPr>
            <w:tcW w:w="2525" w:type="dxa"/>
            <w:tcBorders>
              <w:left w:val="nil"/>
              <w:bottom w:val="single" w:sz="4" w:space="0" w:color="auto"/>
              <w:right w:val="nil"/>
            </w:tcBorders>
          </w:tcPr>
          <w:p w14:paraId="6CE279C4" w14:textId="03E12E06" w:rsidR="002A460B" w:rsidRDefault="003579FC"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0-34.00</w:t>
            </w:r>
            <w:r w:rsidR="006D63E0">
              <w:rPr>
                <w:rFonts w:ascii="Times New Roman" w:hAnsi="Times New Roman" w:cs="Times New Roman"/>
                <w:sz w:val="24"/>
                <w:szCs w:val="24"/>
              </w:rPr>
              <w:t xml:space="preserve"> (0-68)</w:t>
            </w:r>
          </w:p>
        </w:tc>
      </w:tr>
      <w:tr w:rsidR="0000752F" w:rsidRPr="00C87EDE" w14:paraId="6DF2BC18" w14:textId="77777777" w:rsidTr="00056736">
        <w:tc>
          <w:tcPr>
            <w:tcW w:w="4651" w:type="dxa"/>
            <w:tcBorders>
              <w:left w:val="nil"/>
              <w:bottom w:val="single" w:sz="4" w:space="0" w:color="auto"/>
              <w:right w:val="nil"/>
            </w:tcBorders>
          </w:tcPr>
          <w:p w14:paraId="7D767E31" w14:textId="77777777" w:rsidR="0000752F" w:rsidRPr="00DD3D62"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MEBS Total± </w:t>
            </w:r>
          </w:p>
        </w:tc>
        <w:tc>
          <w:tcPr>
            <w:tcW w:w="1194" w:type="dxa"/>
            <w:tcBorders>
              <w:left w:val="nil"/>
              <w:bottom w:val="single" w:sz="4" w:space="0" w:color="auto"/>
              <w:right w:val="nil"/>
            </w:tcBorders>
          </w:tcPr>
          <w:p w14:paraId="45D411A4"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1981</w:t>
            </w:r>
          </w:p>
        </w:tc>
        <w:tc>
          <w:tcPr>
            <w:tcW w:w="1710" w:type="dxa"/>
            <w:tcBorders>
              <w:left w:val="nil"/>
              <w:bottom w:val="single" w:sz="4" w:space="0" w:color="auto"/>
              <w:right w:val="nil"/>
            </w:tcBorders>
          </w:tcPr>
          <w:p w14:paraId="73B59385"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5.49 (4.20)</w:t>
            </w:r>
          </w:p>
        </w:tc>
        <w:tc>
          <w:tcPr>
            <w:tcW w:w="2525" w:type="dxa"/>
            <w:tcBorders>
              <w:left w:val="nil"/>
              <w:bottom w:val="single" w:sz="4" w:space="0" w:color="auto"/>
              <w:right w:val="nil"/>
            </w:tcBorders>
          </w:tcPr>
          <w:p w14:paraId="17E95872" w14:textId="21A772B1"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0-22</w:t>
            </w:r>
            <w:r w:rsidR="00591C4C">
              <w:rPr>
                <w:rFonts w:ascii="Times New Roman" w:hAnsi="Times New Roman" w:cs="Times New Roman"/>
                <w:sz w:val="24"/>
                <w:szCs w:val="24"/>
              </w:rPr>
              <w:t xml:space="preserve"> (0-30)</w:t>
            </w:r>
          </w:p>
        </w:tc>
      </w:tr>
      <w:tr w:rsidR="0000752F" w:rsidRPr="00C87EDE" w14:paraId="58BFDE8D" w14:textId="77777777" w:rsidTr="00056736">
        <w:tc>
          <w:tcPr>
            <w:tcW w:w="4651" w:type="dxa"/>
            <w:tcBorders>
              <w:left w:val="nil"/>
              <w:bottom w:val="single" w:sz="4" w:space="0" w:color="auto"/>
              <w:right w:val="nil"/>
            </w:tcBorders>
          </w:tcPr>
          <w:p w14:paraId="1426C4C8" w14:textId="77777777" w:rsidR="0000752F" w:rsidRPr="00C87EDE" w:rsidRDefault="0000752F" w:rsidP="00173579">
            <w:pPr>
              <w:spacing w:line="480" w:lineRule="auto"/>
              <w:rPr>
                <w:rFonts w:ascii="Times New Roman" w:hAnsi="Times New Roman" w:cs="Times New Roman"/>
                <w:b/>
                <w:bCs/>
                <w:i/>
                <w:iCs/>
                <w:sz w:val="24"/>
                <w:szCs w:val="24"/>
              </w:rPr>
            </w:pPr>
            <w:r w:rsidRPr="00C87EDE">
              <w:rPr>
                <w:rFonts w:ascii="Times New Roman" w:hAnsi="Times New Roman" w:cs="Times New Roman"/>
                <w:b/>
                <w:bCs/>
                <w:i/>
                <w:iCs/>
                <w:sz w:val="24"/>
                <w:szCs w:val="24"/>
              </w:rPr>
              <w:t>Cognitive Performance</w:t>
            </w:r>
          </w:p>
        </w:tc>
        <w:tc>
          <w:tcPr>
            <w:tcW w:w="1194" w:type="dxa"/>
            <w:tcBorders>
              <w:left w:val="nil"/>
              <w:bottom w:val="single" w:sz="4" w:space="0" w:color="auto"/>
              <w:right w:val="nil"/>
            </w:tcBorders>
          </w:tcPr>
          <w:p w14:paraId="2E57DB0A" w14:textId="77777777" w:rsidR="0000752F" w:rsidRPr="00C87EDE" w:rsidRDefault="0000752F" w:rsidP="00173579">
            <w:pPr>
              <w:spacing w:line="480" w:lineRule="auto"/>
              <w:jc w:val="center"/>
              <w:rPr>
                <w:rFonts w:ascii="Times New Roman" w:hAnsi="Times New Roman" w:cs="Times New Roman"/>
                <w:sz w:val="24"/>
                <w:szCs w:val="24"/>
              </w:rPr>
            </w:pPr>
          </w:p>
        </w:tc>
        <w:tc>
          <w:tcPr>
            <w:tcW w:w="1710" w:type="dxa"/>
            <w:tcBorders>
              <w:left w:val="nil"/>
              <w:bottom w:val="single" w:sz="4" w:space="0" w:color="auto"/>
              <w:right w:val="nil"/>
            </w:tcBorders>
          </w:tcPr>
          <w:p w14:paraId="7B7AD2D0" w14:textId="77777777" w:rsidR="0000752F" w:rsidRPr="00C87EDE" w:rsidRDefault="0000752F" w:rsidP="00173579">
            <w:pPr>
              <w:spacing w:line="480" w:lineRule="auto"/>
              <w:jc w:val="center"/>
              <w:rPr>
                <w:rFonts w:ascii="Times New Roman" w:hAnsi="Times New Roman" w:cs="Times New Roman"/>
                <w:sz w:val="24"/>
                <w:szCs w:val="24"/>
              </w:rPr>
            </w:pPr>
          </w:p>
        </w:tc>
        <w:tc>
          <w:tcPr>
            <w:tcW w:w="2525" w:type="dxa"/>
            <w:tcBorders>
              <w:left w:val="nil"/>
              <w:bottom w:val="single" w:sz="4" w:space="0" w:color="auto"/>
              <w:right w:val="nil"/>
            </w:tcBorders>
          </w:tcPr>
          <w:p w14:paraId="31F68101" w14:textId="77777777" w:rsidR="0000752F" w:rsidRPr="00C87EDE" w:rsidRDefault="0000752F" w:rsidP="00173579">
            <w:pPr>
              <w:spacing w:line="480" w:lineRule="auto"/>
              <w:jc w:val="center"/>
              <w:rPr>
                <w:rFonts w:ascii="Times New Roman" w:hAnsi="Times New Roman" w:cs="Times New Roman"/>
                <w:sz w:val="24"/>
                <w:szCs w:val="24"/>
              </w:rPr>
            </w:pPr>
          </w:p>
        </w:tc>
      </w:tr>
      <w:tr w:rsidR="0000752F" w:rsidRPr="00C87EDE" w14:paraId="11FC6248" w14:textId="77777777" w:rsidTr="00056736">
        <w:tc>
          <w:tcPr>
            <w:tcW w:w="4651" w:type="dxa"/>
            <w:tcBorders>
              <w:left w:val="nil"/>
              <w:bottom w:val="single" w:sz="4" w:space="0" w:color="auto"/>
              <w:right w:val="nil"/>
            </w:tcBorders>
          </w:tcPr>
          <w:p w14:paraId="53C9A33C" w14:textId="394FB703" w:rsidR="0000752F" w:rsidRPr="004A7F75"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TOWRE </w:t>
            </w:r>
            <w:r w:rsidR="002E5D99">
              <w:rPr>
                <w:rFonts w:ascii="Times New Roman" w:hAnsi="Times New Roman" w:cs="Times New Roman"/>
                <w:sz w:val="24"/>
                <w:szCs w:val="24"/>
              </w:rPr>
              <w:t>Sight Word Efficiency</w:t>
            </w:r>
          </w:p>
        </w:tc>
        <w:tc>
          <w:tcPr>
            <w:tcW w:w="1194" w:type="dxa"/>
            <w:tcBorders>
              <w:left w:val="nil"/>
              <w:bottom w:val="single" w:sz="4" w:space="0" w:color="auto"/>
              <w:right w:val="nil"/>
            </w:tcBorders>
          </w:tcPr>
          <w:p w14:paraId="798810BB"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1991</w:t>
            </w:r>
          </w:p>
        </w:tc>
        <w:tc>
          <w:tcPr>
            <w:tcW w:w="1710" w:type="dxa"/>
            <w:tcBorders>
              <w:left w:val="nil"/>
              <w:bottom w:val="single" w:sz="4" w:space="0" w:color="auto"/>
              <w:right w:val="nil"/>
            </w:tcBorders>
          </w:tcPr>
          <w:p w14:paraId="73F6D143" w14:textId="3500E191"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47.</w:t>
            </w:r>
            <w:r w:rsidR="00CC3594">
              <w:rPr>
                <w:rFonts w:ascii="Times New Roman" w:hAnsi="Times New Roman" w:cs="Times New Roman"/>
                <w:sz w:val="24"/>
                <w:szCs w:val="24"/>
              </w:rPr>
              <w:t>53</w:t>
            </w:r>
            <w:r>
              <w:rPr>
                <w:rFonts w:ascii="Times New Roman" w:hAnsi="Times New Roman" w:cs="Times New Roman"/>
                <w:sz w:val="24"/>
                <w:szCs w:val="24"/>
              </w:rPr>
              <w:t xml:space="preserve"> (22.</w:t>
            </w:r>
            <w:r w:rsidR="00CC3594">
              <w:rPr>
                <w:rFonts w:ascii="Times New Roman" w:hAnsi="Times New Roman" w:cs="Times New Roman"/>
                <w:sz w:val="24"/>
                <w:szCs w:val="24"/>
              </w:rPr>
              <w:t>86</w:t>
            </w:r>
            <w:r>
              <w:rPr>
                <w:rFonts w:ascii="Times New Roman" w:hAnsi="Times New Roman" w:cs="Times New Roman"/>
                <w:sz w:val="24"/>
                <w:szCs w:val="24"/>
              </w:rPr>
              <w:t>)</w:t>
            </w:r>
          </w:p>
        </w:tc>
        <w:tc>
          <w:tcPr>
            <w:tcW w:w="2525" w:type="dxa"/>
            <w:tcBorders>
              <w:left w:val="nil"/>
              <w:bottom w:val="single" w:sz="4" w:space="0" w:color="auto"/>
              <w:right w:val="nil"/>
            </w:tcBorders>
          </w:tcPr>
          <w:p w14:paraId="5EC6F6F1" w14:textId="2545E6B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0-95</w:t>
            </w:r>
            <w:r w:rsidR="00BA6A31">
              <w:rPr>
                <w:rFonts w:ascii="Times New Roman" w:hAnsi="Times New Roman" w:cs="Times New Roman"/>
                <w:sz w:val="24"/>
                <w:szCs w:val="24"/>
              </w:rPr>
              <w:t xml:space="preserve"> (0-108)</w:t>
            </w:r>
          </w:p>
        </w:tc>
      </w:tr>
      <w:tr w:rsidR="0000752F" w:rsidRPr="00C87EDE" w14:paraId="655971FD" w14:textId="77777777" w:rsidTr="00056736">
        <w:tc>
          <w:tcPr>
            <w:tcW w:w="4651" w:type="dxa"/>
            <w:tcBorders>
              <w:left w:val="nil"/>
              <w:right w:val="nil"/>
            </w:tcBorders>
          </w:tcPr>
          <w:p w14:paraId="1A5318C2" w14:textId="3E620B84" w:rsidR="0000752F" w:rsidRPr="004A7F75"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t xml:space="preserve">     TOWRE </w:t>
            </w:r>
            <w:r w:rsidR="002E5D99">
              <w:rPr>
                <w:rFonts w:ascii="Times New Roman" w:hAnsi="Times New Roman" w:cs="Times New Roman"/>
                <w:sz w:val="24"/>
                <w:szCs w:val="24"/>
              </w:rPr>
              <w:t>Phonemic Decoding Efficiency</w:t>
            </w:r>
          </w:p>
        </w:tc>
        <w:tc>
          <w:tcPr>
            <w:tcW w:w="1194" w:type="dxa"/>
            <w:tcBorders>
              <w:left w:val="nil"/>
              <w:right w:val="nil"/>
            </w:tcBorders>
          </w:tcPr>
          <w:p w14:paraId="00E99196" w14:textId="77777777"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1989</w:t>
            </w:r>
          </w:p>
        </w:tc>
        <w:tc>
          <w:tcPr>
            <w:tcW w:w="1710" w:type="dxa"/>
            <w:tcBorders>
              <w:left w:val="nil"/>
              <w:right w:val="nil"/>
            </w:tcBorders>
          </w:tcPr>
          <w:p w14:paraId="1B82E96E" w14:textId="3B7EF746" w:rsidR="0000752F" w:rsidRPr="00C87EDE" w:rsidRDefault="00CC3594"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38.86</w:t>
            </w:r>
            <w:r w:rsidR="0000752F">
              <w:rPr>
                <w:rFonts w:ascii="Times New Roman" w:hAnsi="Times New Roman" w:cs="Times New Roman"/>
                <w:sz w:val="24"/>
                <w:szCs w:val="24"/>
              </w:rPr>
              <w:t xml:space="preserve"> (13.8</w:t>
            </w:r>
            <w:r>
              <w:rPr>
                <w:rFonts w:ascii="Times New Roman" w:hAnsi="Times New Roman" w:cs="Times New Roman"/>
                <w:sz w:val="24"/>
                <w:szCs w:val="24"/>
              </w:rPr>
              <w:t>6</w:t>
            </w:r>
            <w:r w:rsidR="0000752F">
              <w:rPr>
                <w:rFonts w:ascii="Times New Roman" w:hAnsi="Times New Roman" w:cs="Times New Roman"/>
                <w:sz w:val="24"/>
                <w:szCs w:val="24"/>
              </w:rPr>
              <w:t>)</w:t>
            </w:r>
          </w:p>
        </w:tc>
        <w:tc>
          <w:tcPr>
            <w:tcW w:w="2525" w:type="dxa"/>
            <w:tcBorders>
              <w:left w:val="nil"/>
              <w:right w:val="nil"/>
            </w:tcBorders>
          </w:tcPr>
          <w:p w14:paraId="0841F4D0" w14:textId="24F0835B" w:rsidR="0000752F" w:rsidRPr="00C87EDE" w:rsidRDefault="0000752F" w:rsidP="00173579">
            <w:pPr>
              <w:spacing w:line="480" w:lineRule="auto"/>
              <w:jc w:val="center"/>
              <w:rPr>
                <w:rFonts w:ascii="Times New Roman" w:hAnsi="Times New Roman" w:cs="Times New Roman"/>
                <w:sz w:val="24"/>
                <w:szCs w:val="24"/>
              </w:rPr>
            </w:pPr>
            <w:r>
              <w:rPr>
                <w:rFonts w:ascii="Times New Roman" w:hAnsi="Times New Roman" w:cs="Times New Roman"/>
                <w:sz w:val="24"/>
                <w:szCs w:val="24"/>
              </w:rPr>
              <w:t>0-61</w:t>
            </w:r>
            <w:r w:rsidR="00BA6A31">
              <w:rPr>
                <w:rFonts w:ascii="Times New Roman" w:hAnsi="Times New Roman" w:cs="Times New Roman"/>
                <w:sz w:val="24"/>
                <w:szCs w:val="24"/>
              </w:rPr>
              <w:t xml:space="preserve"> (0-66)</w:t>
            </w:r>
          </w:p>
        </w:tc>
      </w:tr>
    </w:tbl>
    <w:p w14:paraId="3376F5BA" w14:textId="7BC17F14" w:rsidR="0000752F" w:rsidRDefault="0000752F" w:rsidP="00173579">
      <w:pPr>
        <w:spacing w:line="480" w:lineRule="auto"/>
        <w:rPr>
          <w:rFonts w:ascii="Times New Roman" w:hAnsi="Times New Roman" w:cs="Times New Roman"/>
          <w:sz w:val="24"/>
          <w:szCs w:val="24"/>
        </w:rPr>
      </w:pPr>
      <w:r>
        <w:rPr>
          <w:rFonts w:ascii="Times New Roman" w:hAnsi="Times New Roman" w:cs="Times New Roman"/>
          <w:sz w:val="24"/>
          <w:szCs w:val="24"/>
        </w:rPr>
        <w:t>ǂMother-teacher combined report. ±Self-report.</w:t>
      </w:r>
      <w:r w:rsidR="007E2C3E">
        <w:rPr>
          <w:rFonts w:ascii="Times New Roman" w:hAnsi="Times New Roman" w:cs="Times New Roman"/>
          <w:sz w:val="24"/>
          <w:szCs w:val="24"/>
        </w:rPr>
        <w:t xml:space="preserve"> All measures of disadvantage are coded so that higher scores represent greater disadvantage. Measures of psychopathology and cognitive performance are coded so that higher scores represent poorer outcomes.</w:t>
      </w:r>
    </w:p>
    <w:p w14:paraId="49351A73" w14:textId="30FEE2B8" w:rsidR="004A7B9E" w:rsidRDefault="004A7B9E">
      <w:pPr>
        <w:rPr>
          <w:rFonts w:ascii="Times New Roman" w:hAnsi="Times New Roman" w:cs="Times New Roman"/>
          <w:sz w:val="24"/>
          <w:szCs w:val="24"/>
        </w:rPr>
      </w:pPr>
      <w:r>
        <w:rPr>
          <w:rFonts w:ascii="Times New Roman" w:hAnsi="Times New Roman" w:cs="Times New Roman"/>
          <w:sz w:val="24"/>
          <w:szCs w:val="24"/>
        </w:rPr>
        <w:br w:type="page"/>
      </w:r>
    </w:p>
    <w:p w14:paraId="2ED47E7D" w14:textId="5623C19B" w:rsidR="004A7B9E" w:rsidRDefault="004A7B9E" w:rsidP="00AB17DA">
      <w:pPr>
        <w:spacing w:line="480" w:lineRule="auto"/>
        <w:rPr>
          <w:rFonts w:ascii="Times New Roman" w:hAnsi="Times New Roman" w:cs="Times New Roman"/>
          <w:sz w:val="24"/>
          <w:szCs w:val="24"/>
        </w:rPr>
      </w:pPr>
      <w:r w:rsidRPr="00265737">
        <w:rPr>
          <w:rFonts w:ascii="Times New Roman" w:hAnsi="Times New Roman" w:cs="Times New Roman"/>
          <w:b/>
          <w:bCs/>
          <w:sz w:val="24"/>
          <w:szCs w:val="24"/>
        </w:rPr>
        <w:lastRenderedPageBreak/>
        <w:t>Table S3.</w:t>
      </w:r>
      <w:r>
        <w:rPr>
          <w:rFonts w:ascii="Times New Roman" w:hAnsi="Times New Roman" w:cs="Times New Roman"/>
          <w:sz w:val="24"/>
          <w:szCs w:val="24"/>
        </w:rPr>
        <w:t xml:space="preserve"> Independent associations of proximal and contextual disadvantage with youth outcomes.</w:t>
      </w:r>
    </w:p>
    <w:tbl>
      <w:tblPr>
        <w:tblStyle w:val="TableGrid"/>
        <w:tblW w:w="12060" w:type="dxa"/>
        <w:tblInd w:w="-1350" w:type="dxa"/>
        <w:tblLayout w:type="fixed"/>
        <w:tblLook w:val="04A0" w:firstRow="1" w:lastRow="0" w:firstColumn="1" w:lastColumn="0" w:noHBand="0" w:noVBand="1"/>
      </w:tblPr>
      <w:tblGrid>
        <w:gridCol w:w="1260"/>
        <w:gridCol w:w="1800"/>
        <w:gridCol w:w="1260"/>
        <w:gridCol w:w="1350"/>
        <w:gridCol w:w="1350"/>
        <w:gridCol w:w="1350"/>
        <w:gridCol w:w="1170"/>
        <w:gridCol w:w="1260"/>
        <w:gridCol w:w="1260"/>
      </w:tblGrid>
      <w:tr w:rsidR="004A7B9E" w:rsidRPr="005D78ED" w14:paraId="20086D2E" w14:textId="77777777" w:rsidTr="008E173F">
        <w:trPr>
          <w:trHeight w:val="258"/>
        </w:trPr>
        <w:tc>
          <w:tcPr>
            <w:tcW w:w="3060" w:type="dxa"/>
            <w:gridSpan w:val="2"/>
            <w:vMerge w:val="restart"/>
            <w:tcBorders>
              <w:left w:val="nil"/>
              <w:right w:val="nil"/>
            </w:tcBorders>
            <w:vAlign w:val="center"/>
          </w:tcPr>
          <w:p w14:paraId="29055EB3" w14:textId="77777777" w:rsidR="004A7B9E" w:rsidRPr="005D78ED" w:rsidRDefault="004A7B9E" w:rsidP="008E173F">
            <w:pPr>
              <w:rPr>
                <w:rFonts w:ascii="Times New Roman" w:hAnsi="Times New Roman"/>
                <w:b/>
                <w:bCs/>
                <w:sz w:val="24"/>
                <w:szCs w:val="24"/>
              </w:rPr>
            </w:pPr>
          </w:p>
        </w:tc>
        <w:tc>
          <w:tcPr>
            <w:tcW w:w="3960" w:type="dxa"/>
            <w:gridSpan w:val="3"/>
            <w:tcBorders>
              <w:left w:val="nil"/>
              <w:right w:val="nil"/>
            </w:tcBorders>
          </w:tcPr>
          <w:p w14:paraId="4E0EB1F9" w14:textId="77777777" w:rsidR="004A7B9E" w:rsidRPr="005D78ED" w:rsidRDefault="004A7B9E" w:rsidP="008E173F">
            <w:pPr>
              <w:jc w:val="center"/>
              <w:rPr>
                <w:rFonts w:ascii="Times New Roman" w:hAnsi="Times New Roman"/>
                <w:b/>
                <w:bCs/>
                <w:sz w:val="24"/>
                <w:szCs w:val="24"/>
              </w:rPr>
            </w:pPr>
            <w:r>
              <w:rPr>
                <w:rFonts w:ascii="Times New Roman" w:hAnsi="Times New Roman"/>
                <w:b/>
                <w:bCs/>
                <w:sz w:val="24"/>
                <w:szCs w:val="24"/>
              </w:rPr>
              <w:t>Proximal disadvantage</w:t>
            </w:r>
            <w:r w:rsidRPr="005D78ED">
              <w:rPr>
                <w:rFonts w:ascii="Times New Roman" w:hAnsi="Times New Roman"/>
                <w:b/>
                <w:bCs/>
                <w:sz w:val="24"/>
                <w:szCs w:val="24"/>
              </w:rPr>
              <w:t xml:space="preserve">, controlling for </w:t>
            </w:r>
            <w:r>
              <w:rPr>
                <w:rFonts w:ascii="Times New Roman" w:hAnsi="Times New Roman"/>
                <w:b/>
                <w:bCs/>
                <w:sz w:val="24"/>
                <w:szCs w:val="24"/>
              </w:rPr>
              <w:t>contextual</w:t>
            </w:r>
          </w:p>
        </w:tc>
        <w:tc>
          <w:tcPr>
            <w:tcW w:w="5040" w:type="dxa"/>
            <w:gridSpan w:val="4"/>
            <w:tcBorders>
              <w:left w:val="nil"/>
              <w:right w:val="nil"/>
            </w:tcBorders>
          </w:tcPr>
          <w:p w14:paraId="24CE7919" w14:textId="77777777" w:rsidR="004A7B9E" w:rsidRPr="005D78ED" w:rsidRDefault="004A7B9E" w:rsidP="008E173F">
            <w:pPr>
              <w:jc w:val="center"/>
              <w:rPr>
                <w:rFonts w:ascii="Times New Roman" w:hAnsi="Times New Roman"/>
                <w:b/>
                <w:bCs/>
                <w:sz w:val="24"/>
                <w:szCs w:val="24"/>
              </w:rPr>
            </w:pPr>
            <w:r>
              <w:rPr>
                <w:rFonts w:ascii="Times New Roman" w:hAnsi="Times New Roman"/>
                <w:b/>
                <w:bCs/>
                <w:sz w:val="24"/>
                <w:szCs w:val="24"/>
              </w:rPr>
              <w:t>Contextual disadvantage</w:t>
            </w:r>
            <w:r w:rsidRPr="005D78ED">
              <w:rPr>
                <w:rFonts w:ascii="Times New Roman" w:hAnsi="Times New Roman"/>
                <w:b/>
                <w:bCs/>
                <w:sz w:val="24"/>
                <w:szCs w:val="24"/>
              </w:rPr>
              <w:t xml:space="preserve">, controlling for </w:t>
            </w:r>
            <w:r>
              <w:rPr>
                <w:rFonts w:ascii="Times New Roman" w:hAnsi="Times New Roman"/>
                <w:b/>
                <w:bCs/>
                <w:sz w:val="24"/>
                <w:szCs w:val="24"/>
              </w:rPr>
              <w:t>proximal</w:t>
            </w:r>
            <w:r w:rsidRPr="005D78ED">
              <w:rPr>
                <w:rFonts w:ascii="Times New Roman" w:hAnsi="Times New Roman"/>
                <w:b/>
                <w:bCs/>
                <w:sz w:val="24"/>
                <w:szCs w:val="24"/>
              </w:rPr>
              <w:t xml:space="preserve"> </w:t>
            </w:r>
          </w:p>
        </w:tc>
      </w:tr>
      <w:tr w:rsidR="004A7B9E" w:rsidRPr="005D78ED" w14:paraId="46829507" w14:textId="77777777" w:rsidTr="008E173F">
        <w:trPr>
          <w:trHeight w:val="533"/>
        </w:trPr>
        <w:tc>
          <w:tcPr>
            <w:tcW w:w="3060" w:type="dxa"/>
            <w:gridSpan w:val="2"/>
            <w:vMerge/>
            <w:tcBorders>
              <w:left w:val="nil"/>
              <w:right w:val="nil"/>
            </w:tcBorders>
            <w:vAlign w:val="center"/>
          </w:tcPr>
          <w:p w14:paraId="7E5140EB" w14:textId="77777777" w:rsidR="004A7B9E" w:rsidRPr="005D78ED" w:rsidRDefault="004A7B9E" w:rsidP="008E173F">
            <w:pPr>
              <w:rPr>
                <w:rFonts w:ascii="Times New Roman" w:hAnsi="Times New Roman"/>
                <w:b/>
                <w:bCs/>
                <w:sz w:val="24"/>
                <w:szCs w:val="24"/>
              </w:rPr>
            </w:pPr>
          </w:p>
        </w:tc>
        <w:tc>
          <w:tcPr>
            <w:tcW w:w="1260" w:type="dxa"/>
            <w:tcBorders>
              <w:top w:val="single" w:sz="4" w:space="0" w:color="auto"/>
              <w:left w:val="nil"/>
              <w:bottom w:val="single" w:sz="12" w:space="0" w:color="auto"/>
              <w:right w:val="nil"/>
            </w:tcBorders>
            <w:vAlign w:val="center"/>
          </w:tcPr>
          <w:p w14:paraId="0E3474F4" w14:textId="77777777" w:rsidR="004A7B9E" w:rsidRPr="00F34282" w:rsidRDefault="004A7B9E" w:rsidP="008E173F">
            <w:pPr>
              <w:jc w:val="center"/>
              <w:rPr>
                <w:rFonts w:ascii="Times New Roman" w:hAnsi="Times New Roman"/>
                <w:sz w:val="24"/>
                <w:szCs w:val="24"/>
                <w:vertAlign w:val="superscript"/>
              </w:rPr>
            </w:pPr>
            <w:r>
              <w:rPr>
                <w:rFonts w:ascii="Times New Roman" w:hAnsi="Times New Roman"/>
                <w:sz w:val="24"/>
                <w:szCs w:val="24"/>
              </w:rPr>
              <w:t xml:space="preserve">Household income </w:t>
            </w:r>
            <w:r>
              <w:rPr>
                <w:rFonts w:ascii="Times New Roman" w:hAnsi="Times New Roman"/>
                <w:sz w:val="24"/>
                <w:szCs w:val="24"/>
                <w:vertAlign w:val="superscript"/>
              </w:rPr>
              <w:t>a</w:t>
            </w:r>
          </w:p>
        </w:tc>
        <w:tc>
          <w:tcPr>
            <w:tcW w:w="1350" w:type="dxa"/>
            <w:tcBorders>
              <w:top w:val="single" w:sz="4" w:space="0" w:color="auto"/>
              <w:left w:val="nil"/>
              <w:bottom w:val="single" w:sz="12" w:space="0" w:color="auto"/>
              <w:right w:val="nil"/>
            </w:tcBorders>
            <w:vAlign w:val="center"/>
          </w:tcPr>
          <w:p w14:paraId="0D77789B" w14:textId="77777777" w:rsidR="004A7B9E" w:rsidRPr="00452352" w:rsidRDefault="004A7B9E" w:rsidP="008E173F">
            <w:pPr>
              <w:jc w:val="center"/>
              <w:rPr>
                <w:rFonts w:ascii="Times New Roman" w:hAnsi="Times New Roman"/>
                <w:sz w:val="24"/>
                <w:szCs w:val="24"/>
                <w:vertAlign w:val="superscript"/>
              </w:rPr>
            </w:pPr>
            <w:r>
              <w:rPr>
                <w:rFonts w:ascii="Times New Roman" w:hAnsi="Times New Roman"/>
                <w:sz w:val="24"/>
                <w:szCs w:val="24"/>
              </w:rPr>
              <w:t xml:space="preserve">Maternal education </w:t>
            </w:r>
            <w:r>
              <w:rPr>
                <w:rFonts w:ascii="Times New Roman" w:hAnsi="Times New Roman"/>
                <w:sz w:val="24"/>
                <w:szCs w:val="24"/>
                <w:vertAlign w:val="superscript"/>
              </w:rPr>
              <w:t>a</w:t>
            </w:r>
          </w:p>
        </w:tc>
        <w:tc>
          <w:tcPr>
            <w:tcW w:w="1350" w:type="dxa"/>
            <w:tcBorders>
              <w:top w:val="single" w:sz="4" w:space="0" w:color="auto"/>
              <w:left w:val="nil"/>
              <w:bottom w:val="single" w:sz="12" w:space="0" w:color="auto"/>
              <w:right w:val="single" w:sz="12" w:space="0" w:color="auto"/>
            </w:tcBorders>
            <w:vAlign w:val="center"/>
          </w:tcPr>
          <w:p w14:paraId="3B5A7C1F" w14:textId="77777777" w:rsidR="004A7B9E" w:rsidRPr="00452352" w:rsidRDefault="004A7B9E" w:rsidP="008E173F">
            <w:pPr>
              <w:jc w:val="center"/>
              <w:rPr>
                <w:rFonts w:ascii="Times New Roman" w:hAnsi="Times New Roman"/>
                <w:i/>
                <w:iCs/>
                <w:sz w:val="24"/>
                <w:szCs w:val="24"/>
                <w:vertAlign w:val="superscript"/>
              </w:rPr>
            </w:pPr>
            <w:r>
              <w:rPr>
                <w:rFonts w:ascii="Times New Roman" w:hAnsi="Times New Roman"/>
                <w:sz w:val="24"/>
                <w:szCs w:val="24"/>
              </w:rPr>
              <w:t xml:space="preserve">Paternal education </w:t>
            </w:r>
            <w:r>
              <w:rPr>
                <w:rFonts w:ascii="Times New Roman" w:hAnsi="Times New Roman"/>
                <w:sz w:val="24"/>
                <w:szCs w:val="24"/>
                <w:vertAlign w:val="superscript"/>
              </w:rPr>
              <w:t>a</w:t>
            </w:r>
          </w:p>
        </w:tc>
        <w:tc>
          <w:tcPr>
            <w:tcW w:w="1350" w:type="dxa"/>
            <w:tcBorders>
              <w:top w:val="single" w:sz="4" w:space="0" w:color="auto"/>
              <w:right w:val="nil"/>
            </w:tcBorders>
          </w:tcPr>
          <w:p w14:paraId="19587261" w14:textId="77777777" w:rsidR="004A7B9E" w:rsidRPr="00452352" w:rsidRDefault="004A7B9E" w:rsidP="008E173F">
            <w:pPr>
              <w:jc w:val="center"/>
              <w:rPr>
                <w:rFonts w:ascii="Times New Roman" w:hAnsi="Times New Roman"/>
                <w:sz w:val="24"/>
                <w:szCs w:val="24"/>
                <w:vertAlign w:val="superscript"/>
              </w:rPr>
            </w:pPr>
            <w:r>
              <w:rPr>
                <w:rFonts w:ascii="Times New Roman" w:hAnsi="Times New Roman"/>
                <w:sz w:val="24"/>
                <w:szCs w:val="24"/>
              </w:rPr>
              <w:t xml:space="preserve">Subsidized lunch rate </w:t>
            </w:r>
            <w:r>
              <w:rPr>
                <w:rFonts w:ascii="Times New Roman" w:hAnsi="Times New Roman"/>
                <w:sz w:val="24"/>
                <w:szCs w:val="24"/>
                <w:vertAlign w:val="superscript"/>
              </w:rPr>
              <w:t>b</w:t>
            </w:r>
          </w:p>
        </w:tc>
        <w:tc>
          <w:tcPr>
            <w:tcW w:w="1170" w:type="dxa"/>
            <w:tcBorders>
              <w:top w:val="single" w:sz="4" w:space="0" w:color="auto"/>
              <w:left w:val="nil"/>
              <w:bottom w:val="single" w:sz="12" w:space="0" w:color="auto"/>
              <w:right w:val="nil"/>
            </w:tcBorders>
          </w:tcPr>
          <w:p w14:paraId="7128A0CB" w14:textId="77777777" w:rsidR="004A7B9E" w:rsidRPr="00452352" w:rsidRDefault="004A7B9E" w:rsidP="008E173F">
            <w:pPr>
              <w:jc w:val="center"/>
              <w:rPr>
                <w:rFonts w:ascii="Times New Roman" w:hAnsi="Times New Roman"/>
                <w:sz w:val="24"/>
                <w:szCs w:val="24"/>
                <w:vertAlign w:val="superscript"/>
              </w:rPr>
            </w:pPr>
            <w:r>
              <w:rPr>
                <w:rFonts w:ascii="Times New Roman" w:hAnsi="Times New Roman"/>
                <w:sz w:val="24"/>
                <w:szCs w:val="24"/>
              </w:rPr>
              <w:t xml:space="preserve">ADI </w:t>
            </w:r>
            <w:r>
              <w:rPr>
                <w:rFonts w:ascii="Times New Roman" w:hAnsi="Times New Roman"/>
                <w:sz w:val="24"/>
                <w:szCs w:val="24"/>
                <w:vertAlign w:val="superscript"/>
              </w:rPr>
              <w:t>b</w:t>
            </w:r>
          </w:p>
        </w:tc>
        <w:tc>
          <w:tcPr>
            <w:tcW w:w="1260" w:type="dxa"/>
            <w:tcBorders>
              <w:top w:val="single" w:sz="4" w:space="0" w:color="auto"/>
              <w:left w:val="nil"/>
              <w:bottom w:val="single" w:sz="12" w:space="0" w:color="auto"/>
              <w:right w:val="nil"/>
            </w:tcBorders>
          </w:tcPr>
          <w:p w14:paraId="3EAD765F" w14:textId="77777777" w:rsidR="004A7B9E" w:rsidRPr="00452352" w:rsidRDefault="004A7B9E" w:rsidP="008E173F">
            <w:pPr>
              <w:jc w:val="center"/>
              <w:rPr>
                <w:rFonts w:ascii="Times New Roman" w:hAnsi="Times New Roman"/>
                <w:sz w:val="24"/>
                <w:szCs w:val="24"/>
                <w:vertAlign w:val="superscript"/>
              </w:rPr>
            </w:pPr>
            <w:r>
              <w:rPr>
                <w:rFonts w:ascii="Times New Roman" w:hAnsi="Times New Roman"/>
                <w:sz w:val="24"/>
                <w:szCs w:val="24"/>
              </w:rPr>
              <w:t xml:space="preserve">Neighbor-reported problems </w:t>
            </w:r>
            <w:r>
              <w:rPr>
                <w:rFonts w:ascii="Times New Roman" w:hAnsi="Times New Roman"/>
                <w:sz w:val="24"/>
                <w:szCs w:val="24"/>
                <w:vertAlign w:val="superscript"/>
              </w:rPr>
              <w:t>a</w:t>
            </w:r>
          </w:p>
        </w:tc>
        <w:tc>
          <w:tcPr>
            <w:tcW w:w="1260" w:type="dxa"/>
            <w:tcBorders>
              <w:top w:val="single" w:sz="4" w:space="0" w:color="auto"/>
              <w:left w:val="nil"/>
              <w:bottom w:val="single" w:sz="12" w:space="0" w:color="auto"/>
              <w:right w:val="nil"/>
            </w:tcBorders>
            <w:vAlign w:val="center"/>
          </w:tcPr>
          <w:p w14:paraId="1FA2E046" w14:textId="77777777" w:rsidR="004A7B9E" w:rsidRPr="00452352" w:rsidRDefault="004A7B9E" w:rsidP="008E173F">
            <w:pPr>
              <w:jc w:val="center"/>
              <w:rPr>
                <w:rFonts w:ascii="Times New Roman" w:hAnsi="Times New Roman"/>
                <w:sz w:val="24"/>
                <w:szCs w:val="24"/>
                <w:vertAlign w:val="superscript"/>
              </w:rPr>
            </w:pPr>
            <w:r>
              <w:rPr>
                <w:rFonts w:ascii="Times New Roman" w:hAnsi="Times New Roman"/>
                <w:sz w:val="24"/>
                <w:szCs w:val="24"/>
              </w:rPr>
              <w:t xml:space="preserve">Mother-reported problems </w:t>
            </w:r>
            <w:r>
              <w:rPr>
                <w:rFonts w:ascii="Times New Roman" w:hAnsi="Times New Roman"/>
                <w:sz w:val="24"/>
                <w:szCs w:val="24"/>
                <w:vertAlign w:val="superscript"/>
              </w:rPr>
              <w:t>a</w:t>
            </w:r>
          </w:p>
        </w:tc>
      </w:tr>
      <w:tr w:rsidR="004A7B9E" w:rsidRPr="005D78ED" w14:paraId="1127D06E" w14:textId="77777777" w:rsidTr="008E173F">
        <w:trPr>
          <w:trHeight w:val="290"/>
        </w:trPr>
        <w:tc>
          <w:tcPr>
            <w:tcW w:w="1260" w:type="dxa"/>
            <w:vMerge w:val="restart"/>
            <w:tcBorders>
              <w:top w:val="single" w:sz="12" w:space="0" w:color="auto"/>
              <w:left w:val="nil"/>
              <w:bottom w:val="single" w:sz="12" w:space="0" w:color="auto"/>
              <w:right w:val="nil"/>
            </w:tcBorders>
            <w:vAlign w:val="center"/>
          </w:tcPr>
          <w:p w14:paraId="1A9BFED8" w14:textId="77777777" w:rsidR="004A7B9E" w:rsidRPr="005D78ED" w:rsidRDefault="004A7B9E" w:rsidP="008E173F">
            <w:pPr>
              <w:rPr>
                <w:rFonts w:ascii="Times New Roman" w:hAnsi="Times New Roman"/>
                <w:b/>
                <w:bCs/>
                <w:sz w:val="24"/>
                <w:szCs w:val="24"/>
              </w:rPr>
            </w:pPr>
            <w:r>
              <w:rPr>
                <w:rFonts w:ascii="Times New Roman" w:hAnsi="Times New Roman"/>
                <w:b/>
                <w:bCs/>
                <w:sz w:val="24"/>
                <w:szCs w:val="24"/>
              </w:rPr>
              <w:t>Youth outcomes overall</w:t>
            </w:r>
          </w:p>
        </w:tc>
        <w:tc>
          <w:tcPr>
            <w:tcW w:w="1800" w:type="dxa"/>
            <w:tcBorders>
              <w:top w:val="single" w:sz="12" w:space="0" w:color="auto"/>
              <w:left w:val="nil"/>
              <w:bottom w:val="single" w:sz="4" w:space="0" w:color="auto"/>
              <w:right w:val="nil"/>
            </w:tcBorders>
            <w:vAlign w:val="center"/>
          </w:tcPr>
          <w:p w14:paraId="6D8C5B04" w14:textId="77777777" w:rsidR="004A7B9E" w:rsidRPr="005D78ED" w:rsidRDefault="004A7B9E" w:rsidP="008E173F">
            <w:pPr>
              <w:rPr>
                <w:rFonts w:ascii="Times New Roman" w:hAnsi="Times New Roman"/>
                <w:sz w:val="24"/>
                <w:szCs w:val="24"/>
              </w:rPr>
            </w:pPr>
            <w:r w:rsidRPr="005D78ED">
              <w:rPr>
                <w:rFonts w:ascii="Times New Roman" w:hAnsi="Times New Roman"/>
                <w:sz w:val="24"/>
                <w:szCs w:val="24"/>
              </w:rPr>
              <w:t>Median ES</w:t>
            </w:r>
          </w:p>
        </w:tc>
        <w:tc>
          <w:tcPr>
            <w:tcW w:w="1260" w:type="dxa"/>
            <w:tcBorders>
              <w:top w:val="single" w:sz="12" w:space="0" w:color="auto"/>
              <w:left w:val="nil"/>
              <w:bottom w:val="single" w:sz="4" w:space="0" w:color="auto"/>
              <w:right w:val="nil"/>
            </w:tcBorders>
            <w:vAlign w:val="center"/>
          </w:tcPr>
          <w:p w14:paraId="3C8C8B49"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.13*</w:t>
            </w:r>
          </w:p>
        </w:tc>
        <w:tc>
          <w:tcPr>
            <w:tcW w:w="1350" w:type="dxa"/>
            <w:tcBorders>
              <w:top w:val="single" w:sz="12" w:space="0" w:color="auto"/>
              <w:left w:val="nil"/>
              <w:bottom w:val="single" w:sz="4" w:space="0" w:color="auto"/>
              <w:right w:val="nil"/>
            </w:tcBorders>
            <w:vAlign w:val="center"/>
          </w:tcPr>
          <w:p w14:paraId="76C83979"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.08*</w:t>
            </w:r>
          </w:p>
        </w:tc>
        <w:tc>
          <w:tcPr>
            <w:tcW w:w="1350" w:type="dxa"/>
            <w:tcBorders>
              <w:top w:val="single" w:sz="12" w:space="0" w:color="auto"/>
              <w:left w:val="nil"/>
              <w:bottom w:val="single" w:sz="4" w:space="0" w:color="auto"/>
              <w:right w:val="single" w:sz="12" w:space="0" w:color="auto"/>
            </w:tcBorders>
            <w:vAlign w:val="center"/>
          </w:tcPr>
          <w:p w14:paraId="7A51BB82"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.11*</w:t>
            </w:r>
          </w:p>
        </w:tc>
        <w:tc>
          <w:tcPr>
            <w:tcW w:w="1350" w:type="dxa"/>
            <w:tcBorders>
              <w:top w:val="single" w:sz="12" w:space="0" w:color="auto"/>
              <w:right w:val="nil"/>
            </w:tcBorders>
          </w:tcPr>
          <w:p w14:paraId="2C936170"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.08*</w:t>
            </w:r>
          </w:p>
        </w:tc>
        <w:tc>
          <w:tcPr>
            <w:tcW w:w="1170" w:type="dxa"/>
            <w:tcBorders>
              <w:top w:val="single" w:sz="12" w:space="0" w:color="auto"/>
              <w:left w:val="nil"/>
              <w:bottom w:val="single" w:sz="4" w:space="0" w:color="auto"/>
              <w:right w:val="nil"/>
            </w:tcBorders>
          </w:tcPr>
          <w:p w14:paraId="2D0DDF3A"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.10*</w:t>
            </w:r>
          </w:p>
        </w:tc>
        <w:tc>
          <w:tcPr>
            <w:tcW w:w="1260" w:type="dxa"/>
            <w:tcBorders>
              <w:top w:val="single" w:sz="12" w:space="0" w:color="auto"/>
              <w:left w:val="nil"/>
              <w:bottom w:val="single" w:sz="4" w:space="0" w:color="auto"/>
              <w:right w:val="nil"/>
            </w:tcBorders>
          </w:tcPr>
          <w:p w14:paraId="0839903C"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.07*</w:t>
            </w:r>
          </w:p>
        </w:tc>
        <w:tc>
          <w:tcPr>
            <w:tcW w:w="1260" w:type="dxa"/>
            <w:tcBorders>
              <w:top w:val="single" w:sz="12" w:space="0" w:color="auto"/>
              <w:left w:val="nil"/>
              <w:bottom w:val="single" w:sz="4" w:space="0" w:color="auto"/>
              <w:right w:val="nil"/>
            </w:tcBorders>
            <w:vAlign w:val="center"/>
          </w:tcPr>
          <w:p w14:paraId="235F114F"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.14*</w:t>
            </w:r>
          </w:p>
        </w:tc>
      </w:tr>
      <w:tr w:rsidR="004A7B9E" w:rsidRPr="005D78ED" w14:paraId="211D4E71" w14:textId="77777777" w:rsidTr="008E173F">
        <w:trPr>
          <w:trHeight w:val="290"/>
        </w:trPr>
        <w:tc>
          <w:tcPr>
            <w:tcW w:w="1260" w:type="dxa"/>
            <w:vMerge/>
            <w:tcBorders>
              <w:top w:val="single" w:sz="12" w:space="0" w:color="auto"/>
              <w:left w:val="nil"/>
              <w:bottom w:val="single" w:sz="12" w:space="0" w:color="auto"/>
              <w:right w:val="nil"/>
            </w:tcBorders>
            <w:vAlign w:val="center"/>
          </w:tcPr>
          <w:p w14:paraId="3F73BF70" w14:textId="77777777" w:rsidR="004A7B9E" w:rsidRPr="005D78ED" w:rsidRDefault="004A7B9E" w:rsidP="008E173F">
            <w:pPr>
              <w:rPr>
                <w:rFonts w:ascii="Times New Roman" w:hAnsi="Times New Roman"/>
                <w:b/>
                <w:bCs/>
                <w:sz w:val="24"/>
                <w:szCs w:val="24"/>
              </w:rPr>
            </w:pPr>
          </w:p>
        </w:tc>
        <w:tc>
          <w:tcPr>
            <w:tcW w:w="1800" w:type="dxa"/>
            <w:tcBorders>
              <w:top w:val="single" w:sz="4" w:space="0" w:color="auto"/>
              <w:left w:val="nil"/>
              <w:bottom w:val="single" w:sz="4" w:space="0" w:color="auto"/>
              <w:right w:val="nil"/>
            </w:tcBorders>
            <w:vAlign w:val="center"/>
          </w:tcPr>
          <w:p w14:paraId="5683FD5C" w14:textId="77777777" w:rsidR="004A7B9E" w:rsidRPr="005D78ED" w:rsidRDefault="004A7B9E" w:rsidP="008E173F">
            <w:pPr>
              <w:rPr>
                <w:rFonts w:ascii="Times New Roman" w:hAnsi="Times New Roman"/>
                <w:sz w:val="24"/>
                <w:szCs w:val="24"/>
              </w:rPr>
            </w:pPr>
            <w:r w:rsidRPr="005D78ED">
              <w:rPr>
                <w:rFonts w:ascii="Times New Roman" w:hAnsi="Times New Roman"/>
                <w:sz w:val="24"/>
                <w:szCs w:val="24"/>
              </w:rPr>
              <w:t>95% CIs</w:t>
            </w:r>
          </w:p>
        </w:tc>
        <w:tc>
          <w:tcPr>
            <w:tcW w:w="1260" w:type="dxa"/>
            <w:tcBorders>
              <w:top w:val="single" w:sz="4" w:space="0" w:color="auto"/>
              <w:left w:val="nil"/>
              <w:bottom w:val="single" w:sz="4" w:space="0" w:color="auto"/>
              <w:right w:val="nil"/>
            </w:tcBorders>
            <w:vAlign w:val="center"/>
          </w:tcPr>
          <w:p w14:paraId="209B8BD0"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(.06, .19)</w:t>
            </w:r>
          </w:p>
        </w:tc>
        <w:tc>
          <w:tcPr>
            <w:tcW w:w="1350" w:type="dxa"/>
            <w:tcBorders>
              <w:top w:val="single" w:sz="4" w:space="0" w:color="auto"/>
              <w:left w:val="nil"/>
              <w:bottom w:val="single" w:sz="4" w:space="0" w:color="auto"/>
              <w:right w:val="nil"/>
            </w:tcBorders>
            <w:vAlign w:val="center"/>
          </w:tcPr>
          <w:p w14:paraId="0A4F78CB"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(.01, .14)</w:t>
            </w:r>
          </w:p>
        </w:tc>
        <w:tc>
          <w:tcPr>
            <w:tcW w:w="1350" w:type="dxa"/>
            <w:tcBorders>
              <w:top w:val="single" w:sz="4" w:space="0" w:color="auto"/>
              <w:left w:val="nil"/>
              <w:bottom w:val="single" w:sz="4" w:space="0" w:color="auto"/>
              <w:right w:val="single" w:sz="12" w:space="0" w:color="auto"/>
            </w:tcBorders>
            <w:vAlign w:val="center"/>
          </w:tcPr>
          <w:p w14:paraId="25D9A923"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(.05, .17)</w:t>
            </w:r>
          </w:p>
        </w:tc>
        <w:tc>
          <w:tcPr>
            <w:tcW w:w="1350" w:type="dxa"/>
            <w:tcBorders>
              <w:top w:val="single" w:sz="4" w:space="0" w:color="auto"/>
              <w:right w:val="nil"/>
            </w:tcBorders>
          </w:tcPr>
          <w:p w14:paraId="2A3A6FB2"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(.01, .15)</w:t>
            </w:r>
          </w:p>
        </w:tc>
        <w:tc>
          <w:tcPr>
            <w:tcW w:w="1170" w:type="dxa"/>
            <w:tcBorders>
              <w:top w:val="single" w:sz="4" w:space="0" w:color="auto"/>
              <w:left w:val="nil"/>
              <w:bottom w:val="single" w:sz="4" w:space="0" w:color="auto"/>
              <w:right w:val="nil"/>
            </w:tcBorders>
          </w:tcPr>
          <w:p w14:paraId="1EDBBA2F"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(.04, .16)</w:t>
            </w:r>
          </w:p>
        </w:tc>
        <w:tc>
          <w:tcPr>
            <w:tcW w:w="1260" w:type="dxa"/>
            <w:tcBorders>
              <w:top w:val="single" w:sz="4" w:space="0" w:color="auto"/>
              <w:left w:val="nil"/>
              <w:bottom w:val="single" w:sz="4" w:space="0" w:color="auto"/>
              <w:right w:val="nil"/>
            </w:tcBorders>
          </w:tcPr>
          <w:p w14:paraId="6E827197"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(.01, .14)</w:t>
            </w:r>
          </w:p>
        </w:tc>
        <w:tc>
          <w:tcPr>
            <w:tcW w:w="1260" w:type="dxa"/>
            <w:tcBorders>
              <w:top w:val="single" w:sz="4" w:space="0" w:color="auto"/>
              <w:left w:val="nil"/>
              <w:bottom w:val="single" w:sz="4" w:space="0" w:color="auto"/>
              <w:right w:val="nil"/>
            </w:tcBorders>
            <w:vAlign w:val="center"/>
          </w:tcPr>
          <w:p w14:paraId="1D4CA9DD"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(.07, .22)</w:t>
            </w:r>
          </w:p>
        </w:tc>
      </w:tr>
      <w:tr w:rsidR="004A7B9E" w:rsidRPr="005D78ED" w14:paraId="087581BD" w14:textId="77777777" w:rsidTr="008E173F">
        <w:trPr>
          <w:trHeight w:val="290"/>
        </w:trPr>
        <w:tc>
          <w:tcPr>
            <w:tcW w:w="1260" w:type="dxa"/>
            <w:vMerge/>
            <w:tcBorders>
              <w:left w:val="nil"/>
              <w:bottom w:val="single" w:sz="12" w:space="0" w:color="auto"/>
              <w:right w:val="nil"/>
            </w:tcBorders>
            <w:vAlign w:val="center"/>
          </w:tcPr>
          <w:p w14:paraId="7C56FFA4" w14:textId="77777777" w:rsidR="004A7B9E" w:rsidRPr="005D78ED" w:rsidRDefault="004A7B9E" w:rsidP="008E173F">
            <w:pPr>
              <w:rPr>
                <w:rFonts w:ascii="Times New Roman" w:hAnsi="Times New Roman"/>
                <w:b/>
                <w:bCs/>
                <w:sz w:val="24"/>
                <w:szCs w:val="24"/>
              </w:rPr>
            </w:pPr>
          </w:p>
        </w:tc>
        <w:tc>
          <w:tcPr>
            <w:tcW w:w="1800" w:type="dxa"/>
            <w:tcBorders>
              <w:left w:val="nil"/>
              <w:bottom w:val="single" w:sz="4" w:space="0" w:color="auto"/>
              <w:right w:val="nil"/>
            </w:tcBorders>
            <w:vAlign w:val="center"/>
          </w:tcPr>
          <w:p w14:paraId="309A386E" w14:textId="77777777" w:rsidR="004A7B9E" w:rsidRPr="005D78ED" w:rsidRDefault="004A7B9E" w:rsidP="008E173F">
            <w:pPr>
              <w:rPr>
                <w:rFonts w:ascii="Times New Roman" w:hAnsi="Times New Roman"/>
                <w:sz w:val="24"/>
                <w:szCs w:val="24"/>
              </w:rPr>
            </w:pPr>
            <w:r w:rsidRPr="005D78ED">
              <w:rPr>
                <w:rFonts w:ascii="Times New Roman" w:hAnsi="Times New Roman"/>
                <w:sz w:val="24"/>
                <w:szCs w:val="24"/>
              </w:rPr>
              <w:t xml:space="preserve">Median </w:t>
            </w:r>
            <w:r w:rsidRPr="005D78ED">
              <w:rPr>
                <w:rFonts w:ascii="Times New Roman" w:hAnsi="Times New Roman"/>
                <w:i/>
                <w:iCs/>
                <w:sz w:val="24"/>
                <w:szCs w:val="24"/>
              </w:rPr>
              <w:t>p</w:t>
            </w:r>
            <w:r w:rsidRPr="005D78ED">
              <w:rPr>
                <w:rFonts w:ascii="Times New Roman" w:hAnsi="Times New Roman"/>
                <w:sz w:val="24"/>
                <w:szCs w:val="24"/>
              </w:rPr>
              <w:t>-value</w:t>
            </w:r>
          </w:p>
        </w:tc>
        <w:tc>
          <w:tcPr>
            <w:tcW w:w="1260" w:type="dxa"/>
            <w:tcBorders>
              <w:left w:val="nil"/>
              <w:bottom w:val="single" w:sz="4" w:space="0" w:color="auto"/>
              <w:right w:val="nil"/>
            </w:tcBorders>
            <w:vAlign w:val="center"/>
          </w:tcPr>
          <w:p w14:paraId="2773A58F"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&lt;.001</w:t>
            </w:r>
          </w:p>
        </w:tc>
        <w:tc>
          <w:tcPr>
            <w:tcW w:w="1350" w:type="dxa"/>
            <w:tcBorders>
              <w:left w:val="nil"/>
              <w:bottom w:val="single" w:sz="4" w:space="0" w:color="auto"/>
              <w:right w:val="nil"/>
            </w:tcBorders>
            <w:vAlign w:val="center"/>
          </w:tcPr>
          <w:p w14:paraId="1AA3315F"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.017</w:t>
            </w:r>
          </w:p>
        </w:tc>
        <w:tc>
          <w:tcPr>
            <w:tcW w:w="1350" w:type="dxa"/>
            <w:tcBorders>
              <w:left w:val="nil"/>
              <w:bottom w:val="single" w:sz="4" w:space="0" w:color="auto"/>
              <w:right w:val="single" w:sz="12" w:space="0" w:color="auto"/>
            </w:tcBorders>
            <w:vAlign w:val="center"/>
          </w:tcPr>
          <w:p w14:paraId="01A9DBDD"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.001</w:t>
            </w:r>
          </w:p>
        </w:tc>
        <w:tc>
          <w:tcPr>
            <w:tcW w:w="1350" w:type="dxa"/>
            <w:tcBorders>
              <w:right w:val="nil"/>
            </w:tcBorders>
          </w:tcPr>
          <w:p w14:paraId="6C64524C"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.020</w:t>
            </w:r>
          </w:p>
        </w:tc>
        <w:tc>
          <w:tcPr>
            <w:tcW w:w="1170" w:type="dxa"/>
            <w:tcBorders>
              <w:left w:val="nil"/>
              <w:bottom w:val="single" w:sz="4" w:space="0" w:color="auto"/>
              <w:right w:val="nil"/>
            </w:tcBorders>
          </w:tcPr>
          <w:p w14:paraId="5FB62379"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.001</w:t>
            </w:r>
          </w:p>
        </w:tc>
        <w:tc>
          <w:tcPr>
            <w:tcW w:w="1260" w:type="dxa"/>
            <w:tcBorders>
              <w:left w:val="nil"/>
              <w:bottom w:val="single" w:sz="4" w:space="0" w:color="auto"/>
              <w:right w:val="nil"/>
            </w:tcBorders>
          </w:tcPr>
          <w:p w14:paraId="697BB3B1"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.035</w:t>
            </w:r>
          </w:p>
        </w:tc>
        <w:tc>
          <w:tcPr>
            <w:tcW w:w="1260" w:type="dxa"/>
            <w:tcBorders>
              <w:left w:val="nil"/>
              <w:bottom w:val="single" w:sz="4" w:space="0" w:color="auto"/>
              <w:right w:val="nil"/>
            </w:tcBorders>
            <w:vAlign w:val="center"/>
          </w:tcPr>
          <w:p w14:paraId="49A98C3B"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&lt;.001</w:t>
            </w:r>
          </w:p>
        </w:tc>
      </w:tr>
      <w:tr w:rsidR="004A7B9E" w:rsidRPr="005D78ED" w14:paraId="40A0239A" w14:textId="77777777" w:rsidTr="008E173F">
        <w:trPr>
          <w:trHeight w:val="290"/>
        </w:trPr>
        <w:tc>
          <w:tcPr>
            <w:tcW w:w="1260" w:type="dxa"/>
            <w:vMerge/>
            <w:tcBorders>
              <w:left w:val="nil"/>
              <w:bottom w:val="single" w:sz="12" w:space="0" w:color="auto"/>
              <w:right w:val="nil"/>
            </w:tcBorders>
            <w:vAlign w:val="center"/>
          </w:tcPr>
          <w:p w14:paraId="1EFEDC05" w14:textId="77777777" w:rsidR="004A7B9E" w:rsidRPr="005D78ED" w:rsidRDefault="004A7B9E" w:rsidP="008E173F">
            <w:pPr>
              <w:rPr>
                <w:rFonts w:ascii="Times New Roman" w:hAnsi="Times New Roman"/>
                <w:b/>
                <w:bCs/>
                <w:sz w:val="24"/>
                <w:szCs w:val="24"/>
              </w:rPr>
            </w:pPr>
          </w:p>
        </w:tc>
        <w:tc>
          <w:tcPr>
            <w:tcW w:w="1800" w:type="dxa"/>
            <w:tcBorders>
              <w:left w:val="nil"/>
              <w:bottom w:val="single" w:sz="4" w:space="0" w:color="auto"/>
              <w:right w:val="nil"/>
            </w:tcBorders>
            <w:vAlign w:val="center"/>
          </w:tcPr>
          <w:p w14:paraId="324B73AC" w14:textId="77777777" w:rsidR="004A7B9E" w:rsidRPr="005D78ED" w:rsidRDefault="004A7B9E" w:rsidP="008E173F">
            <w:pPr>
              <w:rPr>
                <w:rFonts w:ascii="Times New Roman" w:hAnsi="Times New Roman"/>
                <w:sz w:val="24"/>
                <w:szCs w:val="24"/>
              </w:rPr>
            </w:pPr>
            <w:r w:rsidRPr="005D78ED">
              <w:rPr>
                <w:rFonts w:ascii="Times New Roman" w:hAnsi="Times New Roman"/>
                <w:sz w:val="24"/>
                <w:szCs w:val="24"/>
              </w:rPr>
              <w:t xml:space="preserve">% </w:t>
            </w:r>
            <w:r w:rsidRPr="005D78ED">
              <w:rPr>
                <w:rFonts w:ascii="Times New Roman" w:hAnsi="Times New Roman"/>
                <w:i/>
                <w:iCs/>
                <w:sz w:val="24"/>
                <w:szCs w:val="24"/>
              </w:rPr>
              <w:t>p</w:t>
            </w:r>
            <w:r w:rsidRPr="005D78ED">
              <w:rPr>
                <w:rFonts w:ascii="Times New Roman" w:hAnsi="Times New Roman"/>
                <w:sz w:val="24"/>
                <w:szCs w:val="24"/>
              </w:rPr>
              <w:t xml:space="preserve"> &lt; .05</w:t>
            </w:r>
          </w:p>
        </w:tc>
        <w:tc>
          <w:tcPr>
            <w:tcW w:w="1260" w:type="dxa"/>
            <w:tcBorders>
              <w:left w:val="nil"/>
              <w:bottom w:val="single" w:sz="4" w:space="0" w:color="auto"/>
              <w:right w:val="nil"/>
            </w:tcBorders>
            <w:vAlign w:val="center"/>
          </w:tcPr>
          <w:p w14:paraId="13A16EBF"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88.17</w:t>
            </w:r>
          </w:p>
        </w:tc>
        <w:tc>
          <w:tcPr>
            <w:tcW w:w="1350" w:type="dxa"/>
            <w:tcBorders>
              <w:left w:val="nil"/>
              <w:bottom w:val="single" w:sz="4" w:space="0" w:color="auto"/>
              <w:right w:val="nil"/>
            </w:tcBorders>
            <w:vAlign w:val="center"/>
          </w:tcPr>
          <w:p w14:paraId="33224006"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59.21</w:t>
            </w:r>
          </w:p>
        </w:tc>
        <w:tc>
          <w:tcPr>
            <w:tcW w:w="1350" w:type="dxa"/>
            <w:tcBorders>
              <w:left w:val="nil"/>
              <w:bottom w:val="single" w:sz="4" w:space="0" w:color="auto"/>
              <w:right w:val="single" w:sz="12" w:space="0" w:color="auto"/>
            </w:tcBorders>
            <w:vAlign w:val="center"/>
          </w:tcPr>
          <w:p w14:paraId="43FEE738"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79.47</w:t>
            </w:r>
          </w:p>
        </w:tc>
        <w:tc>
          <w:tcPr>
            <w:tcW w:w="1350" w:type="dxa"/>
            <w:tcBorders>
              <w:right w:val="nil"/>
            </w:tcBorders>
          </w:tcPr>
          <w:p w14:paraId="24F91C4C"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61.52</w:t>
            </w:r>
          </w:p>
        </w:tc>
        <w:tc>
          <w:tcPr>
            <w:tcW w:w="1170" w:type="dxa"/>
            <w:tcBorders>
              <w:left w:val="nil"/>
              <w:bottom w:val="single" w:sz="4" w:space="0" w:color="auto"/>
              <w:right w:val="nil"/>
            </w:tcBorders>
          </w:tcPr>
          <w:p w14:paraId="03BF57FE"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71.40</w:t>
            </w:r>
          </w:p>
        </w:tc>
        <w:tc>
          <w:tcPr>
            <w:tcW w:w="1260" w:type="dxa"/>
            <w:tcBorders>
              <w:left w:val="nil"/>
              <w:bottom w:val="single" w:sz="4" w:space="0" w:color="auto"/>
              <w:right w:val="nil"/>
            </w:tcBorders>
          </w:tcPr>
          <w:p w14:paraId="5E9F7095"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60.97</w:t>
            </w:r>
          </w:p>
        </w:tc>
        <w:tc>
          <w:tcPr>
            <w:tcW w:w="1260" w:type="dxa"/>
            <w:tcBorders>
              <w:left w:val="nil"/>
              <w:bottom w:val="single" w:sz="4" w:space="0" w:color="auto"/>
              <w:right w:val="nil"/>
            </w:tcBorders>
            <w:vAlign w:val="center"/>
          </w:tcPr>
          <w:p w14:paraId="25AEDEA5"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82.15</w:t>
            </w:r>
          </w:p>
        </w:tc>
      </w:tr>
      <w:tr w:rsidR="004A7B9E" w:rsidRPr="005D78ED" w14:paraId="30FB2EF5" w14:textId="77777777" w:rsidTr="008E173F">
        <w:trPr>
          <w:trHeight w:val="290"/>
        </w:trPr>
        <w:tc>
          <w:tcPr>
            <w:tcW w:w="1260" w:type="dxa"/>
            <w:vMerge/>
            <w:tcBorders>
              <w:left w:val="nil"/>
              <w:bottom w:val="single" w:sz="12" w:space="0" w:color="auto"/>
              <w:right w:val="nil"/>
            </w:tcBorders>
            <w:vAlign w:val="center"/>
          </w:tcPr>
          <w:p w14:paraId="5A82A59B" w14:textId="77777777" w:rsidR="004A7B9E" w:rsidRPr="005D78ED" w:rsidRDefault="004A7B9E" w:rsidP="008E173F">
            <w:pPr>
              <w:rPr>
                <w:rFonts w:ascii="Times New Roman" w:hAnsi="Times New Roman"/>
                <w:b/>
                <w:bCs/>
                <w:sz w:val="24"/>
                <w:szCs w:val="24"/>
              </w:rPr>
            </w:pPr>
          </w:p>
        </w:tc>
        <w:tc>
          <w:tcPr>
            <w:tcW w:w="1800" w:type="dxa"/>
            <w:tcBorders>
              <w:left w:val="nil"/>
              <w:bottom w:val="single" w:sz="12" w:space="0" w:color="auto"/>
              <w:right w:val="nil"/>
            </w:tcBorders>
            <w:vAlign w:val="center"/>
          </w:tcPr>
          <w:p w14:paraId="61182344" w14:textId="77777777" w:rsidR="004A7B9E" w:rsidRPr="005D78ED" w:rsidRDefault="004A7B9E" w:rsidP="008E173F">
            <w:pPr>
              <w:rPr>
                <w:rFonts w:ascii="Times New Roman" w:hAnsi="Times New Roman"/>
                <w:sz w:val="24"/>
                <w:szCs w:val="24"/>
              </w:rPr>
            </w:pPr>
            <w:r w:rsidRPr="005D78ED">
              <w:rPr>
                <w:rFonts w:ascii="Times New Roman" w:hAnsi="Times New Roman"/>
                <w:sz w:val="24"/>
                <w:szCs w:val="24"/>
              </w:rPr>
              <w:t>Avg Z-score</w:t>
            </w:r>
          </w:p>
        </w:tc>
        <w:tc>
          <w:tcPr>
            <w:tcW w:w="1260" w:type="dxa"/>
            <w:tcBorders>
              <w:left w:val="nil"/>
              <w:bottom w:val="single" w:sz="12" w:space="0" w:color="auto"/>
              <w:right w:val="nil"/>
            </w:tcBorders>
            <w:vAlign w:val="center"/>
          </w:tcPr>
          <w:p w14:paraId="760DE07C"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3.72</w:t>
            </w:r>
          </w:p>
        </w:tc>
        <w:tc>
          <w:tcPr>
            <w:tcW w:w="1350" w:type="dxa"/>
            <w:tcBorders>
              <w:left w:val="nil"/>
              <w:bottom w:val="single" w:sz="12" w:space="0" w:color="auto"/>
              <w:right w:val="nil"/>
            </w:tcBorders>
            <w:vAlign w:val="center"/>
          </w:tcPr>
          <w:p w14:paraId="0D69EDC3"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2.23</w:t>
            </w:r>
          </w:p>
        </w:tc>
        <w:tc>
          <w:tcPr>
            <w:tcW w:w="1350" w:type="dxa"/>
            <w:tcBorders>
              <w:left w:val="nil"/>
              <w:bottom w:val="single" w:sz="12" w:space="0" w:color="auto"/>
              <w:right w:val="single" w:sz="12" w:space="0" w:color="auto"/>
            </w:tcBorders>
            <w:vAlign w:val="center"/>
          </w:tcPr>
          <w:p w14:paraId="33D2F6EE"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3.15</w:t>
            </w:r>
          </w:p>
        </w:tc>
        <w:tc>
          <w:tcPr>
            <w:tcW w:w="1350" w:type="dxa"/>
            <w:tcBorders>
              <w:bottom w:val="single" w:sz="12" w:space="0" w:color="auto"/>
              <w:right w:val="nil"/>
            </w:tcBorders>
          </w:tcPr>
          <w:p w14:paraId="3F57DEEE"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2.26</w:t>
            </w:r>
          </w:p>
        </w:tc>
        <w:tc>
          <w:tcPr>
            <w:tcW w:w="1170" w:type="dxa"/>
            <w:tcBorders>
              <w:left w:val="nil"/>
              <w:bottom w:val="single" w:sz="12" w:space="0" w:color="auto"/>
              <w:right w:val="nil"/>
            </w:tcBorders>
          </w:tcPr>
          <w:p w14:paraId="29101B77"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3.08</w:t>
            </w:r>
          </w:p>
        </w:tc>
        <w:tc>
          <w:tcPr>
            <w:tcW w:w="1260" w:type="dxa"/>
            <w:tcBorders>
              <w:left w:val="nil"/>
              <w:bottom w:val="single" w:sz="12" w:space="0" w:color="auto"/>
              <w:right w:val="nil"/>
            </w:tcBorders>
          </w:tcPr>
          <w:p w14:paraId="69FA7740"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2.05</w:t>
            </w:r>
          </w:p>
        </w:tc>
        <w:tc>
          <w:tcPr>
            <w:tcW w:w="1260" w:type="dxa"/>
            <w:tcBorders>
              <w:left w:val="nil"/>
              <w:bottom w:val="single" w:sz="12" w:space="0" w:color="auto"/>
              <w:right w:val="nil"/>
            </w:tcBorders>
            <w:vAlign w:val="center"/>
          </w:tcPr>
          <w:p w14:paraId="48BDB5FB" w14:textId="77777777" w:rsidR="004A7B9E" w:rsidRPr="00452352" w:rsidRDefault="004A7B9E" w:rsidP="008E173F">
            <w:pPr>
              <w:jc w:val="center"/>
              <w:rPr>
                <w:rFonts w:ascii="Times New Roman" w:hAnsi="Times New Roman"/>
                <w:b/>
                <w:bCs/>
                <w:sz w:val="24"/>
                <w:szCs w:val="24"/>
              </w:rPr>
            </w:pPr>
            <w:r w:rsidRPr="00452352">
              <w:rPr>
                <w:rFonts w:ascii="Times New Roman" w:hAnsi="Times New Roman"/>
                <w:b/>
                <w:bCs/>
                <w:sz w:val="24"/>
                <w:szCs w:val="24"/>
              </w:rPr>
              <w:t>3.49</w:t>
            </w:r>
          </w:p>
        </w:tc>
      </w:tr>
    </w:tbl>
    <w:p w14:paraId="03B6A5E3" w14:textId="7B64D064" w:rsidR="005D3B96" w:rsidRDefault="004A7B9E" w:rsidP="00936E13">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Note. </w:t>
      </w:r>
      <w:r>
        <w:rPr>
          <w:rFonts w:ascii="Times New Roman" w:hAnsi="Times New Roman" w:cs="Times New Roman"/>
          <w:sz w:val="24"/>
          <w:szCs w:val="24"/>
        </w:rPr>
        <w:t xml:space="preserve">We report median effect sizes (ES) and median lower and upper 95% confidence intervals across the various specifications, as well as the proportion of specifications with a </w:t>
      </w:r>
      <w:r>
        <w:rPr>
          <w:rFonts w:ascii="Times New Roman" w:hAnsi="Times New Roman" w:cs="Times New Roman"/>
          <w:i/>
          <w:iCs/>
          <w:sz w:val="24"/>
          <w:szCs w:val="24"/>
        </w:rPr>
        <w:t>p-</w:t>
      </w:r>
      <w:r>
        <w:rPr>
          <w:rFonts w:ascii="Times New Roman" w:hAnsi="Times New Roman" w:cs="Times New Roman"/>
          <w:sz w:val="24"/>
          <w:szCs w:val="24"/>
        </w:rPr>
        <w:t>value &lt; .05.</w:t>
      </w:r>
      <w:r>
        <w:rPr>
          <w:rFonts w:ascii="Times New Roman" w:hAnsi="Times New Roman" w:cs="Times New Roman"/>
          <w:i/>
          <w:iCs/>
          <w:sz w:val="24"/>
          <w:szCs w:val="24"/>
        </w:rPr>
        <w:t xml:space="preserve"> </w:t>
      </w:r>
      <w:r>
        <w:rPr>
          <w:rFonts w:ascii="Times New Roman" w:hAnsi="Times New Roman" w:cs="Times New Roman"/>
          <w:sz w:val="24"/>
          <w:szCs w:val="24"/>
        </w:rPr>
        <w:t xml:space="preserve">We also converted each </w:t>
      </w:r>
      <w:r>
        <w:rPr>
          <w:rFonts w:ascii="Times New Roman" w:hAnsi="Times New Roman" w:cs="Times New Roman"/>
          <w:i/>
          <w:iCs/>
          <w:sz w:val="24"/>
          <w:szCs w:val="24"/>
        </w:rPr>
        <w:t>p</w:t>
      </w:r>
      <w:r>
        <w:rPr>
          <w:rFonts w:ascii="Times New Roman" w:hAnsi="Times New Roman" w:cs="Times New Roman"/>
          <w:sz w:val="24"/>
          <w:szCs w:val="24"/>
        </w:rPr>
        <w:t xml:space="preserve">-value to a Z-score and then computed the average Z-score. </w:t>
      </w:r>
      <w:r>
        <w:rPr>
          <w:rFonts w:ascii="Times New Roman" w:hAnsi="Times New Roman" w:cs="Times New Roman"/>
          <w:sz w:val="24"/>
          <w:szCs w:val="24"/>
          <w:vertAlign w:val="superscript"/>
        </w:rPr>
        <w:t>a</w:t>
      </w:r>
      <w:r>
        <w:rPr>
          <w:rFonts w:ascii="Times New Roman" w:hAnsi="Times New Roman" w:cs="Times New Roman"/>
          <w:sz w:val="24"/>
          <w:szCs w:val="24"/>
        </w:rPr>
        <w:t xml:space="preserve"> and </w:t>
      </w:r>
      <w:r>
        <w:rPr>
          <w:rFonts w:ascii="Times New Roman" w:hAnsi="Times New Roman" w:cs="Times New Roman"/>
          <w:sz w:val="24"/>
          <w:szCs w:val="24"/>
          <w:vertAlign w:val="superscript"/>
        </w:rPr>
        <w:t xml:space="preserve">b </w:t>
      </w:r>
      <w:r>
        <w:rPr>
          <w:rFonts w:ascii="Times New Roman" w:hAnsi="Times New Roman" w:cs="Times New Roman"/>
          <w:sz w:val="24"/>
          <w:szCs w:val="24"/>
        </w:rPr>
        <w:t xml:space="preserve">indicate informant-report and administrative data, respectively. The </w:t>
      </w:r>
      <w:proofErr w:type="gramStart"/>
      <w:r>
        <w:rPr>
          <w:rFonts w:ascii="Times New Roman" w:hAnsi="Times New Roman" w:cs="Times New Roman"/>
          <w:sz w:val="24"/>
          <w:szCs w:val="24"/>
        </w:rPr>
        <w:t>ES</w:t>
      </w:r>
      <w:proofErr w:type="gramEnd"/>
      <w:r>
        <w:rPr>
          <w:rFonts w:ascii="Times New Roman" w:hAnsi="Times New Roman" w:cs="Times New Roman"/>
          <w:sz w:val="24"/>
          <w:szCs w:val="24"/>
        </w:rPr>
        <w:t xml:space="preserve"> that were statistically significant across all indices are bolded with an *.</w:t>
      </w:r>
    </w:p>
    <w:p w14:paraId="052FA723" w14:textId="79DD5776" w:rsidR="005D3B96" w:rsidRDefault="005D3B96">
      <w:pPr>
        <w:rPr>
          <w:rFonts w:ascii="Times New Roman" w:hAnsi="Times New Roman" w:cs="Times New Roman"/>
          <w:b/>
          <w:bCs/>
          <w:sz w:val="24"/>
          <w:szCs w:val="24"/>
        </w:rPr>
      </w:pPr>
    </w:p>
    <w:p w14:paraId="3B714EF1" w14:textId="04EE3DCF" w:rsidR="00CB6C01" w:rsidRDefault="00CB6C01">
      <w:pPr>
        <w:rPr>
          <w:rFonts w:ascii="Times New Roman" w:hAnsi="Times New Roman" w:cs="Times New Roman"/>
          <w:b/>
          <w:bCs/>
          <w:sz w:val="24"/>
          <w:szCs w:val="24"/>
        </w:rPr>
      </w:pPr>
    </w:p>
    <w:p w14:paraId="42C5E1E6" w14:textId="3C781B22" w:rsidR="00CB6C01" w:rsidRDefault="00CB6C01">
      <w:pPr>
        <w:rPr>
          <w:rFonts w:ascii="Times New Roman" w:hAnsi="Times New Roman" w:cs="Times New Roman"/>
          <w:b/>
          <w:bCs/>
          <w:sz w:val="24"/>
          <w:szCs w:val="24"/>
        </w:rPr>
      </w:pPr>
    </w:p>
    <w:p w14:paraId="66B5B460" w14:textId="63D5BC96" w:rsidR="00CB6C01" w:rsidRDefault="00CB6C01">
      <w:pPr>
        <w:rPr>
          <w:rFonts w:ascii="Times New Roman" w:hAnsi="Times New Roman" w:cs="Times New Roman"/>
          <w:b/>
          <w:bCs/>
          <w:sz w:val="24"/>
          <w:szCs w:val="24"/>
        </w:rPr>
      </w:pPr>
    </w:p>
    <w:p w14:paraId="19B0AE0C" w14:textId="2A11B6E3" w:rsidR="00CB6C01" w:rsidRDefault="00CB6C01">
      <w:pPr>
        <w:rPr>
          <w:rFonts w:ascii="Times New Roman" w:hAnsi="Times New Roman" w:cs="Times New Roman"/>
          <w:b/>
          <w:bCs/>
          <w:sz w:val="24"/>
          <w:szCs w:val="24"/>
        </w:rPr>
      </w:pPr>
    </w:p>
    <w:p w14:paraId="04A1E29B" w14:textId="517F1A5E" w:rsidR="00CB6C01" w:rsidRDefault="00CB6C01">
      <w:pPr>
        <w:rPr>
          <w:rFonts w:ascii="Times New Roman" w:hAnsi="Times New Roman" w:cs="Times New Roman"/>
          <w:b/>
          <w:bCs/>
          <w:sz w:val="24"/>
          <w:szCs w:val="24"/>
        </w:rPr>
      </w:pPr>
    </w:p>
    <w:p w14:paraId="14235B9F" w14:textId="2B7EA394" w:rsidR="00CB6C01" w:rsidRDefault="00CB6C01">
      <w:pPr>
        <w:rPr>
          <w:rFonts w:ascii="Times New Roman" w:hAnsi="Times New Roman" w:cs="Times New Roman"/>
          <w:b/>
          <w:bCs/>
          <w:sz w:val="24"/>
          <w:szCs w:val="24"/>
        </w:rPr>
      </w:pPr>
    </w:p>
    <w:p w14:paraId="34561CD0" w14:textId="669C2C4E" w:rsidR="00CB6C01" w:rsidRDefault="00CB6C01">
      <w:pPr>
        <w:rPr>
          <w:rFonts w:ascii="Times New Roman" w:hAnsi="Times New Roman" w:cs="Times New Roman"/>
          <w:b/>
          <w:bCs/>
          <w:sz w:val="24"/>
          <w:szCs w:val="24"/>
        </w:rPr>
      </w:pPr>
    </w:p>
    <w:p w14:paraId="105C96E3" w14:textId="4B15412E" w:rsidR="00CB6C01" w:rsidRDefault="00CB6C01">
      <w:pPr>
        <w:rPr>
          <w:rFonts w:ascii="Times New Roman" w:hAnsi="Times New Roman" w:cs="Times New Roman"/>
          <w:b/>
          <w:bCs/>
          <w:sz w:val="24"/>
          <w:szCs w:val="24"/>
        </w:rPr>
      </w:pPr>
    </w:p>
    <w:p w14:paraId="09725CD4" w14:textId="035FDFB3" w:rsidR="00CB6C01" w:rsidRDefault="00CB6C01">
      <w:pPr>
        <w:rPr>
          <w:rFonts w:ascii="Times New Roman" w:hAnsi="Times New Roman" w:cs="Times New Roman"/>
          <w:b/>
          <w:bCs/>
          <w:sz w:val="24"/>
          <w:szCs w:val="24"/>
        </w:rPr>
      </w:pPr>
    </w:p>
    <w:p w14:paraId="10158FBA" w14:textId="263780CE" w:rsidR="00CB6C01" w:rsidRDefault="00CB6C01">
      <w:pPr>
        <w:rPr>
          <w:rFonts w:ascii="Times New Roman" w:hAnsi="Times New Roman" w:cs="Times New Roman"/>
          <w:b/>
          <w:bCs/>
          <w:sz w:val="24"/>
          <w:szCs w:val="24"/>
        </w:rPr>
      </w:pPr>
    </w:p>
    <w:p w14:paraId="1494E9D6" w14:textId="77777777" w:rsidR="00323AC5" w:rsidRDefault="00323AC5">
      <w:pPr>
        <w:rPr>
          <w:rFonts w:ascii="Times New Roman" w:hAnsi="Times New Roman" w:cs="Times New Roman"/>
          <w:b/>
          <w:bCs/>
          <w:sz w:val="24"/>
          <w:szCs w:val="24"/>
        </w:rPr>
      </w:pPr>
      <w:r>
        <w:rPr>
          <w:rFonts w:ascii="Times New Roman" w:hAnsi="Times New Roman" w:cs="Times New Roman"/>
          <w:b/>
          <w:bCs/>
          <w:sz w:val="24"/>
          <w:szCs w:val="24"/>
        </w:rPr>
        <w:br w:type="page"/>
      </w:r>
    </w:p>
    <w:p w14:paraId="3A551516" w14:textId="5182737A" w:rsidR="00CB6C01" w:rsidRDefault="00CB6C01" w:rsidP="00CB6C0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521A89E4" w14:textId="71EBF06B" w:rsidR="005F0A2A" w:rsidRDefault="005F0A2A" w:rsidP="005F0A2A">
      <w:pPr>
        <w:spacing w:line="480" w:lineRule="auto"/>
        <w:ind w:left="720" w:hanging="720"/>
        <w:rPr>
          <w:rFonts w:ascii="Times New Roman" w:hAnsi="Times New Roman" w:cs="Times New Roman"/>
          <w:color w:val="222222"/>
          <w:sz w:val="24"/>
          <w:szCs w:val="24"/>
          <w:shd w:val="clear" w:color="auto" w:fill="FFFFFF"/>
        </w:rPr>
      </w:pPr>
      <w:r w:rsidRPr="0061056D">
        <w:rPr>
          <w:rFonts w:ascii="Times New Roman" w:hAnsi="Times New Roman" w:cs="Times New Roman"/>
          <w:color w:val="222222"/>
          <w:sz w:val="24"/>
          <w:szCs w:val="24"/>
          <w:shd w:val="clear" w:color="auto" w:fill="FFFFFF"/>
        </w:rPr>
        <w:t>Hayward, C., &amp; Sanborn, K. (2002). Puberty and the emergence of gender differences in psychopathology. </w:t>
      </w:r>
      <w:r w:rsidRPr="0061056D">
        <w:rPr>
          <w:rFonts w:ascii="Times New Roman" w:hAnsi="Times New Roman" w:cs="Times New Roman"/>
          <w:i/>
          <w:iCs/>
          <w:color w:val="222222"/>
          <w:sz w:val="24"/>
          <w:szCs w:val="24"/>
          <w:shd w:val="clear" w:color="auto" w:fill="FFFFFF"/>
        </w:rPr>
        <w:t>Journal of Adolescent Health</w:t>
      </w:r>
      <w:r w:rsidRPr="0061056D">
        <w:rPr>
          <w:rFonts w:ascii="Times New Roman" w:hAnsi="Times New Roman" w:cs="Times New Roman"/>
          <w:color w:val="222222"/>
          <w:sz w:val="24"/>
          <w:szCs w:val="24"/>
          <w:shd w:val="clear" w:color="auto" w:fill="FFFFFF"/>
        </w:rPr>
        <w:t>, </w:t>
      </w:r>
      <w:r w:rsidRPr="0061056D">
        <w:rPr>
          <w:rFonts w:ascii="Times New Roman" w:hAnsi="Times New Roman" w:cs="Times New Roman"/>
          <w:i/>
          <w:iCs/>
          <w:color w:val="222222"/>
          <w:sz w:val="24"/>
          <w:szCs w:val="24"/>
          <w:shd w:val="clear" w:color="auto" w:fill="FFFFFF"/>
        </w:rPr>
        <w:t>30</w:t>
      </w:r>
      <w:r w:rsidRPr="0061056D">
        <w:rPr>
          <w:rFonts w:ascii="Times New Roman" w:hAnsi="Times New Roman" w:cs="Times New Roman"/>
          <w:color w:val="222222"/>
          <w:sz w:val="24"/>
          <w:szCs w:val="24"/>
          <w:shd w:val="clear" w:color="auto" w:fill="FFFFFF"/>
        </w:rPr>
        <w:t>(4), 49-58.</w:t>
      </w:r>
    </w:p>
    <w:p w14:paraId="27C6E171" w14:textId="34F2B737" w:rsidR="00CB6C01" w:rsidRDefault="00CB6C01" w:rsidP="00CB6C01">
      <w:pPr>
        <w:spacing w:line="480" w:lineRule="auto"/>
        <w:ind w:left="720" w:hanging="720"/>
        <w:rPr>
          <w:rFonts w:ascii="Times New Roman" w:hAnsi="Times New Roman" w:cs="Times New Roman"/>
          <w:color w:val="222222"/>
          <w:sz w:val="24"/>
          <w:szCs w:val="24"/>
          <w:shd w:val="clear" w:color="auto" w:fill="FFFFFF"/>
        </w:rPr>
      </w:pPr>
      <w:r w:rsidRPr="00320E05">
        <w:rPr>
          <w:rFonts w:ascii="Times New Roman" w:hAnsi="Times New Roman" w:cs="Times New Roman"/>
          <w:color w:val="222222"/>
          <w:sz w:val="24"/>
          <w:szCs w:val="24"/>
          <w:shd w:val="clear" w:color="auto" w:fill="FFFFFF"/>
        </w:rPr>
        <w:t>Kind, A. J., &amp; Buckingham, W. R. (2018). Making neighborhood-disadvantage metrics accessible—the neighborhood atlas. </w:t>
      </w:r>
      <w:r w:rsidRPr="00320E05">
        <w:rPr>
          <w:rFonts w:ascii="Times New Roman" w:hAnsi="Times New Roman" w:cs="Times New Roman"/>
          <w:i/>
          <w:iCs/>
          <w:color w:val="222222"/>
          <w:sz w:val="24"/>
          <w:szCs w:val="24"/>
          <w:shd w:val="clear" w:color="auto" w:fill="FFFFFF"/>
        </w:rPr>
        <w:t>The New England journal of medicine</w:t>
      </w:r>
      <w:r w:rsidRPr="00320E05">
        <w:rPr>
          <w:rFonts w:ascii="Times New Roman" w:hAnsi="Times New Roman" w:cs="Times New Roman"/>
          <w:color w:val="222222"/>
          <w:sz w:val="24"/>
          <w:szCs w:val="24"/>
          <w:shd w:val="clear" w:color="auto" w:fill="FFFFFF"/>
        </w:rPr>
        <w:t>, </w:t>
      </w:r>
      <w:r w:rsidRPr="00320E05">
        <w:rPr>
          <w:rFonts w:ascii="Times New Roman" w:hAnsi="Times New Roman" w:cs="Times New Roman"/>
          <w:i/>
          <w:iCs/>
          <w:color w:val="222222"/>
          <w:sz w:val="24"/>
          <w:szCs w:val="24"/>
          <w:shd w:val="clear" w:color="auto" w:fill="FFFFFF"/>
        </w:rPr>
        <w:t>378</w:t>
      </w:r>
      <w:r w:rsidRPr="00320E05">
        <w:rPr>
          <w:rFonts w:ascii="Times New Roman" w:hAnsi="Times New Roman" w:cs="Times New Roman"/>
          <w:color w:val="222222"/>
          <w:sz w:val="24"/>
          <w:szCs w:val="24"/>
          <w:shd w:val="clear" w:color="auto" w:fill="FFFFFF"/>
        </w:rPr>
        <w:t>(26), 2456.</w:t>
      </w:r>
    </w:p>
    <w:p w14:paraId="15A6755D" w14:textId="332183B7" w:rsidR="00CB6C01" w:rsidRPr="00320E05" w:rsidRDefault="00CB6C01" w:rsidP="00CB6C01">
      <w:pPr>
        <w:spacing w:line="480" w:lineRule="auto"/>
        <w:ind w:left="720" w:hanging="720"/>
        <w:rPr>
          <w:rFonts w:ascii="Times New Roman" w:hAnsi="Times New Roman" w:cs="Times New Roman"/>
          <w:color w:val="222222"/>
          <w:sz w:val="24"/>
          <w:szCs w:val="24"/>
          <w:shd w:val="clear" w:color="auto" w:fill="FFFFFF"/>
        </w:rPr>
      </w:pPr>
      <w:r w:rsidRPr="00320E05">
        <w:rPr>
          <w:rFonts w:ascii="Times New Roman" w:hAnsi="Times New Roman" w:cs="Times New Roman"/>
          <w:color w:val="222222"/>
          <w:sz w:val="24"/>
          <w:szCs w:val="24"/>
          <w:shd w:val="clear" w:color="auto" w:fill="FFFFFF"/>
        </w:rPr>
        <w:t>Singh, G. K. (2003). Area deprivation and widening inequalities in US mortality, 1969–1998. </w:t>
      </w:r>
      <w:r w:rsidRPr="00320E05">
        <w:rPr>
          <w:rFonts w:ascii="Times New Roman" w:hAnsi="Times New Roman" w:cs="Times New Roman"/>
          <w:i/>
          <w:iCs/>
          <w:color w:val="222222"/>
          <w:sz w:val="24"/>
          <w:szCs w:val="24"/>
          <w:shd w:val="clear" w:color="auto" w:fill="FFFFFF"/>
        </w:rPr>
        <w:t>American journal of public health</w:t>
      </w:r>
      <w:r w:rsidRPr="00320E05">
        <w:rPr>
          <w:rFonts w:ascii="Times New Roman" w:hAnsi="Times New Roman" w:cs="Times New Roman"/>
          <w:color w:val="222222"/>
          <w:sz w:val="24"/>
          <w:szCs w:val="24"/>
          <w:shd w:val="clear" w:color="auto" w:fill="FFFFFF"/>
        </w:rPr>
        <w:t>, </w:t>
      </w:r>
      <w:r w:rsidRPr="00320E05">
        <w:rPr>
          <w:rFonts w:ascii="Times New Roman" w:hAnsi="Times New Roman" w:cs="Times New Roman"/>
          <w:i/>
          <w:iCs/>
          <w:color w:val="222222"/>
          <w:sz w:val="24"/>
          <w:szCs w:val="24"/>
          <w:shd w:val="clear" w:color="auto" w:fill="FFFFFF"/>
        </w:rPr>
        <w:t>93</w:t>
      </w:r>
      <w:r w:rsidRPr="00320E05">
        <w:rPr>
          <w:rFonts w:ascii="Times New Roman" w:hAnsi="Times New Roman" w:cs="Times New Roman"/>
          <w:color w:val="222222"/>
          <w:sz w:val="24"/>
          <w:szCs w:val="24"/>
          <w:shd w:val="clear" w:color="auto" w:fill="FFFFFF"/>
        </w:rPr>
        <w:t>(7), 1137-1143.</w:t>
      </w:r>
    </w:p>
    <w:p w14:paraId="03D09C24" w14:textId="77777777" w:rsidR="00CB6C01" w:rsidRPr="00CB6C01" w:rsidRDefault="00CB6C01" w:rsidP="00CB6C01">
      <w:pPr>
        <w:rPr>
          <w:rFonts w:ascii="Times New Roman" w:hAnsi="Times New Roman" w:cs="Times New Roman"/>
          <w:sz w:val="24"/>
          <w:szCs w:val="24"/>
        </w:rPr>
      </w:pPr>
    </w:p>
    <w:sectPr w:rsidR="00CB6C01" w:rsidRPr="00CB6C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C549" w14:textId="77777777" w:rsidR="00B84A55" w:rsidRDefault="00B84A55" w:rsidP="00EA5826">
      <w:pPr>
        <w:spacing w:after="0" w:line="240" w:lineRule="auto"/>
      </w:pPr>
      <w:r>
        <w:separator/>
      </w:r>
    </w:p>
  </w:endnote>
  <w:endnote w:type="continuationSeparator" w:id="0">
    <w:p w14:paraId="33741832" w14:textId="77777777" w:rsidR="00B84A55" w:rsidRDefault="00B84A55" w:rsidP="00EA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EC7B" w14:textId="77777777" w:rsidR="00B84A55" w:rsidRDefault="00B84A55" w:rsidP="00EA5826">
      <w:pPr>
        <w:spacing w:after="0" w:line="240" w:lineRule="auto"/>
      </w:pPr>
      <w:r>
        <w:separator/>
      </w:r>
    </w:p>
  </w:footnote>
  <w:footnote w:type="continuationSeparator" w:id="0">
    <w:p w14:paraId="1B9BF5F6" w14:textId="77777777" w:rsidR="00B84A55" w:rsidRDefault="00B84A55" w:rsidP="00EA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920643"/>
      <w:docPartObj>
        <w:docPartGallery w:val="Page Numbers (Top of Page)"/>
        <w:docPartUnique/>
      </w:docPartObj>
    </w:sdtPr>
    <w:sdtEndPr>
      <w:rPr>
        <w:noProof/>
      </w:rPr>
    </w:sdtEndPr>
    <w:sdtContent>
      <w:p w14:paraId="2FF21497" w14:textId="19406CDA" w:rsidR="00EA5826" w:rsidRDefault="00EA58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4C6210" w14:textId="77777777" w:rsidR="00EA5826" w:rsidRDefault="00EA5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A1AF8"/>
    <w:multiLevelType w:val="hybridMultilevel"/>
    <w:tmpl w:val="0188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529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6C"/>
    <w:rsid w:val="0000752F"/>
    <w:rsid w:val="00036737"/>
    <w:rsid w:val="00046AB0"/>
    <w:rsid w:val="00056365"/>
    <w:rsid w:val="00056736"/>
    <w:rsid w:val="00103EA2"/>
    <w:rsid w:val="00133818"/>
    <w:rsid w:val="00152581"/>
    <w:rsid w:val="001627D1"/>
    <w:rsid w:val="00165C65"/>
    <w:rsid w:val="00173579"/>
    <w:rsid w:val="001A6E25"/>
    <w:rsid w:val="001D08F4"/>
    <w:rsid w:val="001D13FA"/>
    <w:rsid w:val="00217BE3"/>
    <w:rsid w:val="002644E2"/>
    <w:rsid w:val="00265737"/>
    <w:rsid w:val="002673C5"/>
    <w:rsid w:val="002765F0"/>
    <w:rsid w:val="002872F8"/>
    <w:rsid w:val="002A1CD0"/>
    <w:rsid w:val="002A460B"/>
    <w:rsid w:val="002E5D99"/>
    <w:rsid w:val="00307920"/>
    <w:rsid w:val="00323AC5"/>
    <w:rsid w:val="00327141"/>
    <w:rsid w:val="003579FC"/>
    <w:rsid w:val="00374DC6"/>
    <w:rsid w:val="0038627A"/>
    <w:rsid w:val="003A039A"/>
    <w:rsid w:val="0041415B"/>
    <w:rsid w:val="004222FA"/>
    <w:rsid w:val="00484A3D"/>
    <w:rsid w:val="004A3AD9"/>
    <w:rsid w:val="004A7B9E"/>
    <w:rsid w:val="004D10E7"/>
    <w:rsid w:val="004D1D47"/>
    <w:rsid w:val="0050186D"/>
    <w:rsid w:val="00507E27"/>
    <w:rsid w:val="00540B23"/>
    <w:rsid w:val="00551A56"/>
    <w:rsid w:val="005860BA"/>
    <w:rsid w:val="0058692D"/>
    <w:rsid w:val="00591C4C"/>
    <w:rsid w:val="005C1274"/>
    <w:rsid w:val="005D3B96"/>
    <w:rsid w:val="005F0A2A"/>
    <w:rsid w:val="005F2FBF"/>
    <w:rsid w:val="005F396C"/>
    <w:rsid w:val="005F6460"/>
    <w:rsid w:val="005F7706"/>
    <w:rsid w:val="00610B6C"/>
    <w:rsid w:val="006B1ECF"/>
    <w:rsid w:val="006C2DBD"/>
    <w:rsid w:val="006C6F50"/>
    <w:rsid w:val="006D63E0"/>
    <w:rsid w:val="006E4398"/>
    <w:rsid w:val="007010FD"/>
    <w:rsid w:val="00740215"/>
    <w:rsid w:val="007459DA"/>
    <w:rsid w:val="007A4703"/>
    <w:rsid w:val="007E2C3E"/>
    <w:rsid w:val="007F6B11"/>
    <w:rsid w:val="008207C5"/>
    <w:rsid w:val="008208FF"/>
    <w:rsid w:val="00855795"/>
    <w:rsid w:val="008654AB"/>
    <w:rsid w:val="008956BD"/>
    <w:rsid w:val="008B0EA0"/>
    <w:rsid w:val="008C223A"/>
    <w:rsid w:val="008C6987"/>
    <w:rsid w:val="008F0654"/>
    <w:rsid w:val="008F2F28"/>
    <w:rsid w:val="008F31F6"/>
    <w:rsid w:val="008F64E4"/>
    <w:rsid w:val="00900958"/>
    <w:rsid w:val="00901EA0"/>
    <w:rsid w:val="00913485"/>
    <w:rsid w:val="009304CC"/>
    <w:rsid w:val="00936E13"/>
    <w:rsid w:val="0093763C"/>
    <w:rsid w:val="00950248"/>
    <w:rsid w:val="0096282F"/>
    <w:rsid w:val="00975644"/>
    <w:rsid w:val="0098704D"/>
    <w:rsid w:val="009925BE"/>
    <w:rsid w:val="009A7932"/>
    <w:rsid w:val="009B1A8E"/>
    <w:rsid w:val="009B37DE"/>
    <w:rsid w:val="009E72B3"/>
    <w:rsid w:val="00A15ABC"/>
    <w:rsid w:val="00A676F7"/>
    <w:rsid w:val="00A70195"/>
    <w:rsid w:val="00A82798"/>
    <w:rsid w:val="00AB0788"/>
    <w:rsid w:val="00AB17DA"/>
    <w:rsid w:val="00B84A55"/>
    <w:rsid w:val="00BA6A31"/>
    <w:rsid w:val="00C10BA6"/>
    <w:rsid w:val="00C16EC1"/>
    <w:rsid w:val="00C21203"/>
    <w:rsid w:val="00C2305B"/>
    <w:rsid w:val="00C26C06"/>
    <w:rsid w:val="00C271B0"/>
    <w:rsid w:val="00C6176C"/>
    <w:rsid w:val="00CA3C95"/>
    <w:rsid w:val="00CB6C01"/>
    <w:rsid w:val="00CC3594"/>
    <w:rsid w:val="00CC7D25"/>
    <w:rsid w:val="00CD3762"/>
    <w:rsid w:val="00D03359"/>
    <w:rsid w:val="00D25011"/>
    <w:rsid w:val="00D4646B"/>
    <w:rsid w:val="00D62AEE"/>
    <w:rsid w:val="00D74E6C"/>
    <w:rsid w:val="00DA3E39"/>
    <w:rsid w:val="00DA4FDA"/>
    <w:rsid w:val="00DA6901"/>
    <w:rsid w:val="00DD4879"/>
    <w:rsid w:val="00DF42DC"/>
    <w:rsid w:val="00E0138F"/>
    <w:rsid w:val="00E477C3"/>
    <w:rsid w:val="00E653D7"/>
    <w:rsid w:val="00E81260"/>
    <w:rsid w:val="00E8441F"/>
    <w:rsid w:val="00E920FF"/>
    <w:rsid w:val="00EA41CE"/>
    <w:rsid w:val="00EA5826"/>
    <w:rsid w:val="00ED04C6"/>
    <w:rsid w:val="00ED6046"/>
    <w:rsid w:val="00ED7E7D"/>
    <w:rsid w:val="00F05DCC"/>
    <w:rsid w:val="00F10C94"/>
    <w:rsid w:val="00F271BD"/>
    <w:rsid w:val="00F6050F"/>
    <w:rsid w:val="00F61513"/>
    <w:rsid w:val="00F70FFB"/>
    <w:rsid w:val="00F90A71"/>
    <w:rsid w:val="00FC040C"/>
    <w:rsid w:val="00FC2C1C"/>
    <w:rsid w:val="00FC6843"/>
    <w:rsid w:val="00FD2F7B"/>
    <w:rsid w:val="00FE2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F8BB"/>
  <w15:chartTrackingRefBased/>
  <w15:docId w15:val="{D8AEC83F-B48D-4804-87F5-110F68FD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752F"/>
    <w:rPr>
      <w:sz w:val="16"/>
      <w:szCs w:val="16"/>
    </w:rPr>
  </w:style>
  <w:style w:type="paragraph" w:styleId="CommentText">
    <w:name w:val="annotation text"/>
    <w:basedOn w:val="Normal"/>
    <w:link w:val="CommentTextChar"/>
    <w:uiPriority w:val="99"/>
    <w:unhideWhenUsed/>
    <w:rsid w:val="0000752F"/>
    <w:pPr>
      <w:spacing w:line="240" w:lineRule="auto"/>
    </w:pPr>
    <w:rPr>
      <w:sz w:val="20"/>
      <w:szCs w:val="20"/>
    </w:rPr>
  </w:style>
  <w:style w:type="character" w:customStyle="1" w:styleId="CommentTextChar">
    <w:name w:val="Comment Text Char"/>
    <w:basedOn w:val="DefaultParagraphFont"/>
    <w:link w:val="CommentText"/>
    <w:uiPriority w:val="99"/>
    <w:rsid w:val="0000752F"/>
    <w:rPr>
      <w:sz w:val="20"/>
      <w:szCs w:val="20"/>
    </w:rPr>
  </w:style>
  <w:style w:type="paragraph" w:styleId="CommentSubject">
    <w:name w:val="annotation subject"/>
    <w:basedOn w:val="CommentText"/>
    <w:next w:val="CommentText"/>
    <w:link w:val="CommentSubjectChar"/>
    <w:uiPriority w:val="99"/>
    <w:semiHidden/>
    <w:unhideWhenUsed/>
    <w:rsid w:val="00610B6C"/>
    <w:rPr>
      <w:b/>
      <w:bCs/>
    </w:rPr>
  </w:style>
  <w:style w:type="character" w:customStyle="1" w:styleId="CommentSubjectChar">
    <w:name w:val="Comment Subject Char"/>
    <w:basedOn w:val="CommentTextChar"/>
    <w:link w:val="CommentSubject"/>
    <w:uiPriority w:val="99"/>
    <w:semiHidden/>
    <w:rsid w:val="00610B6C"/>
    <w:rPr>
      <w:b/>
      <w:bCs/>
      <w:sz w:val="20"/>
      <w:szCs w:val="20"/>
    </w:rPr>
  </w:style>
  <w:style w:type="paragraph" w:styleId="ListParagraph">
    <w:name w:val="List Paragraph"/>
    <w:basedOn w:val="Normal"/>
    <w:uiPriority w:val="34"/>
    <w:qFormat/>
    <w:rsid w:val="008C6987"/>
    <w:pPr>
      <w:ind w:left="720"/>
      <w:contextualSpacing/>
    </w:pPr>
  </w:style>
  <w:style w:type="paragraph" w:styleId="Header">
    <w:name w:val="header"/>
    <w:basedOn w:val="Normal"/>
    <w:link w:val="HeaderChar"/>
    <w:uiPriority w:val="99"/>
    <w:unhideWhenUsed/>
    <w:rsid w:val="00EA5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26"/>
  </w:style>
  <w:style w:type="paragraph" w:styleId="Footer">
    <w:name w:val="footer"/>
    <w:basedOn w:val="Normal"/>
    <w:link w:val="FooterChar"/>
    <w:uiPriority w:val="99"/>
    <w:unhideWhenUsed/>
    <w:rsid w:val="00EA5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26"/>
  </w:style>
  <w:style w:type="paragraph" w:styleId="Revision">
    <w:name w:val="Revision"/>
    <w:hidden/>
    <w:uiPriority w:val="99"/>
    <w:semiHidden/>
    <w:rsid w:val="007E2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3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F05E-4008-424F-AB33-D93E2B7B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dc:creator>
  <cp:keywords/>
  <dc:description/>
  <cp:lastModifiedBy>Carroll, Sarah</cp:lastModifiedBy>
  <cp:revision>2</cp:revision>
  <dcterms:created xsi:type="dcterms:W3CDTF">2022-10-06T18:27:00Z</dcterms:created>
  <dcterms:modified xsi:type="dcterms:W3CDTF">2022-10-06T18:27:00Z</dcterms:modified>
</cp:coreProperties>
</file>