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117E9" w14:textId="77777777" w:rsidR="000066D4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/>
          <w:color w:val="000000"/>
          <w:szCs w:val="26"/>
          <w:lang w:eastAsia="ja-JP"/>
        </w:rPr>
      </w:pPr>
      <w:bookmarkStart w:id="0" w:name="OLE_LINK18"/>
      <w:bookmarkStart w:id="1" w:name="OLE_LINK19"/>
      <w:r>
        <w:rPr>
          <w:rFonts w:eastAsiaTheme="minorEastAsia" w:cs="Times Roman"/>
          <w:b/>
          <w:color w:val="000000"/>
          <w:szCs w:val="26"/>
          <w:lang w:eastAsia="ja-JP"/>
        </w:rPr>
        <w:t>Supplementary Material</w:t>
      </w:r>
    </w:p>
    <w:p w14:paraId="089F1F56" w14:textId="77777777" w:rsidR="000066D4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/>
          <w:color w:val="000000"/>
          <w:szCs w:val="26"/>
          <w:lang w:eastAsia="ja-JP"/>
        </w:rPr>
      </w:pPr>
      <w:r w:rsidRPr="000066D4">
        <w:rPr>
          <w:rFonts w:eastAsiaTheme="minorEastAsia" w:cs="Times Roman"/>
          <w:b/>
          <w:color w:val="000000"/>
          <w:szCs w:val="26"/>
          <w:lang w:eastAsia="ja-JP"/>
        </w:rPr>
        <w:t xml:space="preserve">The Temple of Quetzalcoatl, Teotihuacán: new data on the origins of the sacrificial victims  </w:t>
      </w:r>
    </w:p>
    <w:p w14:paraId="5B81E9FA" w14:textId="4E0B9D8E" w:rsidR="000066D4" w:rsidRPr="000066D4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color w:val="000000"/>
          <w:szCs w:val="26"/>
          <w:lang w:eastAsia="ja-JP"/>
        </w:rPr>
      </w:pPr>
      <w:r w:rsidRPr="000066D4">
        <w:rPr>
          <w:rFonts w:eastAsiaTheme="minorEastAsia" w:cs="Times Roman"/>
          <w:color w:val="000000"/>
          <w:szCs w:val="26"/>
          <w:lang w:eastAsia="ja-JP"/>
        </w:rPr>
        <w:t>T. Douglas Price, Michael Spence, Fred J. Longstaffe</w:t>
      </w:r>
      <w:r w:rsidR="00CC2249">
        <w:rPr>
          <w:rFonts w:eastAsiaTheme="minorEastAsia" w:cs="Times Roman"/>
          <w:color w:val="000000"/>
          <w:szCs w:val="26"/>
          <w:lang w:eastAsia="ja-JP"/>
        </w:rPr>
        <w:t>,</w:t>
      </w:r>
      <w:r w:rsidR="00CC2249" w:rsidRPr="00CC2249">
        <w:rPr>
          <w:rFonts w:eastAsiaTheme="minorEastAsia" w:cs="Times Roman"/>
          <w:color w:val="000000"/>
          <w:szCs w:val="26"/>
          <w:lang w:eastAsia="ja-JP"/>
        </w:rPr>
        <w:t xml:space="preserve"> </w:t>
      </w:r>
      <w:r w:rsidR="00CC2249" w:rsidRPr="000066D4">
        <w:rPr>
          <w:rFonts w:eastAsiaTheme="minorEastAsia" w:cs="Times Roman"/>
          <w:color w:val="000000"/>
          <w:szCs w:val="26"/>
          <w:lang w:eastAsia="ja-JP"/>
        </w:rPr>
        <w:t xml:space="preserve">and </w:t>
      </w:r>
      <w:r w:rsidR="00CC2249">
        <w:rPr>
          <w:rFonts w:eastAsiaTheme="minorEastAsia" w:cs="Times Roman"/>
          <w:color w:val="000000"/>
          <w:szCs w:val="26"/>
          <w:lang w:eastAsia="ja-JP"/>
        </w:rPr>
        <w:t>Christine D. White</w:t>
      </w:r>
    </w:p>
    <w:p w14:paraId="21F9FD74" w14:textId="77777777" w:rsidR="000066D4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/>
          <w:color w:val="000000"/>
          <w:szCs w:val="26"/>
          <w:lang w:eastAsia="ja-JP"/>
        </w:rPr>
      </w:pPr>
    </w:p>
    <w:p w14:paraId="0E7D189F" w14:textId="77777777" w:rsidR="000066D4" w:rsidRPr="001B1B72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b/>
          <w:color w:val="000000"/>
          <w:szCs w:val="26"/>
          <w:lang w:eastAsia="ja-JP"/>
        </w:rPr>
      </w:pPr>
      <w:r>
        <w:rPr>
          <w:rFonts w:eastAsiaTheme="minorEastAsia" w:cs="Times Roman"/>
          <w:b/>
          <w:color w:val="000000"/>
          <w:szCs w:val="26"/>
          <w:lang w:eastAsia="ja-JP"/>
        </w:rPr>
        <w:t>Oxygen Isotopes i</w:t>
      </w:r>
      <w:r w:rsidRPr="001B1B72">
        <w:rPr>
          <w:rFonts w:eastAsiaTheme="minorEastAsia" w:cs="Times Roman"/>
          <w:b/>
          <w:color w:val="000000"/>
          <w:szCs w:val="26"/>
          <w:lang w:eastAsia="ja-JP"/>
        </w:rPr>
        <w:t xml:space="preserve">n </w:t>
      </w:r>
      <w:r w:rsidR="0013558F">
        <w:rPr>
          <w:rFonts w:eastAsiaTheme="minorEastAsia" w:cs="Times Roman"/>
          <w:b/>
          <w:color w:val="000000"/>
          <w:szCs w:val="26"/>
          <w:lang w:eastAsia="ja-JP"/>
        </w:rPr>
        <w:t xml:space="preserve">Bone and </w:t>
      </w:r>
      <w:r w:rsidRPr="001B1B72">
        <w:rPr>
          <w:rFonts w:eastAsiaTheme="minorEastAsia" w:cs="Times Roman"/>
          <w:b/>
          <w:color w:val="000000"/>
          <w:szCs w:val="26"/>
          <w:lang w:eastAsia="ja-JP"/>
        </w:rPr>
        <w:t>Enamel Phosphate</w:t>
      </w:r>
    </w:p>
    <w:bookmarkEnd w:id="0"/>
    <w:bookmarkEnd w:id="1"/>
    <w:p w14:paraId="70263831" w14:textId="6507F95D" w:rsidR="000066D4" w:rsidRPr="00CC2249" w:rsidRDefault="00C54F62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szCs w:val="26"/>
          <w:lang w:eastAsia="ja-JP"/>
        </w:rPr>
      </w:pPr>
      <w:r>
        <w:rPr>
          <w:rFonts w:eastAsiaTheme="minorEastAsia" w:cs="Times Roman"/>
          <w:color w:val="000000"/>
          <w:szCs w:val="26"/>
          <w:lang w:eastAsia="ja-JP"/>
        </w:rPr>
        <w:t>The</w:t>
      </w:r>
      <w:r w:rsidR="000066D4">
        <w:rPr>
          <w:rFonts w:eastAsiaTheme="minorEastAsia" w:cs="Times Roman"/>
          <w:color w:val="000000"/>
          <w:szCs w:val="26"/>
          <w:lang w:eastAsia="ja-JP"/>
        </w:rPr>
        <w:t xml:space="preserve"> procedure was originally </w:t>
      </w:r>
      <w:r>
        <w:rPr>
          <w:rFonts w:eastAsiaTheme="minorEastAsia" w:cs="Times Roman"/>
          <w:color w:val="000000"/>
          <w:szCs w:val="26"/>
          <w:lang w:eastAsia="ja-JP"/>
        </w:rPr>
        <w:t>described</w:t>
      </w:r>
      <w:r w:rsidR="000066D4">
        <w:rPr>
          <w:rFonts w:eastAsiaTheme="minorEastAsia" w:cs="Times Roman"/>
          <w:color w:val="000000"/>
          <w:szCs w:val="26"/>
          <w:lang w:eastAsia="ja-JP"/>
        </w:rPr>
        <w:t xml:space="preserve"> in White et al. (2002)</w:t>
      </w:r>
      <w:r w:rsidR="00D75A9F">
        <w:rPr>
          <w:rFonts w:eastAsiaTheme="minorEastAsia" w:cs="Times Roman"/>
          <w:color w:val="000000"/>
          <w:szCs w:val="26"/>
          <w:lang w:eastAsia="ja-JP"/>
        </w:rPr>
        <w:t xml:space="preserve"> and the reader is referred to that publication</w:t>
      </w:r>
      <w:r w:rsidR="000066D4">
        <w:rPr>
          <w:rFonts w:eastAsiaTheme="minorEastAsia" w:cs="Times Roman"/>
          <w:color w:val="000000"/>
          <w:szCs w:val="26"/>
          <w:lang w:eastAsia="ja-JP"/>
        </w:rPr>
        <w:t xml:space="preserve">. </w:t>
      </w:r>
      <w:r w:rsidR="000066D4" w:rsidRPr="00791D1C">
        <w:rPr>
          <w:rFonts w:eastAsiaTheme="minorEastAsia" w:cs="Times Roman"/>
          <w:color w:val="000000"/>
          <w:szCs w:val="26"/>
          <w:lang w:eastAsia="ja-JP"/>
        </w:rPr>
        <w:t xml:space="preserve">Bone was analyzed in the stable isotope laboratory at McMaster University (Stuart-Williams et al. 1998), and enamel </w:t>
      </w:r>
      <w:r w:rsidR="000066D4">
        <w:rPr>
          <w:rFonts w:eastAsiaTheme="minorEastAsia" w:cs="Times Roman"/>
          <w:color w:val="000000"/>
          <w:szCs w:val="26"/>
          <w:lang w:eastAsia="ja-JP"/>
        </w:rPr>
        <w:t>in</w:t>
      </w:r>
      <w:r w:rsidR="000066D4" w:rsidRPr="00791D1C">
        <w:rPr>
          <w:rFonts w:eastAsiaTheme="minorEastAsia" w:cs="Times Roman"/>
          <w:color w:val="000000"/>
          <w:szCs w:val="26"/>
          <w:lang w:eastAsia="ja-JP"/>
        </w:rPr>
        <w:t xml:space="preserve"> the stable isotope laboratory at The University of Western Ontario. </w:t>
      </w:r>
      <w:r w:rsidR="000066D4" w:rsidRPr="00BD345A">
        <w:rPr>
          <w:rFonts w:eastAsiaTheme="minorEastAsia" w:cs="Times Roman"/>
          <w:color w:val="000000"/>
          <w:szCs w:val="26"/>
          <w:lang w:eastAsia="ja-JP"/>
        </w:rPr>
        <w:t xml:space="preserve">Previous analysis of bone from Teotihuacan has indicated that postmortem alteration, or diagenesis, has not affected </w:t>
      </w:r>
      <w:r w:rsidR="000066D4" w:rsidRPr="00BD345A">
        <w:rPr>
          <w:rFonts w:ascii="Symbol" w:eastAsiaTheme="minorEastAsia" w:hAnsi="Symbol" w:cs="Times Roman"/>
          <w:color w:val="000000"/>
          <w:szCs w:val="26"/>
          <w:lang w:eastAsia="ja-JP"/>
        </w:rPr>
        <w:t></w:t>
      </w:r>
      <w:r w:rsidR="000066D4" w:rsidRPr="00BD345A">
        <w:rPr>
          <w:rFonts w:eastAsiaTheme="minorEastAsia" w:cs="Times Roman"/>
          <w:color w:val="000000"/>
          <w:szCs w:val="26"/>
          <w:vertAlign w:val="superscript"/>
          <w:lang w:eastAsia="ja-JP"/>
        </w:rPr>
        <w:t>18</w:t>
      </w:r>
      <w:r w:rsidR="000066D4" w:rsidRPr="00BD345A">
        <w:rPr>
          <w:rFonts w:eastAsiaTheme="minorEastAsia" w:cs="Times Roman"/>
          <w:color w:val="000000"/>
          <w:szCs w:val="26"/>
          <w:lang w:eastAsia="ja-JP"/>
        </w:rPr>
        <w:t xml:space="preserve">O (Stuart-Williams et al. 1998). Calculation of the Crystallinity Index </w:t>
      </w:r>
      <w:r w:rsidR="000066D4" w:rsidRPr="00BD345A">
        <w:rPr>
          <w:rFonts w:eastAsiaTheme="minorEastAsia" w:cs="Times Roman"/>
          <w:iCs/>
          <w:color w:val="000000"/>
          <w:szCs w:val="26"/>
          <w:lang w:eastAsia="ja-JP"/>
        </w:rPr>
        <w:t>(CI)</w:t>
      </w:r>
      <w:r w:rsidR="008D0403" w:rsidRPr="008D0403">
        <w:rPr>
          <w:rFonts w:cs="Times Roman"/>
          <w:color w:val="000000"/>
          <w:szCs w:val="26"/>
          <w:lang w:eastAsia="ja-JP"/>
        </w:rPr>
        <w:t xml:space="preserve"> </w:t>
      </w:r>
      <w:r w:rsidR="008D0403" w:rsidRPr="00BD345A">
        <w:rPr>
          <w:rFonts w:cs="Times Roman"/>
          <w:color w:val="000000"/>
          <w:szCs w:val="26"/>
          <w:lang w:eastAsia="ja-JP"/>
        </w:rPr>
        <w:t>(</w:t>
      </w:r>
      <w:proofErr w:type="spellStart"/>
      <w:r w:rsidR="008D0403" w:rsidRPr="00BD345A">
        <w:rPr>
          <w:rFonts w:cs="Times Roman"/>
          <w:color w:val="000000"/>
          <w:szCs w:val="26"/>
          <w:lang w:eastAsia="ja-JP"/>
        </w:rPr>
        <w:t>Shemesh</w:t>
      </w:r>
      <w:proofErr w:type="spellEnd"/>
      <w:r w:rsidR="008D0403" w:rsidRPr="00BD345A">
        <w:rPr>
          <w:rFonts w:cs="Times Roman"/>
          <w:color w:val="000000"/>
          <w:szCs w:val="26"/>
          <w:lang w:eastAsia="ja-JP"/>
        </w:rPr>
        <w:t xml:space="preserve"> 1990)</w:t>
      </w:r>
      <w:r w:rsidR="008D0403">
        <w:rPr>
          <w:rFonts w:cs="Times Roman"/>
          <w:color w:val="000000"/>
          <w:szCs w:val="26"/>
          <w:lang w:eastAsia="ja-JP"/>
        </w:rPr>
        <w:t xml:space="preserve"> </w:t>
      </w:r>
      <w:r w:rsidR="000066D4" w:rsidRPr="00BD345A">
        <w:rPr>
          <w:rFonts w:eastAsiaTheme="minorEastAsia" w:cs="Times Roman"/>
          <w:color w:val="000000"/>
          <w:szCs w:val="26"/>
          <w:lang w:eastAsia="ja-JP"/>
        </w:rPr>
        <w:t>for the bone and enamel samples indicated that diagenesis had not significantly altered the original biogenic values in the sample</w:t>
      </w:r>
      <w:r w:rsidR="00F639A7">
        <w:rPr>
          <w:rFonts w:eastAsiaTheme="minorEastAsia" w:cs="Times Roman"/>
          <w:color w:val="000000"/>
          <w:szCs w:val="26"/>
          <w:lang w:eastAsia="ja-JP"/>
        </w:rPr>
        <w:t>s</w:t>
      </w:r>
      <w:r w:rsidR="000066D4" w:rsidRPr="00BD345A">
        <w:rPr>
          <w:rFonts w:eastAsiaTheme="minorEastAsia" w:cs="Times Roman"/>
          <w:color w:val="000000"/>
          <w:szCs w:val="26"/>
          <w:lang w:eastAsia="ja-JP"/>
        </w:rPr>
        <w:t>.</w:t>
      </w:r>
    </w:p>
    <w:p w14:paraId="0546A4FE" w14:textId="2E81FA50" w:rsidR="000066D4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szCs w:val="26"/>
          <w:lang w:eastAsia="ja-JP"/>
        </w:rPr>
      </w:pP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The general baseline range for </w:t>
      </w:r>
      <w:r w:rsidRPr="00F639A7">
        <w:rPr>
          <w:rFonts w:ascii="Symbol" w:eastAsiaTheme="minorEastAsia" w:hAnsi="Symbol" w:cs="Times Roman"/>
          <w:i/>
          <w:iCs/>
          <w:color w:val="000000"/>
          <w:szCs w:val="26"/>
          <w:lang w:eastAsia="ja-JP"/>
        </w:rPr>
        <w:t></w:t>
      </w:r>
      <w:r w:rsidRPr="002530BC">
        <w:rPr>
          <w:rFonts w:eastAsiaTheme="minorEastAsia" w:cs="Times Roman"/>
          <w:color w:val="000000"/>
          <w:szCs w:val="26"/>
          <w:vertAlign w:val="superscript"/>
          <w:lang w:eastAsia="ja-JP"/>
        </w:rPr>
        <w:t>18</w:t>
      </w:r>
      <w:r w:rsidRPr="003A683B">
        <w:rPr>
          <w:rFonts w:eastAsiaTheme="minorEastAsia" w:cs="Times Roman"/>
          <w:color w:val="000000"/>
          <w:szCs w:val="26"/>
          <w:lang w:eastAsia="ja-JP"/>
        </w:rPr>
        <w:t>O</w:t>
      </w:r>
      <w:r w:rsidRPr="002530BC">
        <w:rPr>
          <w:rFonts w:eastAsiaTheme="minorEastAsia" w:cs="Times Roman"/>
          <w:color w:val="000000"/>
          <w:szCs w:val="26"/>
          <w:vertAlign w:val="subscript"/>
          <w:lang w:eastAsia="ja-JP"/>
        </w:rPr>
        <w:t>p</w:t>
      </w: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 with VSMOW standard </w:t>
      </w:r>
      <w:r>
        <w:rPr>
          <w:rFonts w:eastAsiaTheme="minorEastAsia" w:cs="Times Roman"/>
          <w:color w:val="000000"/>
          <w:szCs w:val="26"/>
          <w:lang w:eastAsia="ja-JP"/>
        </w:rPr>
        <w:t xml:space="preserve">at </w:t>
      </w:r>
      <w:r w:rsidRPr="002530BC">
        <w:rPr>
          <w:rFonts w:eastAsiaTheme="minorEastAsia" w:cs="Times Roman"/>
          <w:color w:val="000000"/>
          <w:szCs w:val="26"/>
          <w:lang w:eastAsia="ja-JP"/>
        </w:rPr>
        <w:t>Teot</w:t>
      </w:r>
      <w:r>
        <w:rPr>
          <w:rFonts w:eastAsiaTheme="minorEastAsia" w:cs="Times Roman"/>
          <w:color w:val="000000"/>
          <w:szCs w:val="26"/>
          <w:lang w:eastAsia="ja-JP"/>
        </w:rPr>
        <w:t xml:space="preserve">ihuacán </w:t>
      </w: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is </w:t>
      </w:r>
      <w:r>
        <w:rPr>
          <w:rFonts w:eastAsiaTheme="minorEastAsia" w:cs="Times Roman"/>
          <w:color w:val="000000"/>
          <w:szCs w:val="26"/>
          <w:lang w:eastAsia="ja-JP"/>
        </w:rPr>
        <w:t>suggested</w:t>
      </w: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 to be 14 </w:t>
      </w:r>
      <w:r w:rsidR="00F639A7">
        <w:rPr>
          <w:rFonts w:eastAsiaTheme="minorEastAsia" w:cs="Times Roman"/>
          <w:color w:val="000000"/>
          <w:szCs w:val="26"/>
          <w:lang w:eastAsia="ja-JP"/>
        </w:rPr>
        <w:t>to</w:t>
      </w:r>
      <w:r w:rsidRPr="003A683B">
        <w:rPr>
          <w:rFonts w:eastAsiaTheme="minorEastAsia" w:cs="Times Roman"/>
          <w:color w:val="000000"/>
          <w:szCs w:val="26"/>
          <w:lang w:eastAsia="ja-JP"/>
        </w:rPr>
        <w:t>16‰</w:t>
      </w:r>
      <w:r w:rsidR="00CC2249">
        <w:rPr>
          <w:rFonts w:eastAsiaTheme="minorEastAsia" w:cs="Times Roman"/>
          <w:color w:val="000000"/>
          <w:szCs w:val="26"/>
          <w:lang w:eastAsia="ja-JP"/>
        </w:rPr>
        <w:t xml:space="preserve"> (White et al. 2002)</w:t>
      </w: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. This range is based on enamel samples from the barrio of </w:t>
      </w:r>
      <w:proofErr w:type="spellStart"/>
      <w:r w:rsidRPr="003A683B">
        <w:rPr>
          <w:rFonts w:eastAsiaTheme="minorEastAsia" w:cs="Times Roman"/>
          <w:color w:val="000000"/>
          <w:szCs w:val="26"/>
          <w:lang w:eastAsia="ja-JP"/>
        </w:rPr>
        <w:t>Tlajinga</w:t>
      </w:r>
      <w:proofErr w:type="spellEnd"/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 at Teotihuacán where most of the individuals appear to be locally born. Modern teeth from nearby Mexico City have a</w:t>
      </w:r>
      <w:r w:rsidR="00CC2249">
        <w:rPr>
          <w:rFonts w:eastAsiaTheme="minorEastAsia" w:cs="Times Roman"/>
          <w:color w:val="000000"/>
          <w:szCs w:val="26"/>
          <w:lang w:eastAsia="ja-JP"/>
        </w:rPr>
        <w:t>n average</w:t>
      </w:r>
      <w:r w:rsidRPr="003A683B">
        <w:rPr>
          <w:rFonts w:eastAsiaTheme="minorEastAsia" w:cs="Times Roman"/>
          <w:color w:val="000000"/>
          <w:szCs w:val="26"/>
          <w:lang w:eastAsia="ja-JP"/>
        </w:rPr>
        <w:t xml:space="preserve"> value of 15‰</w:t>
      </w:r>
      <w:r w:rsidRPr="003A683B">
        <w:rPr>
          <w:rFonts w:eastAsiaTheme="minorEastAsia" w:cs="Times Roman"/>
          <w:i/>
          <w:iCs/>
          <w:color w:val="000000"/>
          <w:szCs w:val="26"/>
          <w:lang w:eastAsia="ja-JP"/>
        </w:rPr>
        <w:t xml:space="preserve"> </w:t>
      </w:r>
      <w:r w:rsidRPr="003A683B">
        <w:rPr>
          <w:rFonts w:eastAsiaTheme="minorEastAsia" w:cs="Times Roman"/>
          <w:color w:val="000000"/>
          <w:szCs w:val="26"/>
          <w:lang w:eastAsia="ja-JP"/>
        </w:rPr>
        <w:t>(Levinson et al. 1987). These values differ from other locations in Mexico and Guatemala contemporary with Teotihuacán</w:t>
      </w:r>
      <w:r>
        <w:rPr>
          <w:rFonts w:eastAsiaTheme="minorEastAsia" w:cs="Times Roman"/>
          <w:color w:val="000000"/>
          <w:szCs w:val="26"/>
          <w:lang w:eastAsia="ja-JP"/>
        </w:rPr>
        <w:t xml:space="preserve"> (Table S1)</w:t>
      </w:r>
      <w:r w:rsidRPr="003A683B">
        <w:rPr>
          <w:rFonts w:eastAsiaTheme="minorEastAsia" w:cs="Times Roman"/>
          <w:color w:val="000000"/>
          <w:szCs w:val="26"/>
          <w:lang w:eastAsia="ja-JP"/>
        </w:rPr>
        <w:t>.</w:t>
      </w:r>
      <w:r>
        <w:rPr>
          <w:rFonts w:eastAsiaTheme="minorEastAsia" w:cs="Times Roman"/>
          <w:color w:val="000000"/>
          <w:szCs w:val="26"/>
          <w:lang w:eastAsia="ja-JP"/>
        </w:rPr>
        <w:t xml:space="preserve"> </w:t>
      </w:r>
    </w:p>
    <w:p w14:paraId="02345B0D" w14:textId="1ACCCB47" w:rsidR="000066D4" w:rsidRPr="00F94598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Cs/>
          <w:color w:val="000000"/>
          <w:sz w:val="20"/>
          <w:szCs w:val="20"/>
          <w:lang w:eastAsia="ja-JP"/>
        </w:rPr>
      </w:pPr>
      <w:r w:rsidRPr="002530BC">
        <w:rPr>
          <w:rFonts w:eastAsiaTheme="minorEastAsia" w:cs="Times Roman"/>
          <w:i/>
          <w:color w:val="000000"/>
          <w:sz w:val="20"/>
          <w:szCs w:val="20"/>
          <w:lang w:eastAsia="ja-JP"/>
        </w:rPr>
        <w:t xml:space="preserve">Table </w:t>
      </w:r>
      <w:r>
        <w:rPr>
          <w:rFonts w:eastAsiaTheme="minorEastAsia" w:cs="Times Roman"/>
          <w:i/>
          <w:color w:val="000000"/>
          <w:sz w:val="20"/>
          <w:szCs w:val="20"/>
          <w:lang w:eastAsia="ja-JP"/>
        </w:rPr>
        <w:t>S1</w:t>
      </w:r>
      <w:r w:rsidRPr="002530BC">
        <w:rPr>
          <w:rFonts w:eastAsiaTheme="minorEastAsia" w:cs="Times Roman"/>
          <w:i/>
          <w:color w:val="000000"/>
          <w:sz w:val="20"/>
          <w:szCs w:val="20"/>
          <w:lang w:eastAsia="ja-JP"/>
        </w:rPr>
        <w:t xml:space="preserve">. </w:t>
      </w:r>
      <w:r>
        <w:rPr>
          <w:rFonts w:eastAsiaTheme="minorEastAsia" w:cs="Times Roman"/>
          <w:i/>
          <w:color w:val="000000"/>
          <w:sz w:val="20"/>
          <w:szCs w:val="20"/>
          <w:lang w:eastAsia="ja-JP"/>
        </w:rPr>
        <w:t>O</w:t>
      </w:r>
      <w:r w:rsidRPr="002530BC">
        <w:rPr>
          <w:rFonts w:eastAsiaTheme="minorEastAsia" w:cs="Times Roman"/>
          <w:i/>
          <w:color w:val="000000"/>
          <w:sz w:val="20"/>
          <w:szCs w:val="20"/>
          <w:lang w:eastAsia="ja-JP"/>
        </w:rPr>
        <w:t>xygen isotope ratios and altitude, average annual temperature, and average annual rainfall for several major archaeological sites in Mesoamerica.</w:t>
      </w:r>
      <w:r w:rsidR="00CC2249" w:rsidRPr="00CC2249">
        <w:rPr>
          <w:rFonts w:eastAsiaTheme="minorEastAsia" w:cs="Times Roman"/>
          <w:bCs/>
          <w:color w:val="000000"/>
          <w:sz w:val="20"/>
          <w:szCs w:val="20"/>
          <w:lang w:eastAsia="ja-JP"/>
        </w:rPr>
        <w:t xml:space="preserve"> </w:t>
      </w:r>
      <w:r w:rsidR="00CC2249">
        <w:rPr>
          <w:rFonts w:eastAsiaTheme="minorEastAsia" w:cs="Times Roman"/>
          <w:bCs/>
          <w:color w:val="000000"/>
          <w:sz w:val="20"/>
          <w:szCs w:val="20"/>
          <w:lang w:eastAsia="ja-JP"/>
        </w:rPr>
        <w:t xml:space="preserve">(adapted from White et al. </w:t>
      </w:r>
      <w:r w:rsidR="00CC2249" w:rsidRPr="00C44EBE">
        <w:rPr>
          <w:rFonts w:eastAsiaTheme="minorEastAsia" w:cs="Times Roman"/>
          <w:bCs/>
          <w:color w:val="000000"/>
          <w:sz w:val="20"/>
          <w:szCs w:val="20"/>
          <w:lang w:eastAsia="ja-JP"/>
        </w:rPr>
        <w:t>2002)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28"/>
        <w:gridCol w:w="2982"/>
        <w:gridCol w:w="1136"/>
        <w:gridCol w:w="852"/>
        <w:gridCol w:w="1136"/>
        <w:gridCol w:w="1222"/>
      </w:tblGrid>
      <w:tr w:rsidR="000066D4" w:rsidRPr="00F94598" w14:paraId="28E67F00" w14:textId="77777777" w:rsidTr="00074148">
        <w:tc>
          <w:tcPr>
            <w:tcW w:w="1528" w:type="dxa"/>
          </w:tcPr>
          <w:p w14:paraId="2D95ACBC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Site</w:t>
            </w:r>
          </w:p>
        </w:tc>
        <w:tc>
          <w:tcPr>
            <w:tcW w:w="2982" w:type="dxa"/>
          </w:tcPr>
          <w:p w14:paraId="621065D0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Location</w:t>
            </w:r>
          </w:p>
        </w:tc>
        <w:tc>
          <w:tcPr>
            <w:tcW w:w="1136" w:type="dxa"/>
          </w:tcPr>
          <w:p w14:paraId="2A1ED24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Altitude       m asl</w:t>
            </w:r>
          </w:p>
        </w:tc>
        <w:tc>
          <w:tcPr>
            <w:tcW w:w="852" w:type="dxa"/>
          </w:tcPr>
          <w:p w14:paraId="7B75AEFA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Temp °C</w:t>
            </w:r>
          </w:p>
        </w:tc>
        <w:tc>
          <w:tcPr>
            <w:tcW w:w="1136" w:type="dxa"/>
          </w:tcPr>
          <w:p w14:paraId="6CC6AE12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Rainfall (mm)</w:t>
            </w:r>
          </w:p>
        </w:tc>
        <w:tc>
          <w:tcPr>
            <w:tcW w:w="1222" w:type="dxa"/>
          </w:tcPr>
          <w:p w14:paraId="39B52EE6" w14:textId="77777777" w:rsidR="00CC2249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vertAlign w:val="subscript"/>
                <w:lang w:eastAsia="ja-JP"/>
              </w:rPr>
            </w:pPr>
            <w:r w:rsidRPr="00F94598">
              <w:rPr>
                <w:rFonts w:ascii="Symbol" w:eastAsiaTheme="minorEastAsia" w:hAnsi="Symbol" w:cs="Times Roman"/>
                <w:b/>
                <w:color w:val="000000"/>
                <w:sz w:val="20"/>
                <w:szCs w:val="20"/>
                <w:lang w:eastAsia="ja-JP"/>
              </w:rPr>
              <w:t></w:t>
            </w: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vertAlign w:val="superscript"/>
                <w:lang w:eastAsia="ja-JP"/>
              </w:rPr>
              <w:t>18</w:t>
            </w: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O</w:t>
            </w: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vertAlign w:val="subscript"/>
                <w:lang w:eastAsia="ja-JP"/>
              </w:rPr>
              <w:t xml:space="preserve">p </w:t>
            </w:r>
            <w:r w:rsidR="00CC2249"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vertAlign w:val="subscript"/>
                <w:lang w:eastAsia="ja-JP"/>
              </w:rPr>
              <w:t>‰</w:t>
            </w:r>
          </w:p>
          <w:p w14:paraId="1D10CF1E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b/>
                <w:color w:val="000000"/>
                <w:sz w:val="20"/>
                <w:szCs w:val="20"/>
                <w:lang w:eastAsia="ja-JP"/>
              </w:rPr>
              <w:t>VSMOW</w:t>
            </w:r>
          </w:p>
        </w:tc>
      </w:tr>
      <w:tr w:rsidR="000066D4" w:rsidRPr="00F94598" w14:paraId="2510220F" w14:textId="77777777" w:rsidTr="00074148">
        <w:trPr>
          <w:trHeight w:val="227"/>
        </w:trPr>
        <w:tc>
          <w:tcPr>
            <w:tcW w:w="1528" w:type="dxa"/>
          </w:tcPr>
          <w:p w14:paraId="2DA2F952" w14:textId="76D4F6E8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Rio Azul</w:t>
            </w:r>
          </w:p>
        </w:tc>
        <w:tc>
          <w:tcPr>
            <w:tcW w:w="2982" w:type="dxa"/>
          </w:tcPr>
          <w:p w14:paraId="60437BDB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Lowland Guatemala</w:t>
            </w:r>
          </w:p>
        </w:tc>
        <w:tc>
          <w:tcPr>
            <w:tcW w:w="1136" w:type="dxa"/>
          </w:tcPr>
          <w:p w14:paraId="17F35BD3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&lt;99</w:t>
            </w:r>
          </w:p>
        </w:tc>
        <w:tc>
          <w:tcPr>
            <w:tcW w:w="852" w:type="dxa"/>
          </w:tcPr>
          <w:p w14:paraId="6E166A44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27.5</w:t>
            </w:r>
          </w:p>
        </w:tc>
        <w:tc>
          <w:tcPr>
            <w:tcW w:w="1136" w:type="dxa"/>
          </w:tcPr>
          <w:p w14:paraId="6CF7B0E1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1500</w:t>
            </w:r>
          </w:p>
        </w:tc>
        <w:tc>
          <w:tcPr>
            <w:tcW w:w="1222" w:type="dxa"/>
          </w:tcPr>
          <w:p w14:paraId="7549A371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19.9</w:t>
            </w:r>
          </w:p>
        </w:tc>
      </w:tr>
      <w:tr w:rsidR="000066D4" w:rsidRPr="00F94598" w14:paraId="6309AE96" w14:textId="77777777" w:rsidTr="00074148">
        <w:trPr>
          <w:trHeight w:val="227"/>
        </w:trPr>
        <w:tc>
          <w:tcPr>
            <w:tcW w:w="1528" w:type="dxa"/>
          </w:tcPr>
          <w:p w14:paraId="76F7649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proofErr w:type="spellStart"/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Altun</w:t>
            </w:r>
            <w:proofErr w:type="spellEnd"/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 xml:space="preserve"> Ha</w:t>
            </w:r>
          </w:p>
        </w:tc>
        <w:tc>
          <w:tcPr>
            <w:tcW w:w="2982" w:type="dxa"/>
          </w:tcPr>
          <w:p w14:paraId="0BDB48E8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Coastal Belize</w:t>
            </w:r>
          </w:p>
        </w:tc>
        <w:tc>
          <w:tcPr>
            <w:tcW w:w="1136" w:type="dxa"/>
          </w:tcPr>
          <w:p w14:paraId="7688A18D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852" w:type="dxa"/>
          </w:tcPr>
          <w:p w14:paraId="72AAA40B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25</w:t>
            </w:r>
          </w:p>
        </w:tc>
        <w:tc>
          <w:tcPr>
            <w:tcW w:w="1136" w:type="dxa"/>
          </w:tcPr>
          <w:p w14:paraId="176423B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1625</w:t>
            </w:r>
          </w:p>
        </w:tc>
        <w:tc>
          <w:tcPr>
            <w:tcW w:w="1222" w:type="dxa"/>
          </w:tcPr>
          <w:p w14:paraId="77BB2F12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18.7</w:t>
            </w:r>
          </w:p>
        </w:tc>
      </w:tr>
      <w:tr w:rsidR="000066D4" w:rsidRPr="00F94598" w14:paraId="2A4D1F44" w14:textId="77777777" w:rsidTr="00074148">
        <w:trPr>
          <w:trHeight w:val="227"/>
        </w:trPr>
        <w:tc>
          <w:tcPr>
            <w:tcW w:w="1528" w:type="dxa"/>
          </w:tcPr>
          <w:p w14:paraId="057BA3D0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Kaminaljuyú</w:t>
            </w:r>
          </w:p>
        </w:tc>
        <w:tc>
          <w:tcPr>
            <w:tcW w:w="2982" w:type="dxa"/>
          </w:tcPr>
          <w:p w14:paraId="73480494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Highland Guatemala</w:t>
            </w:r>
          </w:p>
        </w:tc>
        <w:tc>
          <w:tcPr>
            <w:tcW w:w="1136" w:type="dxa"/>
          </w:tcPr>
          <w:p w14:paraId="2CE48D70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1500</w:t>
            </w:r>
          </w:p>
        </w:tc>
        <w:tc>
          <w:tcPr>
            <w:tcW w:w="852" w:type="dxa"/>
          </w:tcPr>
          <w:p w14:paraId="5712DC4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21</w:t>
            </w:r>
          </w:p>
        </w:tc>
        <w:tc>
          <w:tcPr>
            <w:tcW w:w="1136" w:type="dxa"/>
          </w:tcPr>
          <w:p w14:paraId="09995A6D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1000</w:t>
            </w:r>
          </w:p>
        </w:tc>
        <w:tc>
          <w:tcPr>
            <w:tcW w:w="1222" w:type="dxa"/>
          </w:tcPr>
          <w:p w14:paraId="5B2EB7C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16.7</w:t>
            </w:r>
          </w:p>
        </w:tc>
      </w:tr>
      <w:tr w:rsidR="000066D4" w:rsidRPr="00F94598" w14:paraId="3776C80D" w14:textId="77777777" w:rsidTr="00074148">
        <w:trPr>
          <w:trHeight w:val="227"/>
        </w:trPr>
        <w:tc>
          <w:tcPr>
            <w:tcW w:w="1528" w:type="dxa"/>
          </w:tcPr>
          <w:p w14:paraId="6BB5429A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proofErr w:type="spellStart"/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Tzintzuntsan</w:t>
            </w:r>
            <w:proofErr w:type="spellEnd"/>
          </w:p>
        </w:tc>
        <w:tc>
          <w:tcPr>
            <w:tcW w:w="2982" w:type="dxa"/>
          </w:tcPr>
          <w:p w14:paraId="23C8F20D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Michoacan</w:t>
            </w:r>
          </w:p>
        </w:tc>
        <w:tc>
          <w:tcPr>
            <w:tcW w:w="1136" w:type="dxa"/>
          </w:tcPr>
          <w:p w14:paraId="6EFAA9F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1940</w:t>
            </w:r>
          </w:p>
        </w:tc>
        <w:tc>
          <w:tcPr>
            <w:tcW w:w="852" w:type="dxa"/>
          </w:tcPr>
          <w:p w14:paraId="215799B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17.5</w:t>
            </w:r>
          </w:p>
        </w:tc>
        <w:tc>
          <w:tcPr>
            <w:tcW w:w="1136" w:type="dxa"/>
          </w:tcPr>
          <w:p w14:paraId="38B0B675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750</w:t>
            </w:r>
          </w:p>
        </w:tc>
        <w:tc>
          <w:tcPr>
            <w:tcW w:w="1222" w:type="dxa"/>
          </w:tcPr>
          <w:p w14:paraId="6E546A1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16.2</w:t>
            </w:r>
          </w:p>
        </w:tc>
      </w:tr>
      <w:tr w:rsidR="000066D4" w:rsidRPr="00F94598" w14:paraId="1B5FE1F8" w14:textId="77777777" w:rsidTr="00074148">
        <w:trPr>
          <w:trHeight w:val="227"/>
        </w:trPr>
        <w:tc>
          <w:tcPr>
            <w:tcW w:w="1528" w:type="dxa"/>
          </w:tcPr>
          <w:p w14:paraId="62E57084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Monte Albán</w:t>
            </w:r>
          </w:p>
        </w:tc>
        <w:tc>
          <w:tcPr>
            <w:tcW w:w="2982" w:type="dxa"/>
          </w:tcPr>
          <w:p w14:paraId="171A50F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Valley of Oaxaca</w:t>
            </w:r>
          </w:p>
        </w:tc>
        <w:tc>
          <w:tcPr>
            <w:tcW w:w="1136" w:type="dxa"/>
          </w:tcPr>
          <w:p w14:paraId="67A10BD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1900</w:t>
            </w:r>
          </w:p>
        </w:tc>
        <w:tc>
          <w:tcPr>
            <w:tcW w:w="852" w:type="dxa"/>
          </w:tcPr>
          <w:p w14:paraId="2850177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15.6</w:t>
            </w:r>
          </w:p>
        </w:tc>
        <w:tc>
          <w:tcPr>
            <w:tcW w:w="1136" w:type="dxa"/>
          </w:tcPr>
          <w:p w14:paraId="23A0FA5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650</w:t>
            </w:r>
          </w:p>
        </w:tc>
        <w:tc>
          <w:tcPr>
            <w:tcW w:w="1222" w:type="dxa"/>
          </w:tcPr>
          <w:p w14:paraId="71B0815E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13.0</w:t>
            </w:r>
          </w:p>
        </w:tc>
      </w:tr>
      <w:tr w:rsidR="000066D4" w:rsidRPr="00F94598" w14:paraId="40C7F3C9" w14:textId="77777777" w:rsidTr="00074148">
        <w:trPr>
          <w:trHeight w:val="227"/>
        </w:trPr>
        <w:tc>
          <w:tcPr>
            <w:tcW w:w="1528" w:type="dxa"/>
          </w:tcPr>
          <w:p w14:paraId="486CB372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 xml:space="preserve">Teotihuacán  </w:t>
            </w:r>
          </w:p>
        </w:tc>
        <w:tc>
          <w:tcPr>
            <w:tcW w:w="2982" w:type="dxa"/>
          </w:tcPr>
          <w:p w14:paraId="0D2CF9C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Highland Mexico</w:t>
            </w:r>
          </w:p>
        </w:tc>
        <w:tc>
          <w:tcPr>
            <w:tcW w:w="1136" w:type="dxa"/>
          </w:tcPr>
          <w:p w14:paraId="1177073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2300</w:t>
            </w:r>
          </w:p>
        </w:tc>
        <w:tc>
          <w:tcPr>
            <w:tcW w:w="852" w:type="dxa"/>
          </w:tcPr>
          <w:p w14:paraId="1E5C53C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12.7</w:t>
            </w:r>
          </w:p>
        </w:tc>
        <w:tc>
          <w:tcPr>
            <w:tcW w:w="1136" w:type="dxa"/>
          </w:tcPr>
          <w:p w14:paraId="57068C66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700</w:t>
            </w:r>
          </w:p>
        </w:tc>
        <w:tc>
          <w:tcPr>
            <w:tcW w:w="1222" w:type="dxa"/>
          </w:tcPr>
          <w:p w14:paraId="31450B1C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15.3</w:t>
            </w:r>
          </w:p>
        </w:tc>
      </w:tr>
      <w:tr w:rsidR="000066D4" w:rsidRPr="00F94598" w14:paraId="7D439B7D" w14:textId="77777777" w:rsidTr="00FF78A8">
        <w:trPr>
          <w:trHeight w:val="342"/>
        </w:trPr>
        <w:tc>
          <w:tcPr>
            <w:tcW w:w="1528" w:type="dxa"/>
          </w:tcPr>
          <w:p w14:paraId="51E02BDA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 xml:space="preserve">Quetzalcoatl  </w:t>
            </w:r>
          </w:p>
        </w:tc>
        <w:tc>
          <w:tcPr>
            <w:tcW w:w="2982" w:type="dxa"/>
          </w:tcPr>
          <w:p w14:paraId="1FFF2F20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Highland Mexico</w:t>
            </w:r>
          </w:p>
        </w:tc>
        <w:tc>
          <w:tcPr>
            <w:tcW w:w="1136" w:type="dxa"/>
          </w:tcPr>
          <w:p w14:paraId="1BBFABCE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52" w:type="dxa"/>
          </w:tcPr>
          <w:p w14:paraId="232EB4C3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36" w:type="dxa"/>
          </w:tcPr>
          <w:p w14:paraId="51D955C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222" w:type="dxa"/>
          </w:tcPr>
          <w:p w14:paraId="19BCDBA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15.5</w:t>
            </w:r>
          </w:p>
        </w:tc>
      </w:tr>
      <w:tr w:rsidR="000066D4" w:rsidRPr="00F94598" w14:paraId="683935D6" w14:textId="77777777" w:rsidTr="00FF78A8">
        <w:trPr>
          <w:trHeight w:val="364"/>
        </w:trPr>
        <w:tc>
          <w:tcPr>
            <w:tcW w:w="1528" w:type="dxa"/>
          </w:tcPr>
          <w:p w14:paraId="25B0F3FC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Trophies</w:t>
            </w:r>
          </w:p>
        </w:tc>
        <w:tc>
          <w:tcPr>
            <w:tcW w:w="2982" w:type="dxa"/>
          </w:tcPr>
          <w:p w14:paraId="108CE1D7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Highland Mexico</w:t>
            </w:r>
          </w:p>
        </w:tc>
        <w:tc>
          <w:tcPr>
            <w:tcW w:w="1136" w:type="dxa"/>
          </w:tcPr>
          <w:p w14:paraId="07C0C00A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52" w:type="dxa"/>
          </w:tcPr>
          <w:p w14:paraId="0893E553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36" w:type="dxa"/>
          </w:tcPr>
          <w:p w14:paraId="2CD162A4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222" w:type="dxa"/>
          </w:tcPr>
          <w:p w14:paraId="77C1FDF9" w14:textId="77777777" w:rsidR="000066D4" w:rsidRPr="00F94598" w:rsidRDefault="000066D4" w:rsidP="00F94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</w:pPr>
            <w:r w:rsidRPr="00F94598">
              <w:rPr>
                <w:rFonts w:eastAsiaTheme="minorEastAsia" w:cs="Times Roman"/>
                <w:color w:val="000000"/>
                <w:sz w:val="20"/>
                <w:szCs w:val="20"/>
                <w:lang w:eastAsia="ja-JP"/>
              </w:rPr>
              <w:t>16.1</w:t>
            </w:r>
          </w:p>
        </w:tc>
      </w:tr>
    </w:tbl>
    <w:p w14:paraId="41E87964" w14:textId="77777777" w:rsidR="00D75A9F" w:rsidRDefault="00D75A9F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/>
          <w:color w:val="000000"/>
          <w:lang w:eastAsia="ja-JP"/>
        </w:rPr>
      </w:pPr>
    </w:p>
    <w:p w14:paraId="0B40F210" w14:textId="169CF0AD" w:rsidR="00D75A9F" w:rsidRDefault="00D75A9F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lang w:eastAsia="ja-JP"/>
        </w:rPr>
      </w:pPr>
      <w:r w:rsidRPr="00D75A9F">
        <w:rPr>
          <w:rFonts w:eastAsiaTheme="minorEastAsia" w:cs="Times Roman"/>
          <w:color w:val="000000"/>
          <w:lang w:eastAsia="ja-JP"/>
        </w:rPr>
        <w:t xml:space="preserve">Fig. </w:t>
      </w:r>
      <w:r>
        <w:rPr>
          <w:rFonts w:eastAsiaTheme="minorEastAsia" w:cs="Times Roman"/>
          <w:color w:val="000000"/>
          <w:lang w:eastAsia="ja-JP"/>
        </w:rPr>
        <w:t xml:space="preserve">S1 shows a plot of </w:t>
      </w:r>
      <w:bookmarkStart w:id="2" w:name="OLE_LINK764"/>
      <w:bookmarkStart w:id="3" w:name="OLE_LINK765"/>
      <w:r w:rsidRPr="00F639A7">
        <w:rPr>
          <w:rFonts w:ascii="Symbol" w:eastAsiaTheme="minorEastAsia" w:hAnsi="Symbol" w:cs="Times Roman"/>
          <w:i/>
          <w:iCs/>
          <w:color w:val="000000"/>
          <w:lang w:eastAsia="ja-JP"/>
        </w:rPr>
        <w:t></w:t>
      </w:r>
      <w:r w:rsidRPr="00D75A9F">
        <w:rPr>
          <w:rFonts w:eastAsiaTheme="minorEastAsia" w:cs="Times Roman"/>
          <w:color w:val="000000"/>
          <w:vertAlign w:val="superscript"/>
          <w:lang w:eastAsia="ja-JP"/>
        </w:rPr>
        <w:t>18</w:t>
      </w:r>
      <w:r>
        <w:rPr>
          <w:rFonts w:eastAsiaTheme="minorEastAsia" w:cs="Times Roman"/>
          <w:color w:val="000000"/>
          <w:lang w:eastAsia="ja-JP"/>
        </w:rPr>
        <w:t>O</w:t>
      </w:r>
      <w:r w:rsidRPr="00D75A9F">
        <w:rPr>
          <w:rFonts w:eastAsiaTheme="minorEastAsia" w:cs="Times Roman"/>
          <w:color w:val="000000"/>
          <w:vertAlign w:val="subscript"/>
          <w:lang w:eastAsia="ja-JP"/>
        </w:rPr>
        <w:t>p</w:t>
      </w:r>
      <w:r>
        <w:rPr>
          <w:rFonts w:eastAsiaTheme="minorEastAsia" w:cs="Times Roman"/>
          <w:color w:val="000000"/>
          <w:lang w:eastAsia="ja-JP"/>
        </w:rPr>
        <w:t xml:space="preserve"> values for various areas of Mesoamerica, </w:t>
      </w:r>
      <w:bookmarkEnd w:id="2"/>
      <w:bookmarkEnd w:id="3"/>
      <w:r>
        <w:rPr>
          <w:rFonts w:eastAsiaTheme="minorEastAsia" w:cs="Times Roman"/>
          <w:color w:val="000000"/>
          <w:lang w:eastAsia="ja-JP"/>
        </w:rPr>
        <w:t>including Teotihuacán</w:t>
      </w:r>
      <w:r w:rsidRPr="00D75A9F">
        <w:rPr>
          <w:rFonts w:eastAsiaTheme="minorEastAsia" w:cs="Times Roman"/>
          <w:color w:val="000000"/>
          <w:lang w:eastAsia="ja-JP"/>
        </w:rPr>
        <w:t xml:space="preserve"> </w:t>
      </w:r>
      <w:r>
        <w:rPr>
          <w:rFonts w:eastAsiaTheme="minorEastAsia" w:cs="Times Roman"/>
          <w:color w:val="000000"/>
          <w:lang w:eastAsia="ja-JP"/>
        </w:rPr>
        <w:t>and the Temple of Quetzalcoatl and demonstrates that distinctive values for this oxygen isotope ratio characterize different parts of the region.</w:t>
      </w:r>
    </w:p>
    <w:p w14:paraId="6D30CC16" w14:textId="1317E445" w:rsidR="00FF78A8" w:rsidRPr="00F94598" w:rsidRDefault="00F94598" w:rsidP="00F9459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Theme="minorEastAsia" w:cs="Times Roman"/>
          <w:color w:val="000000"/>
          <w:lang w:eastAsia="ja-JP"/>
        </w:rPr>
      </w:pPr>
      <w:r>
        <w:rPr>
          <w:rFonts w:eastAsiaTheme="minorEastAsia" w:cs="Times Roman"/>
          <w:b/>
          <w:noProof/>
          <w:color w:val="000000"/>
        </w:rPr>
        <w:drawing>
          <wp:inline distT="0" distB="0" distL="0" distR="0" wp14:anchorId="72F96270" wp14:editId="11CA5934">
            <wp:extent cx="3812416" cy="2335669"/>
            <wp:effectExtent l="0" t="0" r="0" b="1270"/>
            <wp:docPr id="1" name="Picture 1" descr="Macintosh HD:Users:tdprice:Dropbox:activeprojects:Quetzalcoatl:ART:figure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price:Dropbox:activeprojects:Quetzalcoatl:ART:figure 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b="10124"/>
                    <a:stretch/>
                  </pic:blipFill>
                  <pic:spPr bwMode="auto">
                    <a:xfrm>
                      <a:off x="0" y="0"/>
                      <a:ext cx="3813717" cy="23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701F" w14:textId="20C67088" w:rsidR="00F639A7" w:rsidRPr="00F94598" w:rsidRDefault="00D75A9F" w:rsidP="00F639A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Times Roman"/>
          <w:i/>
          <w:color w:val="000000"/>
          <w:sz w:val="20"/>
          <w:lang w:eastAsia="ja-JP"/>
        </w:rPr>
      </w:pPr>
      <w:r w:rsidRPr="00D75A9F">
        <w:rPr>
          <w:rFonts w:eastAsiaTheme="minorEastAsia" w:cs="Times Roman"/>
          <w:i/>
          <w:color w:val="000000"/>
          <w:sz w:val="20"/>
          <w:lang w:eastAsia="ja-JP"/>
        </w:rPr>
        <w:t xml:space="preserve">Fig. </w:t>
      </w:r>
      <w:r>
        <w:rPr>
          <w:rFonts w:eastAsiaTheme="minorEastAsia" w:cs="Times Roman"/>
          <w:i/>
          <w:color w:val="000000"/>
          <w:sz w:val="20"/>
          <w:lang w:eastAsia="ja-JP"/>
        </w:rPr>
        <w:t>S1</w:t>
      </w:r>
      <w:r w:rsidRPr="00D75A9F">
        <w:rPr>
          <w:rFonts w:eastAsiaTheme="minorEastAsia" w:cs="Times Roman"/>
          <w:i/>
          <w:color w:val="000000"/>
          <w:sz w:val="20"/>
          <w:lang w:eastAsia="ja-JP"/>
        </w:rPr>
        <w:t>.</w:t>
      </w:r>
      <w:r>
        <w:rPr>
          <w:rFonts w:eastAsiaTheme="minorEastAsia" w:cs="Times Roman"/>
          <w:i/>
          <w:color w:val="000000"/>
          <w:sz w:val="20"/>
          <w:lang w:eastAsia="ja-JP"/>
        </w:rPr>
        <w:t xml:space="preserve"> Plot of the range of </w:t>
      </w:r>
      <w:r w:rsidRPr="00D75A9F">
        <w:rPr>
          <w:rFonts w:ascii="Symbol" w:eastAsiaTheme="minorEastAsia" w:hAnsi="Symbol" w:cs="Times Roman"/>
          <w:i/>
          <w:color w:val="000000"/>
          <w:sz w:val="20"/>
          <w:lang w:eastAsia="ja-JP"/>
        </w:rPr>
        <w:t></w:t>
      </w:r>
      <w:r w:rsidRPr="00D75A9F">
        <w:rPr>
          <w:rFonts w:eastAsiaTheme="minorEastAsia" w:cs="Times Roman"/>
          <w:i/>
          <w:color w:val="000000"/>
          <w:sz w:val="20"/>
          <w:vertAlign w:val="superscript"/>
          <w:lang w:eastAsia="ja-JP"/>
        </w:rPr>
        <w:t>18</w:t>
      </w:r>
      <w:r w:rsidRPr="00D75A9F">
        <w:rPr>
          <w:rFonts w:eastAsiaTheme="minorEastAsia" w:cs="Times Roman"/>
          <w:i/>
          <w:color w:val="000000"/>
          <w:sz w:val="20"/>
          <w:lang w:eastAsia="ja-JP"/>
        </w:rPr>
        <w:t>O</w:t>
      </w:r>
      <w:r w:rsidRPr="00D75A9F">
        <w:rPr>
          <w:rFonts w:eastAsiaTheme="minorEastAsia" w:cs="Times Roman"/>
          <w:i/>
          <w:color w:val="000000"/>
          <w:sz w:val="20"/>
          <w:vertAlign w:val="subscript"/>
          <w:lang w:eastAsia="ja-JP"/>
        </w:rPr>
        <w:t>p</w:t>
      </w:r>
      <w:r w:rsidRPr="00D75A9F">
        <w:rPr>
          <w:rFonts w:eastAsiaTheme="minorEastAsia" w:cs="Times Roman"/>
          <w:i/>
          <w:color w:val="000000"/>
          <w:sz w:val="20"/>
          <w:lang w:eastAsia="ja-JP"/>
        </w:rPr>
        <w:t xml:space="preserve"> values for various areas of Mesoamerica.</w:t>
      </w:r>
      <w:r w:rsidR="00F639A7" w:rsidRPr="00F639A7">
        <w:rPr>
          <w:rFonts w:cs="Times Roman"/>
          <w:i/>
          <w:color w:val="000000"/>
          <w:sz w:val="20"/>
          <w:lang w:eastAsia="ja-JP"/>
        </w:rPr>
        <w:t xml:space="preserve"> </w:t>
      </w:r>
      <w:r w:rsidR="00F639A7">
        <w:rPr>
          <w:rFonts w:cs="Times Roman"/>
          <w:i/>
          <w:color w:val="000000"/>
          <w:sz w:val="20"/>
          <w:lang w:eastAsia="ja-JP"/>
        </w:rPr>
        <w:t>From White et al. (2007), with permission.</w:t>
      </w:r>
    </w:p>
    <w:p w14:paraId="72A6EC62" w14:textId="0991537C" w:rsidR="00D75A9F" w:rsidRPr="00F94598" w:rsidRDefault="00D75A9F" w:rsidP="00F9459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Theme="minorEastAsia" w:cs="Times Roman"/>
          <w:i/>
          <w:color w:val="000000"/>
          <w:sz w:val="20"/>
          <w:lang w:eastAsia="ja-JP"/>
        </w:rPr>
      </w:pPr>
    </w:p>
    <w:p w14:paraId="3ED70BE0" w14:textId="1D420A49" w:rsidR="00F40127" w:rsidRDefault="000066D4" w:rsidP="00F945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</w:pPr>
      <w:r>
        <w:rPr>
          <w:rFonts w:eastAsiaTheme="minorEastAsia" w:cs="Times Roman"/>
          <w:b/>
          <w:color w:val="000000"/>
          <w:lang w:eastAsia="ja-JP"/>
        </w:rPr>
        <w:t xml:space="preserve">Oxygen </w:t>
      </w:r>
      <w:r w:rsidRPr="00BD345A">
        <w:rPr>
          <w:rFonts w:eastAsiaTheme="minorEastAsia" w:cs="Times Roman"/>
          <w:b/>
          <w:color w:val="000000"/>
          <w:lang w:eastAsia="ja-JP"/>
        </w:rPr>
        <w:t>Isotope</w:t>
      </w:r>
      <w:r>
        <w:rPr>
          <w:rFonts w:eastAsiaTheme="minorEastAsia" w:cs="Times Roman"/>
          <w:b/>
          <w:color w:val="000000"/>
          <w:lang w:eastAsia="ja-JP"/>
        </w:rPr>
        <w:t>s in Tooth Enamel</w:t>
      </w:r>
      <w:r w:rsidR="00F40127" w:rsidRPr="00F40127">
        <w:t xml:space="preserve"> </w:t>
      </w:r>
    </w:p>
    <w:p w14:paraId="3C0F3282" w14:textId="4B6477CA" w:rsidR="00F40127" w:rsidRPr="00F94598" w:rsidRDefault="00F40127" w:rsidP="00F945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/>
        </w:rPr>
      </w:pPr>
      <w:r>
        <w:t>Oxygen isotope ratios vary geographically in surface water and rainfall. The o</w:t>
      </w:r>
      <w:r w:rsidRPr="0002107F">
        <w:t>xygen isotope</w:t>
      </w:r>
      <w:r>
        <w:t xml:space="preserve"> ratio</w:t>
      </w:r>
      <w:r w:rsidRPr="0002107F">
        <w:t xml:space="preserve"> in the </w:t>
      </w:r>
      <w:r>
        <w:t xml:space="preserve">human </w:t>
      </w:r>
      <w:r w:rsidRPr="0002107F">
        <w:t>skeleton reflect</w:t>
      </w:r>
      <w:r>
        <w:t>s</w:t>
      </w:r>
      <w:r w:rsidRPr="0002107F">
        <w:t xml:space="preserve"> that of </w:t>
      </w:r>
      <w:r>
        <w:t xml:space="preserve">body water, and ultimately of </w:t>
      </w:r>
      <w:r w:rsidR="00F639A7">
        <w:t>consumed</w:t>
      </w:r>
      <w:r>
        <w:t xml:space="preserve"> water</w:t>
      </w:r>
      <w:r w:rsidRPr="0002107F">
        <w:t xml:space="preserve"> (</w:t>
      </w:r>
      <w:r>
        <w:t xml:space="preserve">Kohn 1996, </w:t>
      </w:r>
      <w:r w:rsidRPr="0002107F">
        <w:t>Luz et al. 1984</w:t>
      </w:r>
      <w:r>
        <w:t>,</w:t>
      </w:r>
      <w:r w:rsidRPr="0002107F">
        <w:t xml:space="preserve"> Luz and </w:t>
      </w:r>
      <w:proofErr w:type="spellStart"/>
      <w:r w:rsidRPr="0002107F">
        <w:t>Kolodny</w:t>
      </w:r>
      <w:proofErr w:type="spellEnd"/>
      <w:r w:rsidRPr="0002107F">
        <w:t xml:space="preserve"> 1985), which in turn predominantly reflects local rainfall. </w:t>
      </w:r>
      <w:r w:rsidR="00F639A7">
        <w:t>The oxygen isotope composition</w:t>
      </w:r>
      <w:r w:rsidRPr="0002107F">
        <w:t xml:space="preserve"> </w:t>
      </w:r>
      <w:r w:rsidR="00F639A7">
        <w:t>of freshwater is</w:t>
      </w:r>
      <w:r w:rsidRPr="0002107F">
        <w:t xml:space="preserve"> greatly affected by enrichment or depletion of </w:t>
      </w:r>
      <w:bookmarkStart w:id="4" w:name="OLE_LINK220"/>
      <w:r w:rsidRPr="0002107F">
        <w:rPr>
          <w:vertAlign w:val="superscript"/>
        </w:rPr>
        <w:t>18</w:t>
      </w:r>
      <w:r w:rsidRPr="0002107F">
        <w:t>O</w:t>
      </w:r>
      <w:bookmarkEnd w:id="4"/>
      <w:r w:rsidRPr="0002107F">
        <w:t xml:space="preserve"> relative to </w:t>
      </w:r>
      <w:r w:rsidRPr="0002107F">
        <w:rPr>
          <w:vertAlign w:val="superscript"/>
        </w:rPr>
        <w:t>16</w:t>
      </w:r>
      <w:r w:rsidRPr="0002107F">
        <w:t>O in water due to evaporation and precipitation</w:t>
      </w:r>
      <w:r>
        <w:t xml:space="preserve"> (e.g. </w:t>
      </w:r>
      <w:proofErr w:type="spellStart"/>
      <w:r>
        <w:t>Dansgaard</w:t>
      </w:r>
      <w:proofErr w:type="spellEnd"/>
      <w:r>
        <w:t xml:space="preserve"> 1964)</w:t>
      </w:r>
      <w:r w:rsidRPr="0002107F">
        <w:t xml:space="preserve">. Major </w:t>
      </w:r>
      <w:r w:rsidRPr="00552F93">
        <w:t xml:space="preserve">geographic </w:t>
      </w:r>
      <w:r w:rsidRPr="0002107F">
        <w:t xml:space="preserve">factors affecting rainfall </w:t>
      </w:r>
      <w:r>
        <w:t xml:space="preserve">oxygen isotope composition, then, </w:t>
      </w:r>
      <w:r w:rsidRPr="0002107F">
        <w:t xml:space="preserve">are </w:t>
      </w:r>
      <w:r w:rsidRPr="00552F93">
        <w:t xml:space="preserve">latitude, elevation, amount of precipitation, and distance from the source (e.g., an ocean). </w:t>
      </w:r>
      <w:r>
        <w:t>In r</w:t>
      </w:r>
      <w:r w:rsidRPr="00552F93">
        <w:t>ainwater, H</w:t>
      </w:r>
      <w:r w:rsidRPr="00552F93">
        <w:rPr>
          <w:vertAlign w:val="subscript"/>
        </w:rPr>
        <w:t>2</w:t>
      </w:r>
      <w:r w:rsidRPr="00552F93">
        <w:t>O, H</w:t>
      </w:r>
      <w:r w:rsidRPr="00552F93">
        <w:rPr>
          <w:vertAlign w:val="subscript"/>
        </w:rPr>
        <w:t>2</w:t>
      </w:r>
      <w:r w:rsidRPr="00552F93">
        <w:rPr>
          <w:vertAlign w:val="superscript"/>
        </w:rPr>
        <w:t>18</w:t>
      </w:r>
      <w:r w:rsidRPr="00552F93">
        <w:t>O has a greater mass than H</w:t>
      </w:r>
      <w:r w:rsidRPr="00552F93">
        <w:rPr>
          <w:vertAlign w:val="subscript"/>
        </w:rPr>
        <w:t>2</w:t>
      </w:r>
      <w:r w:rsidRPr="00552F93">
        <w:rPr>
          <w:vertAlign w:val="superscript"/>
        </w:rPr>
        <w:t>16</w:t>
      </w:r>
      <w:r w:rsidRPr="00552F93">
        <w:t xml:space="preserve">O, and requires more energy to evaporate and to stay in the atmosphere. </w:t>
      </w:r>
      <w:r>
        <w:t>A</w:t>
      </w:r>
      <w:r w:rsidRPr="00552F93">
        <w:t>s this moisture moves over land</w:t>
      </w:r>
      <w:r>
        <w:t xml:space="preserve"> from its original oceanic source</w:t>
      </w:r>
      <w:r w:rsidRPr="00552F93">
        <w:t xml:space="preserve">, the first </w:t>
      </w:r>
      <w:r>
        <w:t>precipitation</w:t>
      </w:r>
      <w:r w:rsidRPr="00552F93">
        <w:t xml:space="preserve"> contain</w:t>
      </w:r>
      <w:r>
        <w:t>s</w:t>
      </w:r>
      <w:r w:rsidRPr="00552F93">
        <w:t xml:space="preserve"> more </w:t>
      </w:r>
      <w:r w:rsidRPr="00C44EBE">
        <w:rPr>
          <w:vertAlign w:val="superscript"/>
        </w:rPr>
        <w:t>18</w:t>
      </w:r>
      <w:r>
        <w:t xml:space="preserve">O, </w:t>
      </w:r>
      <w:r w:rsidRPr="00552F93">
        <w:t xml:space="preserve">and </w:t>
      </w:r>
      <w:r>
        <w:t xml:space="preserve">as the clouds move </w:t>
      </w:r>
      <w:r w:rsidRPr="00552F93">
        <w:t xml:space="preserve">inland (and </w:t>
      </w:r>
      <w:r>
        <w:t>to</w:t>
      </w:r>
      <w:r w:rsidRPr="00552F93">
        <w:t xml:space="preserve"> higher elevation</w:t>
      </w:r>
      <w:r>
        <w:t>s</w:t>
      </w:r>
      <w:r w:rsidRPr="00552F93">
        <w:t>)</w:t>
      </w:r>
      <w:r>
        <w:t>,</w:t>
      </w:r>
      <w:r w:rsidRPr="00552F93">
        <w:t xml:space="preserve"> the rain becomes </w:t>
      </w:r>
      <w:r>
        <w:t xml:space="preserve">progressively </w:t>
      </w:r>
      <w:r w:rsidRPr="00552F93">
        <w:t xml:space="preserve">depleted </w:t>
      </w:r>
      <w:r>
        <w:t xml:space="preserve">of </w:t>
      </w:r>
      <w:r w:rsidRPr="00C44EBE">
        <w:rPr>
          <w:vertAlign w:val="superscript"/>
        </w:rPr>
        <w:t>18</w:t>
      </w:r>
      <w:r>
        <w:t xml:space="preserve">O. </w:t>
      </w:r>
      <w:r w:rsidRPr="00552F93">
        <w:t>Thus</w:t>
      </w:r>
      <w:r>
        <w:t>,</w:t>
      </w:r>
      <w:r w:rsidRPr="00552F93">
        <w:t xml:space="preserve"> oxygen isotope ratios have </w:t>
      </w:r>
      <w:r w:rsidRPr="00552F93">
        <w:lastRenderedPageBreak/>
        <w:t>potential to vary geographically</w:t>
      </w:r>
      <w:r>
        <w:t xml:space="preserve"> and provide information on past human movement</w:t>
      </w:r>
      <w:r w:rsidRPr="00552F93">
        <w:t>.</w:t>
      </w:r>
      <w:r w:rsidR="00277DFB">
        <w:rPr>
          <w:rFonts w:ascii="Calibri" w:hAnsi="Calibri"/>
        </w:rPr>
        <w:t xml:space="preserve"> </w:t>
      </w:r>
    </w:p>
    <w:p w14:paraId="3CC7BD67" w14:textId="58251075" w:rsidR="00F40127" w:rsidRDefault="00F639A7" w:rsidP="00F94598">
      <w:pPr>
        <w:widowControl w:val="0"/>
        <w:autoSpaceDE w:val="0"/>
        <w:autoSpaceDN w:val="0"/>
        <w:adjustRightInd w:val="0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The o</w:t>
      </w:r>
      <w:r w:rsidR="00F40127" w:rsidRPr="00E674EB">
        <w:rPr>
          <w:rFonts w:ascii="Helvetica" w:eastAsia="Times New Roman" w:hAnsi="Helvetica"/>
        </w:rPr>
        <w:t>xygen isotope</w:t>
      </w:r>
      <w:r w:rsidR="00F40127">
        <w:rPr>
          <w:rFonts w:ascii="Helvetica" w:eastAsia="Times New Roman" w:hAnsi="Helvetica"/>
        </w:rPr>
        <w:t xml:space="preserve"> composition</w:t>
      </w:r>
      <w:r w:rsidR="00F40127" w:rsidRPr="00E674EB">
        <w:rPr>
          <w:rFonts w:ascii="Helvetica" w:eastAsia="Times New Roman" w:hAnsi="Helvetica"/>
        </w:rPr>
        <w:t xml:space="preserve"> </w:t>
      </w:r>
      <w:r w:rsidR="00F40127">
        <w:rPr>
          <w:rFonts w:ascii="Helvetica" w:eastAsia="Times New Roman" w:hAnsi="Helvetica"/>
        </w:rPr>
        <w:t>of</w:t>
      </w:r>
      <w:r w:rsidR="00F40127" w:rsidRPr="00E674EB">
        <w:rPr>
          <w:rFonts w:ascii="Helvetica" w:eastAsia="Times New Roman" w:hAnsi="Helvetica"/>
        </w:rPr>
        <w:t xml:space="preserve"> ancient human skeletal remains </w:t>
      </w:r>
      <w:r w:rsidR="00F40127">
        <w:rPr>
          <w:rFonts w:ascii="Helvetica" w:eastAsia="Times New Roman" w:hAnsi="Helvetica"/>
        </w:rPr>
        <w:t xml:space="preserve">can be </w:t>
      </w:r>
      <w:r>
        <w:rPr>
          <w:rFonts w:ascii="Helvetica" w:eastAsia="Times New Roman" w:hAnsi="Helvetica"/>
        </w:rPr>
        <w:t>measured</w:t>
      </w:r>
      <w:r w:rsidR="00F40127" w:rsidRPr="00E674EB">
        <w:rPr>
          <w:rFonts w:ascii="Helvetica" w:eastAsia="Times New Roman" w:hAnsi="Helvetica"/>
        </w:rPr>
        <w:t xml:space="preserve"> in both tooth enamel and</w:t>
      </w:r>
      <w:r w:rsidR="00F40127" w:rsidRPr="00693856">
        <w:rPr>
          <w:rFonts w:ascii="Helvetica" w:eastAsia="Times New Roman" w:hAnsi="Helvetica"/>
        </w:rPr>
        <w:t xml:space="preserve"> </w:t>
      </w:r>
      <w:r w:rsidR="00F40127" w:rsidRPr="00E674EB">
        <w:rPr>
          <w:rFonts w:ascii="Helvetica" w:eastAsia="Times New Roman" w:hAnsi="Helvetica"/>
        </w:rPr>
        <w:t xml:space="preserve">bone. </w:t>
      </w:r>
      <w:r w:rsidR="00F40127">
        <w:t>O</w:t>
      </w:r>
      <w:r w:rsidR="00F40127" w:rsidRPr="0002107F">
        <w:t xml:space="preserve">xygen is incorporated into dental enamel during the early life of an individual </w:t>
      </w:r>
      <w:r w:rsidR="00F40127">
        <w:t>and</w:t>
      </w:r>
      <w:r w:rsidR="00F40127" w:rsidRPr="0002107F">
        <w:t xml:space="preserve"> it remains unchanged through adulthood. Thus, oxygen isotopes</w:t>
      </w:r>
      <w:r w:rsidR="00F40127">
        <w:t xml:space="preserve"> </w:t>
      </w:r>
      <w:r w:rsidR="00F40127" w:rsidRPr="0002107F">
        <w:t>have the potential to be used to investigate human mobility and provenience</w:t>
      </w:r>
      <w:r w:rsidR="00F40127">
        <w:t xml:space="preserve"> (</w:t>
      </w:r>
      <w:bookmarkStart w:id="5" w:name="OLE_LINK21"/>
      <w:r w:rsidR="00F40127">
        <w:t xml:space="preserve">Bowen and </w:t>
      </w:r>
      <w:proofErr w:type="spellStart"/>
      <w:r w:rsidR="00F40127">
        <w:t>Revenaugh</w:t>
      </w:r>
      <w:proofErr w:type="spellEnd"/>
      <w:r w:rsidR="00F40127">
        <w:t xml:space="preserve"> 2003</w:t>
      </w:r>
      <w:bookmarkEnd w:id="5"/>
      <w:r w:rsidR="00F40127">
        <w:t>)</w:t>
      </w:r>
      <w:r w:rsidR="00F40127" w:rsidRPr="0002107F">
        <w:rPr>
          <w:rFonts w:cs="Arial"/>
          <w:color w:val="000000"/>
          <w:szCs w:val="19"/>
        </w:rPr>
        <w:t>.</w:t>
      </w:r>
      <w:r w:rsidR="00F40127">
        <w:rPr>
          <w:rFonts w:cs="Arial"/>
          <w:color w:val="000000"/>
          <w:szCs w:val="19"/>
        </w:rPr>
        <w:t xml:space="preserve"> Oxygen isotopes </w:t>
      </w:r>
      <w:r w:rsidR="00F40127" w:rsidRPr="0002107F">
        <w:rPr>
          <w:rFonts w:cs="Arial"/>
          <w:color w:val="000000"/>
          <w:szCs w:val="19"/>
        </w:rPr>
        <w:t xml:space="preserve">are </w:t>
      </w:r>
      <w:r w:rsidR="00F40127">
        <w:rPr>
          <w:rFonts w:cs="Arial"/>
          <w:color w:val="000000"/>
          <w:szCs w:val="19"/>
        </w:rPr>
        <w:t>conventionally</w:t>
      </w:r>
      <w:r w:rsidR="00F40127" w:rsidRPr="0002107F">
        <w:rPr>
          <w:rFonts w:cs="Arial"/>
          <w:color w:val="000000"/>
          <w:szCs w:val="19"/>
        </w:rPr>
        <w:t xml:space="preserve"> reported as the per mil difference in </w:t>
      </w:r>
      <w:r w:rsidR="00F40127">
        <w:rPr>
          <w:rFonts w:cs="Arial"/>
          <w:color w:val="000000"/>
          <w:szCs w:val="19"/>
        </w:rPr>
        <w:t xml:space="preserve">the ratio of </w:t>
      </w:r>
      <w:bookmarkStart w:id="6" w:name="OLE_LINK41"/>
      <w:r w:rsidR="00F40127" w:rsidRPr="0002107F">
        <w:rPr>
          <w:rFonts w:cs="Arial"/>
          <w:color w:val="000000"/>
          <w:szCs w:val="19"/>
          <w:vertAlign w:val="superscript"/>
        </w:rPr>
        <w:t>18</w:t>
      </w:r>
      <w:r w:rsidR="00F40127">
        <w:rPr>
          <w:rFonts w:cs="Arial"/>
          <w:color w:val="000000"/>
          <w:szCs w:val="19"/>
        </w:rPr>
        <w:t xml:space="preserve">O to </w:t>
      </w:r>
      <w:r w:rsidR="00F40127" w:rsidRPr="0002107F">
        <w:rPr>
          <w:rFonts w:cs="Arial"/>
          <w:color w:val="000000"/>
          <w:szCs w:val="19"/>
          <w:vertAlign w:val="superscript"/>
        </w:rPr>
        <w:t>16</w:t>
      </w:r>
      <w:r w:rsidR="00F40127" w:rsidRPr="0002107F">
        <w:rPr>
          <w:rFonts w:cs="Arial"/>
          <w:color w:val="000000"/>
          <w:szCs w:val="19"/>
        </w:rPr>
        <w:t>O</w:t>
      </w:r>
      <w:bookmarkEnd w:id="6"/>
      <w:r w:rsidR="00F40127" w:rsidRPr="0002107F">
        <w:rPr>
          <w:rFonts w:cs="Arial"/>
          <w:color w:val="000000"/>
          <w:szCs w:val="19"/>
        </w:rPr>
        <w:t xml:space="preserve"> between a sample and a stand</w:t>
      </w:r>
      <w:r w:rsidR="00F40127">
        <w:rPr>
          <w:rFonts w:cs="Arial"/>
          <w:color w:val="000000"/>
          <w:szCs w:val="19"/>
        </w:rPr>
        <w:t>ard</w:t>
      </w:r>
      <w:r>
        <w:rPr>
          <w:rFonts w:cs="Arial"/>
          <w:color w:val="000000"/>
          <w:szCs w:val="19"/>
        </w:rPr>
        <w:t xml:space="preserve"> in parts per thousand (‰)</w:t>
      </w:r>
      <w:r w:rsidR="00F40127">
        <w:rPr>
          <w:rFonts w:cs="Arial"/>
          <w:color w:val="000000"/>
          <w:szCs w:val="19"/>
        </w:rPr>
        <w:t>. T</w:t>
      </w:r>
      <w:r w:rsidR="00F40127" w:rsidRPr="0002107F">
        <w:rPr>
          <w:rFonts w:cs="Arial"/>
          <w:color w:val="000000"/>
          <w:szCs w:val="19"/>
        </w:rPr>
        <w:t xml:space="preserve">his value is designated as </w:t>
      </w:r>
      <w:bookmarkStart w:id="7" w:name="OLE_LINK298"/>
      <w:r w:rsidR="00F40127" w:rsidRPr="0002107F">
        <w:rPr>
          <w:rFonts w:ascii="Symbol" w:hAnsi="Symbol" w:cs="Arial"/>
          <w:color w:val="000000"/>
          <w:szCs w:val="19"/>
        </w:rPr>
        <w:t></w:t>
      </w:r>
      <w:r w:rsidR="00F40127" w:rsidRPr="0002107F">
        <w:rPr>
          <w:rFonts w:cs="Arial"/>
          <w:color w:val="000000"/>
          <w:szCs w:val="19"/>
          <w:vertAlign w:val="superscript"/>
        </w:rPr>
        <w:t>18</w:t>
      </w:r>
      <w:r w:rsidR="00F40127" w:rsidRPr="0002107F">
        <w:rPr>
          <w:rFonts w:cs="Arial"/>
          <w:color w:val="000000"/>
          <w:szCs w:val="19"/>
        </w:rPr>
        <w:t>O</w:t>
      </w:r>
      <w:bookmarkEnd w:id="7"/>
      <w:r w:rsidR="00F40127" w:rsidRPr="0002107F">
        <w:rPr>
          <w:rFonts w:cs="Arial"/>
          <w:color w:val="000000"/>
          <w:szCs w:val="19"/>
        </w:rPr>
        <w:t>.</w:t>
      </w:r>
      <w:r w:rsidR="00F40127" w:rsidRPr="00DB047A">
        <w:t xml:space="preserve"> </w:t>
      </w:r>
      <w:r w:rsidR="00F40127">
        <w:t xml:space="preserve">This value </w:t>
      </w:r>
      <w:r w:rsidR="00F40127" w:rsidRPr="0002107F">
        <w:rPr>
          <w:rFonts w:cs="Arial"/>
          <w:color w:val="000000"/>
          <w:szCs w:val="19"/>
        </w:rPr>
        <w:t>can be measured in either carbonate (CO</w:t>
      </w:r>
      <w:r w:rsidR="00F40127" w:rsidRPr="00D342C3">
        <w:rPr>
          <w:rFonts w:cs="Arial"/>
          <w:color w:val="000000"/>
          <w:szCs w:val="19"/>
          <w:vertAlign w:val="subscript"/>
        </w:rPr>
        <w:t>3</w:t>
      </w:r>
      <w:r w:rsidR="00F40127" w:rsidRPr="0002107F">
        <w:rPr>
          <w:rFonts w:cs="Arial"/>
          <w:color w:val="000000"/>
          <w:szCs w:val="19"/>
        </w:rPr>
        <w:t>)</w:t>
      </w:r>
      <w:r w:rsidR="00F40127">
        <w:rPr>
          <w:rFonts w:cs="Arial"/>
          <w:color w:val="000000"/>
          <w:szCs w:val="19"/>
          <w:vertAlign w:val="superscript"/>
        </w:rPr>
        <w:t>-</w:t>
      </w:r>
      <w:r w:rsidR="00F40127" w:rsidRPr="0002107F">
        <w:rPr>
          <w:rFonts w:cs="Arial"/>
          <w:color w:val="000000"/>
          <w:szCs w:val="19"/>
          <w:vertAlign w:val="superscript"/>
        </w:rPr>
        <w:t>2</w:t>
      </w:r>
      <w:r w:rsidR="00F40127" w:rsidRPr="0002107F">
        <w:rPr>
          <w:rFonts w:cs="Arial"/>
          <w:color w:val="000000"/>
          <w:szCs w:val="19"/>
        </w:rPr>
        <w:t xml:space="preserve"> or phosphate (PO</w:t>
      </w:r>
      <w:r w:rsidR="00F40127" w:rsidRPr="00D342C3">
        <w:rPr>
          <w:rFonts w:cs="Arial"/>
          <w:color w:val="000000"/>
          <w:szCs w:val="19"/>
          <w:vertAlign w:val="subscript"/>
        </w:rPr>
        <w:t>4</w:t>
      </w:r>
      <w:r w:rsidR="00F40127" w:rsidRPr="0002107F">
        <w:rPr>
          <w:rFonts w:cs="Arial"/>
          <w:color w:val="000000"/>
          <w:szCs w:val="19"/>
        </w:rPr>
        <w:t>)</w:t>
      </w:r>
      <w:r w:rsidR="00F40127" w:rsidRPr="0002107F">
        <w:rPr>
          <w:rFonts w:cs="Arial"/>
          <w:color w:val="000000"/>
          <w:szCs w:val="19"/>
          <w:vertAlign w:val="superscript"/>
        </w:rPr>
        <w:t>-3</w:t>
      </w:r>
      <w:r w:rsidR="00F40127" w:rsidRPr="0002107F">
        <w:rPr>
          <w:rFonts w:cs="Arial"/>
          <w:color w:val="000000"/>
          <w:szCs w:val="12"/>
        </w:rPr>
        <w:t xml:space="preserve"> </w:t>
      </w:r>
      <w:r w:rsidR="00F40127">
        <w:rPr>
          <w:rFonts w:cs="Arial"/>
          <w:color w:val="000000"/>
          <w:szCs w:val="12"/>
        </w:rPr>
        <w:t xml:space="preserve">contained </w:t>
      </w:r>
      <w:r w:rsidR="00F40127">
        <w:rPr>
          <w:rFonts w:cs="Arial"/>
          <w:color w:val="000000"/>
          <w:szCs w:val="19"/>
        </w:rPr>
        <w:t>in</w:t>
      </w:r>
      <w:r w:rsidR="00F40127" w:rsidRPr="0002107F">
        <w:rPr>
          <w:rFonts w:cs="Arial"/>
          <w:color w:val="000000"/>
          <w:szCs w:val="19"/>
        </w:rPr>
        <w:t xml:space="preserve"> </w:t>
      </w:r>
      <w:r w:rsidR="00F40127">
        <w:rPr>
          <w:rFonts w:cs="Arial"/>
          <w:color w:val="000000"/>
          <w:szCs w:val="19"/>
        </w:rPr>
        <w:t>the apatite that comprises the mineral fraction of tooth and bone</w:t>
      </w:r>
      <w:r w:rsidR="00F40127" w:rsidRPr="0002107F">
        <w:rPr>
          <w:rFonts w:cs="Arial"/>
          <w:color w:val="000000"/>
          <w:szCs w:val="19"/>
        </w:rPr>
        <w:t xml:space="preserve">. </w:t>
      </w:r>
      <w:r w:rsidR="00F40127">
        <w:rPr>
          <w:rFonts w:ascii="Helvetica" w:eastAsia="Times New Roman" w:hAnsi="Helvetica"/>
        </w:rPr>
        <w:t>L</w:t>
      </w:r>
      <w:r w:rsidR="00F40127" w:rsidRPr="00E674EB">
        <w:rPr>
          <w:rFonts w:ascii="Helvetica" w:eastAsia="Times New Roman" w:hAnsi="Helvetica"/>
        </w:rPr>
        <w:t xml:space="preserve">ess sample is needed for carbonate, preparation is less demanding, and </w:t>
      </w:r>
      <w:r w:rsidR="00F40127">
        <w:rPr>
          <w:rFonts w:ascii="Helvetica" w:eastAsia="Times New Roman" w:hAnsi="Helvetica"/>
        </w:rPr>
        <w:t xml:space="preserve">some researchers suggest that the </w:t>
      </w:r>
      <w:r w:rsidR="00F40127" w:rsidRPr="00E674EB">
        <w:rPr>
          <w:rFonts w:ascii="Helvetica" w:eastAsia="Times New Roman" w:hAnsi="Helvetica"/>
        </w:rPr>
        <w:t>results between l</w:t>
      </w:r>
      <w:r w:rsidR="00F40127">
        <w:rPr>
          <w:rFonts w:ascii="Helvetica" w:eastAsia="Times New Roman" w:hAnsi="Helvetica"/>
        </w:rPr>
        <w:t xml:space="preserve">aboratories are more comparable (e.g., Bryant et al. 1995, </w:t>
      </w:r>
      <w:proofErr w:type="spellStart"/>
      <w:r w:rsidR="00F40127">
        <w:t>Sponheimer</w:t>
      </w:r>
      <w:proofErr w:type="spellEnd"/>
      <w:r w:rsidR="00F40127">
        <w:t xml:space="preserve"> and </w:t>
      </w:r>
      <w:r w:rsidR="00F40127" w:rsidRPr="00A217E3">
        <w:t>Lee-Th</w:t>
      </w:r>
      <w:r w:rsidR="00F40127">
        <w:t>orp 1999, Chenery et al. 2012</w:t>
      </w:r>
      <w:r w:rsidR="00F40127">
        <w:rPr>
          <w:rFonts w:ascii="Helvetica" w:eastAsia="Times New Roman" w:hAnsi="Helvetica"/>
        </w:rPr>
        <w:t xml:space="preserve">). </w:t>
      </w:r>
      <w:r w:rsidR="00F40127" w:rsidRPr="00E674EB">
        <w:rPr>
          <w:rFonts w:ascii="Helvetica" w:eastAsia="Times New Roman" w:hAnsi="Helvetica"/>
        </w:rPr>
        <w:t>The standard used is commonly VSMO</w:t>
      </w:r>
      <w:r w:rsidR="00F40127">
        <w:rPr>
          <w:rFonts w:ascii="Helvetica" w:eastAsia="Times New Roman" w:hAnsi="Helvetica"/>
        </w:rPr>
        <w:t>W</w:t>
      </w:r>
      <w:r w:rsidR="00F40127" w:rsidRPr="00E674EB">
        <w:rPr>
          <w:rFonts w:ascii="Helvetica" w:eastAsia="Times New Roman" w:hAnsi="Helvetica"/>
        </w:rPr>
        <w:t xml:space="preserve"> (Vienna Standard Mean Ocean Water) </w:t>
      </w:r>
      <w:r w:rsidR="00F40127">
        <w:rPr>
          <w:rFonts w:ascii="Helvetica" w:eastAsia="Times New Roman" w:hAnsi="Helvetica"/>
        </w:rPr>
        <w:t>for phosphate, or VPDB (Vienna PDB</w:t>
      </w:r>
      <w:r w:rsidR="00F40127" w:rsidRPr="00E674EB">
        <w:rPr>
          <w:rFonts w:ascii="Helvetica" w:eastAsia="Times New Roman" w:hAnsi="Helvetica"/>
        </w:rPr>
        <w:t xml:space="preserve">) for carbonate oxygen. </w:t>
      </w:r>
    </w:p>
    <w:p w14:paraId="7E858C0A" w14:textId="77777777" w:rsidR="00CF3808" w:rsidRDefault="00F40127" w:rsidP="00F94598">
      <w:pPr>
        <w:widowControl w:val="0"/>
        <w:autoSpaceDE w:val="0"/>
        <w:autoSpaceDN w:val="0"/>
        <w:adjustRightInd w:val="0"/>
      </w:pPr>
      <w:r>
        <w:t xml:space="preserve">While the </w:t>
      </w:r>
      <w:r w:rsidRPr="00F639A7">
        <w:rPr>
          <w:rFonts w:ascii="Symbol" w:hAnsi="Symbol" w:cs="Arial"/>
          <w:i/>
          <w:iCs/>
          <w:color w:val="000000"/>
          <w:szCs w:val="19"/>
        </w:rPr>
        <w:t></w:t>
      </w:r>
      <w:r w:rsidRPr="0002107F">
        <w:rPr>
          <w:rFonts w:cs="Arial"/>
          <w:color w:val="000000"/>
          <w:szCs w:val="19"/>
          <w:vertAlign w:val="superscript"/>
        </w:rPr>
        <w:t>18</w:t>
      </w:r>
      <w:r w:rsidRPr="0002107F">
        <w:rPr>
          <w:rFonts w:cs="Arial"/>
          <w:color w:val="000000"/>
          <w:szCs w:val="19"/>
        </w:rPr>
        <w:t>O</w:t>
      </w:r>
      <w:r>
        <w:t xml:space="preserve"> values for carbonate and phosphate oxygen are commonly referenced using different standards, they are easily made comparable: </w:t>
      </w:r>
      <w:r w:rsidRPr="00F639A7">
        <w:rPr>
          <w:rFonts w:ascii="Symbol" w:hAnsi="Symbol"/>
          <w:i/>
          <w:iCs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 xml:space="preserve">C(VPDB) </w:t>
      </w:r>
      <w:r w:rsidRPr="00F71AD1">
        <w:t xml:space="preserve">= (0.97 x </w:t>
      </w:r>
      <w:r>
        <w:rPr>
          <w:rFonts w:ascii="Symbol" w:hAnsi="Symbol"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>C</w:t>
      </w:r>
      <w:r>
        <w:rPr>
          <w:vertAlign w:val="subscript"/>
        </w:rPr>
        <w:t xml:space="preserve"> </w:t>
      </w:r>
      <w:r w:rsidRPr="00F71AD1">
        <w:rPr>
          <w:vertAlign w:val="subscript"/>
        </w:rPr>
        <w:t>(</w:t>
      </w:r>
      <w:r>
        <w:rPr>
          <w:vertAlign w:val="subscript"/>
        </w:rPr>
        <w:t>V</w:t>
      </w:r>
      <w:r w:rsidRPr="00F71AD1">
        <w:rPr>
          <w:vertAlign w:val="subscript"/>
        </w:rPr>
        <w:t>SMOW)</w:t>
      </w:r>
      <w:r>
        <w:t>) -29.98</w:t>
      </w:r>
      <w:r w:rsidR="004A7454">
        <w:t xml:space="preserve"> (</w:t>
      </w:r>
      <w:proofErr w:type="spellStart"/>
      <w:r w:rsidR="004A7454">
        <w:rPr>
          <w:rFonts w:eastAsiaTheme="minorEastAsia" w:cs="Times Roman"/>
          <w:szCs w:val="26"/>
          <w:lang w:eastAsia="ja-JP"/>
        </w:rPr>
        <w:t>Coplen</w:t>
      </w:r>
      <w:proofErr w:type="spellEnd"/>
      <w:r w:rsidR="004A7454" w:rsidRPr="004A7454">
        <w:rPr>
          <w:rFonts w:eastAsiaTheme="minorEastAsia" w:cs="Times Roman"/>
          <w:szCs w:val="26"/>
          <w:lang w:eastAsia="ja-JP"/>
        </w:rPr>
        <w:t xml:space="preserve"> </w:t>
      </w:r>
      <w:r w:rsidR="004A7454">
        <w:rPr>
          <w:rFonts w:eastAsiaTheme="minorEastAsia" w:cs="Times Roman"/>
          <w:szCs w:val="26"/>
          <w:lang w:eastAsia="ja-JP"/>
        </w:rPr>
        <w:t>et al. 1983).</w:t>
      </w:r>
      <w:r>
        <w:t xml:space="preserve"> Methodologies for both </w:t>
      </w:r>
      <w:r w:rsidRPr="00F639A7">
        <w:rPr>
          <w:rFonts w:ascii="Symbol" w:hAnsi="Symbol" w:cs="Arial"/>
          <w:i/>
          <w:iCs/>
          <w:color w:val="000000"/>
          <w:szCs w:val="19"/>
        </w:rPr>
        <w:t></w:t>
      </w:r>
      <w:r w:rsidRPr="0002107F">
        <w:rPr>
          <w:rFonts w:cs="Arial"/>
          <w:color w:val="000000"/>
          <w:szCs w:val="19"/>
          <w:vertAlign w:val="superscript"/>
        </w:rPr>
        <w:t>18</w:t>
      </w:r>
      <w:r w:rsidRPr="0002107F">
        <w:rPr>
          <w:rFonts w:cs="Arial"/>
          <w:color w:val="000000"/>
          <w:szCs w:val="19"/>
        </w:rPr>
        <w:t>O</w:t>
      </w:r>
      <w:r w:rsidRPr="00C44EBE">
        <w:rPr>
          <w:rFonts w:cs="Arial"/>
          <w:color w:val="000000"/>
          <w:szCs w:val="19"/>
          <w:vertAlign w:val="subscript"/>
        </w:rPr>
        <w:t>p</w:t>
      </w:r>
      <w:r>
        <w:t xml:space="preserve"> and </w:t>
      </w:r>
      <w:r w:rsidRPr="00F639A7">
        <w:rPr>
          <w:rFonts w:ascii="Symbol" w:hAnsi="Symbol" w:cs="Arial"/>
          <w:i/>
          <w:iCs/>
          <w:color w:val="000000"/>
          <w:szCs w:val="19"/>
        </w:rPr>
        <w:t></w:t>
      </w:r>
      <w:r w:rsidRPr="0002107F">
        <w:rPr>
          <w:rFonts w:cs="Arial"/>
          <w:color w:val="000000"/>
          <w:szCs w:val="19"/>
          <w:vertAlign w:val="superscript"/>
        </w:rPr>
        <w:t>18</w:t>
      </w:r>
      <w:r w:rsidRPr="0002107F">
        <w:rPr>
          <w:rFonts w:cs="Arial"/>
          <w:color w:val="000000"/>
          <w:szCs w:val="19"/>
        </w:rPr>
        <w:t>O</w:t>
      </w:r>
      <w:r w:rsidRPr="00C44EBE">
        <w:rPr>
          <w:rFonts w:cs="Arial"/>
          <w:color w:val="000000"/>
          <w:szCs w:val="19"/>
          <w:vertAlign w:val="subscript"/>
        </w:rPr>
        <w:t>c</w:t>
      </w:r>
      <w:r>
        <w:rPr>
          <w:rFonts w:cs="Arial"/>
          <w:color w:val="000000"/>
          <w:szCs w:val="19"/>
        </w:rPr>
        <w:t xml:space="preserve"> are summarized in sections that follow below.</w:t>
      </w:r>
      <w:r>
        <w:t xml:space="preserve"> </w:t>
      </w:r>
      <w:r w:rsidR="000066D4">
        <w:t xml:space="preserve">These </w:t>
      </w:r>
      <w:bookmarkStart w:id="8" w:name="OLE_LINK39"/>
      <w:r w:rsidR="000066D4" w:rsidRPr="00F639A7">
        <w:rPr>
          <w:rFonts w:ascii="Symbol" w:hAnsi="Symbol" w:cs="Arial"/>
          <w:i/>
          <w:iCs/>
          <w:color w:val="000000"/>
          <w:szCs w:val="19"/>
        </w:rPr>
        <w:t></w:t>
      </w:r>
      <w:r w:rsidR="000066D4" w:rsidRPr="0002107F">
        <w:rPr>
          <w:rFonts w:cs="Arial"/>
          <w:color w:val="000000"/>
          <w:szCs w:val="19"/>
          <w:vertAlign w:val="superscript"/>
        </w:rPr>
        <w:t>18</w:t>
      </w:r>
      <w:r w:rsidR="000066D4" w:rsidRPr="0002107F">
        <w:rPr>
          <w:rFonts w:cs="Arial"/>
          <w:color w:val="000000"/>
          <w:szCs w:val="19"/>
        </w:rPr>
        <w:t>O</w:t>
      </w:r>
      <w:bookmarkEnd w:id="8"/>
      <w:r w:rsidR="000066D4">
        <w:t xml:space="preserve"> values for carbonate and phosphate oxygen using different standards are comparable though calculation. </w:t>
      </w:r>
    </w:p>
    <w:p w14:paraId="6AB9F203" w14:textId="6034EA98" w:rsidR="000066D4" w:rsidRPr="00F40127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b/>
          <w:color w:val="000000"/>
          <w:lang w:eastAsia="ja-JP"/>
        </w:rPr>
      </w:pPr>
      <w:r w:rsidRPr="00DC0CA0">
        <w:t xml:space="preserve">Chenery </w:t>
      </w:r>
      <w:r>
        <w:t xml:space="preserve">et al. </w:t>
      </w:r>
      <w:r w:rsidRPr="00DC0CA0">
        <w:t>(</w:t>
      </w:r>
      <w:r>
        <w:t xml:space="preserve">2012) defined the </w:t>
      </w:r>
      <w:r w:rsidRPr="00DC0CA0">
        <w:t>relationship between the</w:t>
      </w:r>
      <w:r>
        <w:rPr>
          <w:rFonts w:ascii="AdvTTb4a90e5b.B" w:hAnsi="AdvTTb4a90e5b.B"/>
        </w:rPr>
        <w:t xml:space="preserve"> </w:t>
      </w:r>
      <w:r w:rsidRPr="00CF3808">
        <w:rPr>
          <w:rFonts w:ascii="Symbol" w:hAnsi="Symbol" w:cs="Arial"/>
          <w:i/>
          <w:iCs/>
          <w:color w:val="000000"/>
          <w:szCs w:val="22"/>
        </w:rPr>
        <w:t></w:t>
      </w:r>
      <w:r w:rsidRPr="007E450B">
        <w:rPr>
          <w:rFonts w:cs="Arial"/>
          <w:color w:val="000000"/>
          <w:szCs w:val="22"/>
          <w:vertAlign w:val="superscript"/>
        </w:rPr>
        <w:t>18</w:t>
      </w:r>
      <w:r w:rsidRPr="007E450B">
        <w:rPr>
          <w:rFonts w:cs="Arial"/>
          <w:color w:val="000000"/>
          <w:szCs w:val="22"/>
        </w:rPr>
        <w:t>O</w:t>
      </w:r>
      <w:r>
        <w:rPr>
          <w:rFonts w:cs="Arial"/>
          <w:color w:val="000000"/>
          <w:szCs w:val="22"/>
        </w:rPr>
        <w:t xml:space="preserve"> value of drinking water and </w:t>
      </w:r>
      <w:r w:rsidRPr="00CF3808">
        <w:rPr>
          <w:rFonts w:ascii="Symbol" w:hAnsi="Symbol" w:cs="Arial"/>
          <w:i/>
          <w:iCs/>
          <w:color w:val="000000"/>
          <w:szCs w:val="22"/>
        </w:rPr>
        <w:t></w:t>
      </w:r>
      <w:r w:rsidRPr="007E450B">
        <w:rPr>
          <w:rFonts w:cs="Arial"/>
          <w:color w:val="000000"/>
          <w:szCs w:val="22"/>
          <w:vertAlign w:val="superscript"/>
        </w:rPr>
        <w:t>18</w:t>
      </w:r>
      <w:r w:rsidRPr="007E450B">
        <w:rPr>
          <w:rFonts w:cs="Arial"/>
          <w:color w:val="000000"/>
          <w:szCs w:val="22"/>
        </w:rPr>
        <w:t>O</w:t>
      </w:r>
      <w:r>
        <w:rPr>
          <w:rFonts w:cs="Arial"/>
          <w:color w:val="000000"/>
          <w:szCs w:val="22"/>
        </w:rPr>
        <w:t xml:space="preserve"> in enamel carbonate </w:t>
      </w:r>
      <w:r w:rsidRPr="00F71AD1">
        <w:rPr>
          <w:rFonts w:cs="Arial"/>
          <w:szCs w:val="22"/>
        </w:rPr>
        <w:t xml:space="preserve">as </w:t>
      </w:r>
      <w:r w:rsidRPr="00CF3808">
        <w:rPr>
          <w:rFonts w:ascii="Symbol" w:hAnsi="Symbol"/>
          <w:i/>
          <w:iCs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 xml:space="preserve">C = </w:t>
      </w:r>
      <w:r w:rsidRPr="00F71AD1">
        <w:t>(</w:t>
      </w:r>
      <w:bookmarkStart w:id="9" w:name="OLE_LINK378"/>
      <w:r w:rsidRPr="00CF3808">
        <w:rPr>
          <w:rFonts w:ascii="Symbol" w:hAnsi="Symbol"/>
          <w:i/>
          <w:iCs/>
        </w:rPr>
        <w:t></w:t>
      </w:r>
      <w:bookmarkEnd w:id="9"/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 xml:space="preserve">DW </w:t>
      </w:r>
      <w:r>
        <w:t xml:space="preserve">+ 48.634) /1.59 </w:t>
      </w:r>
      <w:r w:rsidRPr="00F71AD1">
        <w:rPr>
          <w:rFonts w:cs="Arial"/>
          <w:szCs w:val="22"/>
        </w:rPr>
        <w:t>relative to standard mean ocean water (</w:t>
      </w:r>
      <w:r>
        <w:rPr>
          <w:rFonts w:cs="Arial"/>
          <w:szCs w:val="22"/>
        </w:rPr>
        <w:t>V</w:t>
      </w:r>
      <w:r w:rsidRPr="00F71AD1">
        <w:rPr>
          <w:rFonts w:cs="Arial"/>
          <w:szCs w:val="22"/>
        </w:rPr>
        <w:t xml:space="preserve">SMOW). </w:t>
      </w:r>
      <w:r>
        <w:rPr>
          <w:rFonts w:cs="Arial"/>
          <w:szCs w:val="22"/>
        </w:rPr>
        <w:t>M</w:t>
      </w:r>
      <w:r w:rsidRPr="00F71AD1">
        <w:rPr>
          <w:rFonts w:cs="Arial"/>
          <w:szCs w:val="22"/>
        </w:rPr>
        <w:t xml:space="preserve">easurements made </w:t>
      </w:r>
      <w:r>
        <w:rPr>
          <w:rFonts w:cs="Arial"/>
          <w:szCs w:val="22"/>
        </w:rPr>
        <w:t>using a</w:t>
      </w:r>
      <w:r w:rsidRPr="00F71AD1">
        <w:rPr>
          <w:rFonts w:cs="Arial"/>
          <w:szCs w:val="22"/>
        </w:rPr>
        <w:t xml:space="preserve"> Pee Dee Belemnite (PDB</w:t>
      </w:r>
      <w:r>
        <w:rPr>
          <w:rFonts w:cs="Arial"/>
          <w:szCs w:val="22"/>
        </w:rPr>
        <w:t>)</w:t>
      </w:r>
      <w:r w:rsidRPr="00F71AD1">
        <w:rPr>
          <w:rFonts w:cs="Arial"/>
          <w:szCs w:val="22"/>
        </w:rPr>
        <w:t xml:space="preserve"> standard must </w:t>
      </w:r>
      <w:r>
        <w:rPr>
          <w:rFonts w:cs="Arial"/>
          <w:szCs w:val="22"/>
        </w:rPr>
        <w:t xml:space="preserve">be </w:t>
      </w:r>
      <w:r w:rsidRPr="00F71AD1">
        <w:rPr>
          <w:rFonts w:cs="Arial"/>
          <w:szCs w:val="22"/>
        </w:rPr>
        <w:t>further correct</w:t>
      </w:r>
      <w:r>
        <w:rPr>
          <w:rFonts w:cs="Arial"/>
          <w:szCs w:val="22"/>
        </w:rPr>
        <w:t>ed</w:t>
      </w:r>
      <w:r w:rsidRPr="00F71AD1">
        <w:rPr>
          <w:rFonts w:cs="Arial"/>
          <w:szCs w:val="22"/>
        </w:rPr>
        <w:t xml:space="preserve">: </w:t>
      </w:r>
      <w:r w:rsidRPr="00CF3808">
        <w:rPr>
          <w:rFonts w:ascii="Symbol" w:hAnsi="Symbol"/>
          <w:i/>
          <w:iCs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 xml:space="preserve">C(VPDB) </w:t>
      </w:r>
      <w:r w:rsidRPr="00F71AD1">
        <w:t xml:space="preserve">= (0.97 x </w:t>
      </w:r>
      <w:r w:rsidRPr="00CF3808">
        <w:rPr>
          <w:rFonts w:ascii="Symbol" w:hAnsi="Symbol"/>
          <w:i/>
          <w:iCs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>C(SMOW)</w:t>
      </w:r>
      <w:r>
        <w:t>) -29.98.  Thus, as an example a drinking w</w:t>
      </w:r>
      <w:r w:rsidRPr="00F71AD1">
        <w:t xml:space="preserve">ater </w:t>
      </w:r>
      <w:r>
        <w:t>value of</w:t>
      </w:r>
      <w:r w:rsidRPr="00F71AD1">
        <w:t xml:space="preserve"> </w:t>
      </w:r>
      <w:r w:rsidRPr="00F71AD1">
        <w:rPr>
          <w:rFonts w:eastAsia="Calibri"/>
          <w:noProof/>
        </w:rPr>
        <w:t>-6.</w:t>
      </w:r>
      <w:r w:rsidR="00CF3808">
        <w:rPr>
          <w:rFonts w:eastAsia="Calibri"/>
          <w:noProof/>
        </w:rPr>
        <w:t>0</w:t>
      </w:r>
      <w:r w:rsidRPr="00F71AD1">
        <w:rPr>
          <w:rFonts w:eastAsia="Calibri"/>
          <w:noProof/>
        </w:rPr>
        <w:t>‰</w:t>
      </w:r>
      <w:r w:rsidRPr="00F71AD1">
        <w:rPr>
          <w:rFonts w:eastAsia="Calibri"/>
          <w:noProof/>
          <w:vertAlign w:val="subscript"/>
        </w:rPr>
        <w:t xml:space="preserve">(SMOW) </w:t>
      </w:r>
      <w:r w:rsidRPr="00F71AD1">
        <w:rPr>
          <w:rFonts w:eastAsia="Calibri"/>
          <w:noProof/>
        </w:rPr>
        <w:t xml:space="preserve">yields </w:t>
      </w:r>
      <w:r>
        <w:rPr>
          <w:rFonts w:eastAsia="Calibri"/>
          <w:noProof/>
        </w:rPr>
        <w:t xml:space="preserve">an </w:t>
      </w:r>
      <w:r w:rsidRPr="00F71AD1">
        <w:rPr>
          <w:rFonts w:eastAsia="Calibri"/>
          <w:noProof/>
        </w:rPr>
        <w:t xml:space="preserve">enamel carbonate </w:t>
      </w:r>
      <w:r w:rsidRPr="00CF3808">
        <w:rPr>
          <w:rFonts w:ascii="Symbol" w:hAnsi="Symbol"/>
          <w:i/>
          <w:iCs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>C(VPDB</w:t>
      </w:r>
      <w:r w:rsidRPr="00F71AD1">
        <w:t>)</w:t>
      </w:r>
      <w:r>
        <w:t xml:space="preserve"> value</w:t>
      </w:r>
      <w:r w:rsidRPr="00F71AD1">
        <w:t xml:space="preserve"> of approximately -4.0</w:t>
      </w:r>
      <w:bookmarkStart w:id="10" w:name="OLE_LINK361"/>
      <w:r w:rsidRPr="00F71AD1">
        <w:t>‰</w:t>
      </w:r>
      <w:bookmarkEnd w:id="10"/>
      <w:r w:rsidRPr="00F71AD1">
        <w:t>.</w:t>
      </w:r>
    </w:p>
    <w:p w14:paraId="4CCB1225" w14:textId="25840397" w:rsidR="00F40127" w:rsidRPr="00F66E1A" w:rsidRDefault="00F40127" w:rsidP="00F94598">
      <w:pPr>
        <w:rPr>
          <w:rFonts w:eastAsia="Calibri"/>
          <w:noProof/>
        </w:rPr>
      </w:pPr>
      <w:r w:rsidRPr="00D75A9F">
        <w:rPr>
          <w:rFonts w:cstheme="minorBidi"/>
        </w:rPr>
        <w:lastRenderedPageBreak/>
        <w:t xml:space="preserve">Values of </w:t>
      </w:r>
      <w:r w:rsidRPr="00D75A9F">
        <w:rPr>
          <w:rFonts w:ascii="Symbol" w:hAnsi="Symbol"/>
        </w:rPr>
        <w:t></w:t>
      </w:r>
      <w:r w:rsidRPr="00D75A9F">
        <w:rPr>
          <w:vertAlign w:val="superscript"/>
        </w:rPr>
        <w:t>18</w:t>
      </w:r>
      <w:r w:rsidRPr="00D75A9F">
        <w:t>O</w:t>
      </w:r>
      <w:r w:rsidRPr="00D75A9F">
        <w:rPr>
          <w:vertAlign w:val="subscript"/>
        </w:rPr>
        <w:t xml:space="preserve">C (VPDB) </w:t>
      </w:r>
      <w:r w:rsidRPr="00D75A9F">
        <w:rPr>
          <w:rFonts w:eastAsia="Calibri"/>
          <w:noProof/>
        </w:rPr>
        <w:t>have been measured at a number of sites arcross</w:t>
      </w:r>
      <w:r>
        <w:rPr>
          <w:rFonts w:eastAsia="Calibri"/>
          <w:noProof/>
        </w:rPr>
        <w:t xml:space="preserve"> Mesoamerica and there is significant variation that can be used top help identify non-local individuals. Fig. S2 shows a box-and-whisker plot of </w:t>
      </w:r>
      <w:r>
        <w:rPr>
          <w:rFonts w:ascii="Symbol" w:hAnsi="Symbol"/>
        </w:rPr>
        <w:t></w:t>
      </w:r>
      <w:r w:rsidRPr="00F71AD1">
        <w:rPr>
          <w:vertAlign w:val="superscript"/>
        </w:rPr>
        <w:t>18</w:t>
      </w:r>
      <w:r w:rsidRPr="00F71AD1">
        <w:t>O</w:t>
      </w:r>
      <w:r w:rsidRPr="00F71AD1">
        <w:rPr>
          <w:vertAlign w:val="subscript"/>
        </w:rPr>
        <w:t>C</w:t>
      </w:r>
      <w:r>
        <w:rPr>
          <w:vertAlign w:val="subscript"/>
        </w:rPr>
        <w:t xml:space="preserve"> </w:t>
      </w:r>
      <w:r w:rsidRPr="00F71AD1">
        <w:rPr>
          <w:vertAlign w:val="subscript"/>
        </w:rPr>
        <w:t>(VPD</w:t>
      </w:r>
      <w:r>
        <w:rPr>
          <w:vertAlign w:val="subscript"/>
        </w:rPr>
        <w:t xml:space="preserve">B) </w:t>
      </w:r>
      <w:r>
        <w:rPr>
          <w:rFonts w:eastAsia="Calibri"/>
          <w:noProof/>
        </w:rPr>
        <w:t>values for a series of sites. Large</w:t>
      </w:r>
      <w:r>
        <w:t xml:space="preserve">-scale differences can be seen between much of central Mexico and the lowlands of the Yucatan, Guatemala, and Belize. In addition, the Peten area of northern Guatemala appears to have a </w:t>
      </w:r>
      <w:r w:rsidRPr="00A8118D">
        <w:t xml:space="preserve">distinctive </w:t>
      </w:r>
      <w:r w:rsidRPr="00A8118D">
        <w:rPr>
          <w:rFonts w:ascii="Symbol" w:eastAsiaTheme="minorEastAsia" w:hAnsi="Symbol" w:cs="Times Roman"/>
          <w:color w:val="000000"/>
          <w:lang w:eastAsia="ja-JP"/>
        </w:rPr>
        <w:t></w:t>
      </w:r>
      <w:r w:rsidRPr="00A8118D">
        <w:rPr>
          <w:rFonts w:eastAsiaTheme="minorEastAsia" w:cs="Times Roman"/>
          <w:color w:val="000000"/>
          <w:vertAlign w:val="superscript"/>
          <w:lang w:eastAsia="ja-JP"/>
        </w:rPr>
        <w:t>18</w:t>
      </w:r>
      <w:r w:rsidRPr="00A8118D">
        <w:rPr>
          <w:rFonts w:eastAsiaTheme="minorEastAsia" w:cs="Times Roman"/>
          <w:color w:val="000000"/>
          <w:lang w:eastAsia="ja-JP"/>
        </w:rPr>
        <w:t>O signal.</w:t>
      </w:r>
    </w:p>
    <w:p w14:paraId="0E0F4AEF" w14:textId="77777777" w:rsidR="000066D4" w:rsidRDefault="000066D4" w:rsidP="00F94598">
      <w:pPr>
        <w:widowControl w:val="0"/>
        <w:autoSpaceDE w:val="0"/>
        <w:autoSpaceDN w:val="0"/>
        <w:adjustRightInd w:val="0"/>
        <w:jc w:val="center"/>
        <w:rPr>
          <w:rFonts w:eastAsiaTheme="minorEastAsia" w:cs="Times Roman"/>
          <w:b/>
          <w:color w:val="000000"/>
          <w:lang w:eastAsia="ja-JP"/>
        </w:rPr>
      </w:pPr>
      <w:r>
        <w:rPr>
          <w:rFonts w:eastAsiaTheme="minorEastAsia" w:cs="Times Roman"/>
          <w:b/>
          <w:noProof/>
          <w:color w:val="000000"/>
        </w:rPr>
        <w:drawing>
          <wp:inline distT="0" distB="0" distL="0" distR="0" wp14:anchorId="6B57AEC3" wp14:editId="11E5573C">
            <wp:extent cx="2416379" cy="2485251"/>
            <wp:effectExtent l="0" t="0" r="0" b="4445"/>
            <wp:docPr id="10" name="Picture 10" descr="Macintosh HD:Users:tdprice:Dropbox:ActiveProjects:Cenote:Art:Fig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dprice:Dropbox:ActiveProjects:Cenote:Art:Fig.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74" cy="24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F10D" w14:textId="186C0A28" w:rsidR="00F40127" w:rsidRPr="00A8118D" w:rsidRDefault="000066D4" w:rsidP="00F94598">
      <w:pPr>
        <w:widowControl w:val="0"/>
        <w:autoSpaceDE w:val="0"/>
        <w:autoSpaceDN w:val="0"/>
        <w:adjustRightInd w:val="0"/>
        <w:jc w:val="center"/>
        <w:rPr>
          <w:rFonts w:eastAsiaTheme="minorEastAsia" w:cs="Times Roman"/>
          <w:color w:val="000000"/>
          <w:sz w:val="20"/>
          <w:lang w:eastAsia="ja-JP"/>
        </w:rPr>
      </w:pPr>
      <w:r w:rsidRPr="00A8118D">
        <w:rPr>
          <w:rFonts w:eastAsiaTheme="minorEastAsia" w:cs="Times Roman"/>
          <w:color w:val="000000"/>
          <w:sz w:val="20"/>
          <w:lang w:eastAsia="ja-JP"/>
        </w:rPr>
        <w:t xml:space="preserve">Fig. </w:t>
      </w:r>
      <w:r w:rsidR="000E036A">
        <w:rPr>
          <w:rFonts w:eastAsiaTheme="minorEastAsia" w:cs="Times Roman"/>
          <w:color w:val="000000"/>
          <w:sz w:val="20"/>
          <w:lang w:eastAsia="ja-JP"/>
        </w:rPr>
        <w:t>S2</w:t>
      </w:r>
      <w:r w:rsidRPr="00A8118D">
        <w:rPr>
          <w:rFonts w:eastAsiaTheme="minorEastAsia" w:cs="Times Roman"/>
          <w:color w:val="000000"/>
          <w:sz w:val="20"/>
          <w:lang w:eastAsia="ja-JP"/>
        </w:rPr>
        <w:t xml:space="preserve">. </w:t>
      </w:r>
      <w:r w:rsidRPr="00CF3808">
        <w:rPr>
          <w:rFonts w:ascii="Symbol" w:eastAsiaTheme="minorEastAsia" w:hAnsi="Symbol" w:cs="Times Roman"/>
          <w:i/>
          <w:iCs/>
          <w:color w:val="000000"/>
          <w:sz w:val="20"/>
          <w:lang w:eastAsia="ja-JP"/>
        </w:rPr>
        <w:t></w:t>
      </w:r>
      <w:r w:rsidRPr="00A8118D">
        <w:rPr>
          <w:rFonts w:eastAsiaTheme="minorEastAsia" w:cs="Times Roman"/>
          <w:color w:val="000000"/>
          <w:sz w:val="20"/>
          <w:vertAlign w:val="superscript"/>
          <w:lang w:eastAsia="ja-JP"/>
        </w:rPr>
        <w:t>18</w:t>
      </w:r>
      <w:r w:rsidRPr="00A8118D">
        <w:rPr>
          <w:rFonts w:eastAsiaTheme="minorEastAsia" w:cs="Times Roman"/>
          <w:color w:val="000000"/>
          <w:sz w:val="20"/>
          <w:lang w:eastAsia="ja-JP"/>
        </w:rPr>
        <w:t>O in enamel carbonate at selected sites across Mesoamerica.</w:t>
      </w:r>
    </w:p>
    <w:p w14:paraId="5BB589A2" w14:textId="4F2C875A" w:rsidR="00F40127" w:rsidRPr="00F94598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b/>
          <w:color w:val="000000"/>
          <w:lang w:eastAsia="ja-JP"/>
        </w:rPr>
      </w:pPr>
      <w:r>
        <w:rPr>
          <w:rFonts w:eastAsiaTheme="minorEastAsia" w:cs="Times Roman"/>
          <w:b/>
          <w:color w:val="000000"/>
          <w:lang w:eastAsia="ja-JP"/>
        </w:rPr>
        <w:t xml:space="preserve">Carbon </w:t>
      </w:r>
      <w:r w:rsidRPr="00BD345A">
        <w:rPr>
          <w:rFonts w:eastAsiaTheme="minorEastAsia" w:cs="Times Roman"/>
          <w:b/>
          <w:color w:val="000000"/>
          <w:lang w:eastAsia="ja-JP"/>
        </w:rPr>
        <w:t>Isotope</w:t>
      </w:r>
      <w:r>
        <w:rPr>
          <w:rFonts w:eastAsiaTheme="minorEastAsia" w:cs="Times Roman"/>
          <w:b/>
          <w:color w:val="000000"/>
          <w:lang w:eastAsia="ja-JP"/>
        </w:rPr>
        <w:t>s in Tooth Enamel</w:t>
      </w:r>
    </w:p>
    <w:p w14:paraId="4C29ED45" w14:textId="58C68649" w:rsidR="00F40127" w:rsidRDefault="00F40127" w:rsidP="00F94598">
      <w:pPr>
        <w:rPr>
          <w:rFonts w:cs="Arial"/>
          <w:color w:val="000000"/>
          <w:szCs w:val="22"/>
          <w:lang w:val="en-GB"/>
        </w:rPr>
      </w:pPr>
      <w:r w:rsidRPr="00C6715A">
        <w:t xml:space="preserve">Most paleodiet work using carbon isotopes has focused on the collagen </w:t>
      </w:r>
      <w:r>
        <w:t>component of</w:t>
      </w:r>
      <w:r w:rsidRPr="00C6715A">
        <w:t xml:space="preserve"> </w:t>
      </w:r>
      <w:r>
        <w:t>the skeleton</w:t>
      </w:r>
      <w:r w:rsidRPr="00C6715A">
        <w:t xml:space="preserve">. </w:t>
      </w:r>
      <w:r w:rsidRPr="0002107F">
        <w:t xml:space="preserve">Carbon also is present in the mineral, or carbonate, portion </w:t>
      </w:r>
      <w:r>
        <w:t>of bioapatite, which contains related i</w:t>
      </w:r>
      <w:r w:rsidRPr="0002107F">
        <w:t>nformation on diet (</w:t>
      </w:r>
      <w:r>
        <w:t xml:space="preserve">e.g., Ambrose and </w:t>
      </w:r>
      <w:proofErr w:type="spellStart"/>
      <w:r>
        <w:t>Norr</w:t>
      </w:r>
      <w:proofErr w:type="spellEnd"/>
      <w:r>
        <w:t xml:space="preserve"> 1993, </w:t>
      </w:r>
      <w:r w:rsidRPr="00C6715A">
        <w:t xml:space="preserve">Krueger and Sullivan </w:t>
      </w:r>
      <w:r>
        <w:t xml:space="preserve">1984, </w:t>
      </w:r>
      <w:r>
        <w:rPr>
          <w:szCs w:val="16"/>
        </w:rPr>
        <w:t xml:space="preserve">Lee-Thorp </w:t>
      </w:r>
      <w:r w:rsidR="00CF3808">
        <w:rPr>
          <w:szCs w:val="16"/>
        </w:rPr>
        <w:t>et al.</w:t>
      </w:r>
      <w:r>
        <w:rPr>
          <w:szCs w:val="16"/>
        </w:rPr>
        <w:t>1989</w:t>
      </w:r>
      <w:r w:rsidRPr="0002107F">
        <w:t xml:space="preserve">). </w:t>
      </w:r>
      <w:r>
        <w:t xml:space="preserve">This is particularly valuable for enamel, as it contains very little collagen, making its analysis extremely difficult. </w:t>
      </w:r>
      <w:r>
        <w:rPr>
          <w:rFonts w:cs="Arial"/>
          <w:color w:val="000000"/>
          <w:szCs w:val="22"/>
          <w:lang w:val="en-GB"/>
        </w:rPr>
        <w:t xml:space="preserve">Tooth enamel also largely forms during childhood. While bone collagen from adult individuals provides a </w:t>
      </w:r>
      <w:r w:rsidRPr="00DC1A19">
        <w:rPr>
          <w:rFonts w:cs="Arial"/>
          <w:color w:val="000000"/>
          <w:szCs w:val="22"/>
          <w:lang w:val="en-GB"/>
        </w:rPr>
        <w:t xml:space="preserve">record of adult </w:t>
      </w:r>
      <w:r w:rsidRPr="00260EDB">
        <w:rPr>
          <w:rFonts w:cs="Arial"/>
          <w:color w:val="000000"/>
          <w:szCs w:val="22"/>
          <w:lang w:val="en-GB"/>
        </w:rPr>
        <w:t>diet</w:t>
      </w:r>
      <w:r>
        <w:rPr>
          <w:rFonts w:cs="Arial"/>
          <w:color w:val="000000"/>
          <w:szCs w:val="22"/>
          <w:lang w:val="en-GB"/>
        </w:rPr>
        <w:t>,</w:t>
      </w:r>
      <w:r w:rsidRPr="00260EDB">
        <w:rPr>
          <w:rFonts w:cs="Arial"/>
          <w:color w:val="000000"/>
          <w:szCs w:val="22"/>
          <w:lang w:val="en-GB"/>
        </w:rPr>
        <w:t xml:space="preserve"> tooth enamel </w:t>
      </w:r>
      <w:r>
        <w:rPr>
          <w:rFonts w:cs="Arial"/>
          <w:color w:val="000000"/>
          <w:szCs w:val="22"/>
          <w:lang w:val="en-GB"/>
        </w:rPr>
        <w:t xml:space="preserve">can provide </w:t>
      </w:r>
      <w:r w:rsidRPr="00260EDB">
        <w:rPr>
          <w:rFonts w:cs="Arial"/>
          <w:color w:val="000000"/>
          <w:szCs w:val="22"/>
          <w:lang w:val="en-GB"/>
        </w:rPr>
        <w:t>a record of early childhood</w:t>
      </w:r>
      <w:r>
        <w:rPr>
          <w:rFonts w:cs="Arial"/>
          <w:color w:val="000000"/>
          <w:szCs w:val="22"/>
          <w:lang w:val="en-GB"/>
        </w:rPr>
        <w:t xml:space="preserve"> diet, depending on the tooth that is sampled.</w:t>
      </w:r>
      <w:r w:rsidRPr="00260EDB">
        <w:rPr>
          <w:rFonts w:cs="Arial"/>
          <w:color w:val="000000"/>
          <w:szCs w:val="22"/>
          <w:lang w:val="en-GB"/>
        </w:rPr>
        <w:t xml:space="preserve"> </w:t>
      </w:r>
    </w:p>
    <w:p w14:paraId="7F804F5F" w14:textId="77777777" w:rsidR="00F40127" w:rsidRDefault="00F40127" w:rsidP="00F94598">
      <w:pPr>
        <w:rPr>
          <w:rFonts w:cs="Arial"/>
          <w:color w:val="000000"/>
          <w:szCs w:val="22"/>
        </w:rPr>
      </w:pPr>
      <w:r>
        <w:lastRenderedPageBreak/>
        <w:t xml:space="preserve">Another important difference </w:t>
      </w:r>
      <w:r w:rsidRPr="00C6715A">
        <w:t>between</w:t>
      </w:r>
      <w:r>
        <w:t xml:space="preserve"> collagen and the structural carbonate components</w:t>
      </w:r>
      <w:r w:rsidRPr="00C6715A">
        <w:t xml:space="preserve"> of </w:t>
      </w:r>
      <w:r>
        <w:t>bioapatite</w:t>
      </w:r>
      <w:r w:rsidRPr="00C6715A">
        <w:t xml:space="preserve"> </w:t>
      </w:r>
      <w:r>
        <w:t>lies in the source of the carbon</w:t>
      </w:r>
      <w:r w:rsidRPr="00C6715A">
        <w:t xml:space="preserve">. </w:t>
      </w:r>
      <w:r>
        <w:rPr>
          <w:rFonts w:cs="Arial"/>
          <w:color w:val="000000"/>
          <w:szCs w:val="22"/>
          <w:lang w:val="en-GB"/>
        </w:rPr>
        <w:t>E</w:t>
      </w:r>
      <w:r w:rsidRPr="00260EDB">
        <w:rPr>
          <w:rFonts w:cs="Arial"/>
          <w:color w:val="000000"/>
          <w:szCs w:val="22"/>
          <w:lang w:val="en-GB"/>
        </w:rPr>
        <w:t xml:space="preserve">xperimental studies have </w:t>
      </w:r>
      <w:r>
        <w:rPr>
          <w:rFonts w:cs="Arial"/>
          <w:color w:val="000000"/>
          <w:szCs w:val="22"/>
          <w:lang w:val="en-GB"/>
        </w:rPr>
        <w:t>demonstrated</w:t>
      </w:r>
      <w:r w:rsidRPr="00260EDB">
        <w:rPr>
          <w:rFonts w:cs="Arial"/>
          <w:color w:val="000000"/>
          <w:szCs w:val="22"/>
          <w:lang w:val="en-GB"/>
        </w:rPr>
        <w:t xml:space="preserve"> that collagen carbon comes largely from dietary protein while </w:t>
      </w:r>
      <w:r w:rsidRPr="00260EDB">
        <w:rPr>
          <w:rFonts w:cs="Arial"/>
          <w:color w:val="000000"/>
          <w:szCs w:val="22"/>
        </w:rPr>
        <w:t xml:space="preserve">apatite carbon more accurately reflects the isotopic composition of the total </w:t>
      </w:r>
      <w:r>
        <w:rPr>
          <w:rFonts w:cs="Arial"/>
          <w:color w:val="000000"/>
          <w:szCs w:val="22"/>
        </w:rPr>
        <w:t xml:space="preserve">diet (e.g., Ambrose and </w:t>
      </w:r>
      <w:proofErr w:type="spellStart"/>
      <w:r>
        <w:rPr>
          <w:rFonts w:cs="Arial"/>
          <w:color w:val="000000"/>
          <w:szCs w:val="22"/>
        </w:rPr>
        <w:t>Norr</w:t>
      </w:r>
      <w:proofErr w:type="spellEnd"/>
      <w:r>
        <w:rPr>
          <w:rFonts w:cs="Arial"/>
          <w:color w:val="000000"/>
          <w:szCs w:val="22"/>
        </w:rPr>
        <w:t xml:space="preserve"> 1993</w:t>
      </w:r>
      <w:r w:rsidRPr="00260EDB">
        <w:rPr>
          <w:rFonts w:cs="Arial"/>
          <w:color w:val="000000"/>
          <w:szCs w:val="22"/>
        </w:rPr>
        <w:t xml:space="preserve">). </w:t>
      </w:r>
    </w:p>
    <w:p w14:paraId="5CD70C22" w14:textId="3BAD2B15" w:rsidR="000066D4" w:rsidRPr="00891BC5" w:rsidRDefault="00F40127" w:rsidP="00F94598">
      <w:r>
        <w:t xml:space="preserve">Carbon isotope ratios between </w:t>
      </w:r>
      <w:r w:rsidRPr="009D3D2A">
        <w:rPr>
          <w:vertAlign w:val="superscript"/>
        </w:rPr>
        <w:t>13</w:t>
      </w:r>
      <w:r>
        <w:t xml:space="preserve">C and </w:t>
      </w:r>
      <w:r w:rsidRPr="009D3D2A">
        <w:rPr>
          <w:vertAlign w:val="superscript"/>
        </w:rPr>
        <w:t>12</w:t>
      </w:r>
      <w:r>
        <w:t xml:space="preserve">C are reported relative to the reference material </w:t>
      </w:r>
      <w:proofErr w:type="gramStart"/>
      <w:r>
        <w:t>VPDB, and</w:t>
      </w:r>
      <w:proofErr w:type="gramEnd"/>
      <w:r>
        <w:t xml:space="preserve"> reported as </w:t>
      </w:r>
      <w:r w:rsidRPr="00CF3808">
        <w:rPr>
          <w:i/>
          <w:iCs/>
        </w:rPr>
        <w:sym w:font="Symbol" w:char="F064"/>
      </w:r>
      <w:r w:rsidRPr="00260EDB">
        <w:rPr>
          <w:vertAlign w:val="superscript"/>
        </w:rPr>
        <w:t>13</w:t>
      </w:r>
      <w:r w:rsidRPr="00260EDB">
        <w:t>C</w:t>
      </w:r>
      <w:r>
        <w:t xml:space="preserve"> in per mil </w:t>
      </w:r>
      <w:r w:rsidRPr="0002107F">
        <w:rPr>
          <w:rFonts w:cs="Arial"/>
          <w:color w:val="000000"/>
          <w:szCs w:val="19"/>
        </w:rPr>
        <w:t>(‰)</w:t>
      </w:r>
      <w:r>
        <w:t>. For the samples described in the present study, the t</w:t>
      </w:r>
      <w:r w:rsidRPr="00891BC5">
        <w:t xml:space="preserve">eeth were chemically cleaned </w:t>
      </w:r>
      <w:r>
        <w:t>following the</w:t>
      </w:r>
      <w:r w:rsidRPr="00891BC5">
        <w:t xml:space="preserve"> procedure </w:t>
      </w:r>
      <w:r>
        <w:t xml:space="preserve">described by </w:t>
      </w:r>
      <w:proofErr w:type="spellStart"/>
      <w:r w:rsidRPr="00891BC5">
        <w:t>Balasse</w:t>
      </w:r>
      <w:proofErr w:type="spellEnd"/>
      <w:r w:rsidRPr="00891BC5">
        <w:t xml:space="preserve"> et al. </w:t>
      </w:r>
      <w:r>
        <w:t>(</w:t>
      </w:r>
      <w:r w:rsidRPr="00891BC5">
        <w:t xml:space="preserve">2002). Enamel samples were placed in approximately 2 mL of 2-3% (v/v) solution of bleach for 8 hours and rinsed three times with deionized water, centrifuging the tubes between each aliquot. Then, 0.1 mL/mg of 0.1 M acetic acid was added to each tube for exactly 4 hours, and the samples were rinsed again with three aliquots of deionized water before being freeze-dried for analysis. Analysis was performed in the Environmental Isotope Laboratory (Department of Geosciences, University of Arizona) using a Kiel device attached to a Finnigan MAT252 ratio mass spectrometer. Samples are </w:t>
      </w:r>
      <w:r>
        <w:t xml:space="preserve">reacted </w:t>
      </w:r>
      <w:r w:rsidRPr="00891BC5">
        <w:t>with dehydrated 70°C phosphoric acid</w:t>
      </w:r>
      <w:r>
        <w:t xml:space="preserve"> to release</w:t>
      </w:r>
      <w:r w:rsidRPr="00891BC5">
        <w:t xml:space="preserve"> CO</w:t>
      </w:r>
      <w:r w:rsidRPr="00E210E9">
        <w:rPr>
          <w:vertAlign w:val="subscript"/>
        </w:rPr>
        <w:t>2</w:t>
      </w:r>
      <w:r>
        <w:t>, which is then analyzed for both its carbon and oxygen isotope compositions.</w:t>
      </w:r>
      <w:r w:rsidRPr="00891BC5">
        <w:t xml:space="preserve"> External precision, as calculated from repeated measurements of standard reference materials (NBS-18 &amp; NBS-19)</w:t>
      </w:r>
      <w:r>
        <w:t>,</w:t>
      </w:r>
      <w:r w:rsidRPr="00891BC5">
        <w:t xml:space="preserve"> is ±0.08‰ for </w:t>
      </w:r>
      <w:r w:rsidRPr="00CF3808">
        <w:rPr>
          <w:rFonts w:ascii="Symbol" w:hAnsi="Symbol"/>
          <w:i/>
          <w:iCs/>
        </w:rPr>
        <w:t></w:t>
      </w:r>
      <w:r w:rsidRPr="005C073A">
        <w:rPr>
          <w:vertAlign w:val="superscript"/>
        </w:rPr>
        <w:t>13</w:t>
      </w:r>
      <w:r w:rsidRPr="00891BC5">
        <w:t xml:space="preserve">C and ±0.1‰ for </w:t>
      </w:r>
      <w:r w:rsidRPr="00CF3808">
        <w:rPr>
          <w:rFonts w:ascii="Symbol" w:hAnsi="Symbol"/>
          <w:i/>
          <w:iCs/>
        </w:rPr>
        <w:t></w:t>
      </w:r>
      <w:r w:rsidRPr="005C073A">
        <w:rPr>
          <w:vertAlign w:val="superscript"/>
        </w:rPr>
        <w:t>18</w:t>
      </w:r>
      <w:r w:rsidRPr="00891BC5">
        <w:t>O.</w:t>
      </w:r>
    </w:p>
    <w:p w14:paraId="54D462E5" w14:textId="4906445C" w:rsidR="006D3939" w:rsidRDefault="000066D4" w:rsidP="00F94598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Times Roman"/>
          <w:b/>
          <w:color w:val="000000"/>
          <w:lang w:eastAsia="ja-JP"/>
        </w:rPr>
      </w:pPr>
      <w:r w:rsidRPr="00BD345A">
        <w:rPr>
          <w:rFonts w:eastAsiaTheme="minorEastAsia" w:cs="Times Roman"/>
          <w:b/>
          <w:color w:val="000000"/>
          <w:lang w:eastAsia="ja-JP"/>
        </w:rPr>
        <w:t>Strontium</w:t>
      </w:r>
      <w:r w:rsidRPr="00BD345A">
        <w:t xml:space="preserve"> </w:t>
      </w:r>
      <w:r w:rsidRPr="00BD345A">
        <w:rPr>
          <w:rFonts w:eastAsiaTheme="minorEastAsia" w:cs="Times Roman"/>
          <w:b/>
          <w:color w:val="000000"/>
          <w:lang w:eastAsia="ja-JP"/>
        </w:rPr>
        <w:t>Isotope</w:t>
      </w:r>
      <w:r>
        <w:rPr>
          <w:rFonts w:eastAsiaTheme="minorEastAsia" w:cs="Times Roman"/>
          <w:b/>
          <w:color w:val="000000"/>
          <w:lang w:eastAsia="ja-JP"/>
        </w:rPr>
        <w:t>s in Tooth Enamel</w:t>
      </w:r>
    </w:p>
    <w:p w14:paraId="27D29CA0" w14:textId="6CD52C02" w:rsidR="006D3939" w:rsidRDefault="000066D4" w:rsidP="00F94598">
      <w:r w:rsidRPr="00BF5525">
        <w:t>Strontium isotope analysis provides a robust means for examining human mobility in the past and</w:t>
      </w:r>
      <w:r>
        <w:t xml:space="preserve"> tracing first generations of </w:t>
      </w:r>
      <w:r w:rsidRPr="00BF5525">
        <w:t xml:space="preserve">migrants. The principle is straightforward. The strontium isotope ratio of </w:t>
      </w:r>
      <w:r w:rsidRPr="00BF5525">
        <w:rPr>
          <w:vertAlign w:val="superscript"/>
        </w:rPr>
        <w:t>87</w:t>
      </w:r>
      <w:r w:rsidRPr="00BF5525">
        <w:t>Sr/</w:t>
      </w:r>
      <w:r w:rsidRPr="00BF5525">
        <w:rPr>
          <w:vertAlign w:val="superscript"/>
        </w:rPr>
        <w:t>86</w:t>
      </w:r>
      <w:r w:rsidRPr="00BF5525">
        <w:t xml:space="preserve">Sr varies among different kinds of rocks. Because the </w:t>
      </w:r>
      <w:r w:rsidRPr="00BF5525">
        <w:rPr>
          <w:vertAlign w:val="superscript"/>
        </w:rPr>
        <w:t>87</w:t>
      </w:r>
      <w:r w:rsidRPr="00BF5525">
        <w:t xml:space="preserve">Sr forms through a radiogenic process as a product of decay from rubidium-87 over time, older rocks with more rubidium have a higher </w:t>
      </w:r>
      <w:r w:rsidRPr="00BF5525">
        <w:rPr>
          <w:vertAlign w:val="superscript"/>
        </w:rPr>
        <w:t>87</w:t>
      </w:r>
      <w:r w:rsidRPr="00BF5525">
        <w:t>Sr/</w:t>
      </w:r>
      <w:r w:rsidRPr="00BF5525">
        <w:rPr>
          <w:vertAlign w:val="superscript"/>
        </w:rPr>
        <w:t>86</w:t>
      </w:r>
      <w:r w:rsidRPr="00BF5525">
        <w:t xml:space="preserve">Sr ratio, while younger rocks with less rubidium are at the opposite end of the range with low ratios (e.g., </w:t>
      </w:r>
      <w:bookmarkStart w:id="11" w:name="OLE_LINK70"/>
      <w:bookmarkStart w:id="12" w:name="OLE_LINK71"/>
      <w:r w:rsidRPr="00BF5525">
        <w:t>Montgomery et al. 2006</w:t>
      </w:r>
      <w:bookmarkEnd w:id="11"/>
      <w:bookmarkEnd w:id="12"/>
      <w:r w:rsidRPr="00BF5525">
        <w:t xml:space="preserve">). Sediments </w:t>
      </w:r>
      <w:r>
        <w:t>reflect</w:t>
      </w:r>
      <w:r w:rsidRPr="00BF5525">
        <w:t xml:space="preserve"> the ratio of their parent material. The amount of </w:t>
      </w:r>
      <w:r w:rsidRPr="00BF5525">
        <w:rPr>
          <w:vertAlign w:val="superscript"/>
        </w:rPr>
        <w:t>87</w:t>
      </w:r>
      <w:r w:rsidRPr="00BF5525">
        <w:t xml:space="preserve">S in nature varies but is </w:t>
      </w:r>
      <w:r>
        <w:t>roughly</w:t>
      </w:r>
      <w:r w:rsidRPr="00BF5525">
        <w:t xml:space="preserve"> 7% of total strontium and </w:t>
      </w:r>
      <w:r w:rsidRPr="00BF5525">
        <w:rPr>
          <w:vertAlign w:val="superscript"/>
        </w:rPr>
        <w:t>86</w:t>
      </w:r>
      <w:r w:rsidRPr="00BF5525">
        <w:t>Sr is 10%</w:t>
      </w:r>
      <w:r>
        <w:t xml:space="preserve"> (</w:t>
      </w:r>
      <w:r w:rsidRPr="00BF5525">
        <w:rPr>
          <w:vertAlign w:val="superscript"/>
        </w:rPr>
        <w:t>87</w:t>
      </w:r>
      <w:r w:rsidRPr="00BF5525">
        <w:t>Sr/</w:t>
      </w:r>
      <w:r w:rsidRPr="00BF5525">
        <w:rPr>
          <w:vertAlign w:val="superscript"/>
        </w:rPr>
        <w:t>86</w:t>
      </w:r>
      <w:r w:rsidRPr="00BF5525">
        <w:t>Sr</w:t>
      </w:r>
      <w:r>
        <w:t xml:space="preserve"> </w:t>
      </w:r>
      <w:r>
        <w:rPr>
          <w:rFonts w:ascii="Cambria" w:hAnsi="Cambria" w:cs="Cambria"/>
        </w:rPr>
        <w:t>⋍</w:t>
      </w:r>
      <w:r>
        <w:rPr>
          <w:rFonts w:ascii="FreeSerif" w:hAnsi="FreeSerif" w:cs="FreeSerif"/>
        </w:rPr>
        <w:t xml:space="preserve"> </w:t>
      </w:r>
      <w:r>
        <w:t xml:space="preserve">0.7). This ratio normally varies </w:t>
      </w:r>
      <w:r w:rsidRPr="00BF5525">
        <w:lastRenderedPageBreak/>
        <w:t>from about 0.70</w:t>
      </w:r>
      <w:r>
        <w:t>4</w:t>
      </w:r>
      <w:r w:rsidRPr="00BF5525">
        <w:t xml:space="preserve"> in young rocks with low Rb to &gt;0.730 in high-Rb rocks that are billions of years old. </w:t>
      </w:r>
    </w:p>
    <w:p w14:paraId="55CF78FF" w14:textId="258404D6" w:rsidR="006D3939" w:rsidRPr="00BF5525" w:rsidRDefault="000066D4" w:rsidP="00F94598">
      <w:r w:rsidRPr="00BF5525">
        <w:t>Strontium moves into humans from rocks and sediment through the food chain (Price 198</w:t>
      </w:r>
      <w:r>
        <w:t>9</w:t>
      </w:r>
      <w:r w:rsidRPr="00BF5525">
        <w:t xml:space="preserve">, </w:t>
      </w:r>
      <w:r w:rsidR="00CF3808">
        <w:t xml:space="preserve">Price et al. </w:t>
      </w:r>
      <w:r>
        <w:t>200</w:t>
      </w:r>
      <w:r w:rsidR="00CF3808">
        <w:t>2</w:t>
      </w:r>
      <w:r w:rsidRPr="00BF5525">
        <w:t xml:space="preserve">, </w:t>
      </w:r>
      <w:proofErr w:type="spellStart"/>
      <w:r w:rsidRPr="00BF5525">
        <w:t>Sillen</w:t>
      </w:r>
      <w:proofErr w:type="spellEnd"/>
      <w:r w:rsidRPr="00BF5525">
        <w:t xml:space="preserve"> and Kavanagh 1982). Most measurements </w:t>
      </w:r>
      <w:r>
        <w:t xml:space="preserve">of human enamel </w:t>
      </w:r>
      <w:r w:rsidRPr="00BF5525">
        <w:t>fall in the range of 0.70</w:t>
      </w:r>
      <w:r>
        <w:t>4</w:t>
      </w:r>
      <w:r w:rsidRPr="00BF5525">
        <w:t xml:space="preserve"> to 0.72</w:t>
      </w:r>
      <w:r>
        <w:t>5</w:t>
      </w:r>
      <w:r w:rsidRPr="00BF5525">
        <w:t xml:space="preserve">. This ratio in enamel </w:t>
      </w:r>
      <w:r>
        <w:t xml:space="preserve">then generally </w:t>
      </w:r>
      <w:r w:rsidRPr="00BF5525">
        <w:t>reflects the underlying geology where one wa</w:t>
      </w:r>
      <w:r>
        <w:t xml:space="preserve">s born when the enamel formed. </w:t>
      </w:r>
      <w:r w:rsidRPr="00BF5525">
        <w:t xml:space="preserve">If </w:t>
      </w:r>
      <w:r>
        <w:t xml:space="preserve">an </w:t>
      </w:r>
      <w:proofErr w:type="gramStart"/>
      <w:r>
        <w:t>individual</w:t>
      </w:r>
      <w:r w:rsidRPr="00BF5525">
        <w:t xml:space="preserve"> moves</w:t>
      </w:r>
      <w:proofErr w:type="gramEnd"/>
      <w:r w:rsidRPr="00BF5525">
        <w:t xml:space="preserve"> to a new location </w:t>
      </w:r>
      <w:r>
        <w:t>in</w:t>
      </w:r>
      <w:r w:rsidRPr="00BF5525">
        <w:t xml:space="preserve"> a different geologic </w:t>
      </w:r>
      <w:r>
        <w:t>context</w:t>
      </w:r>
      <w:r w:rsidRPr="00BF5525">
        <w:t xml:space="preserve">, or is buried in a new place, the enamel </w:t>
      </w:r>
      <w:r w:rsidR="006D3939" w:rsidRPr="00BF5525">
        <w:rPr>
          <w:vertAlign w:val="superscript"/>
        </w:rPr>
        <w:t>87</w:t>
      </w:r>
      <w:r w:rsidR="006D3939" w:rsidRPr="00BF5525">
        <w:t>Sr/</w:t>
      </w:r>
      <w:r w:rsidR="006D3939" w:rsidRPr="00BF5525">
        <w:rPr>
          <w:vertAlign w:val="superscript"/>
        </w:rPr>
        <w:t>86</w:t>
      </w:r>
      <w:r w:rsidR="006D3939" w:rsidRPr="00BF5525">
        <w:t xml:space="preserve">Sr </w:t>
      </w:r>
      <w:r w:rsidRPr="00BF5525">
        <w:t xml:space="preserve">will </w:t>
      </w:r>
      <w:r>
        <w:t xml:space="preserve">differ from </w:t>
      </w:r>
      <w:r w:rsidR="006D3939">
        <w:t>that</w:t>
      </w:r>
      <w:r w:rsidRPr="00BF5525">
        <w:t xml:space="preserve"> of the new location, allowing </w:t>
      </w:r>
      <w:r>
        <w:t>the designation of that individual as a non-local.</w:t>
      </w:r>
    </w:p>
    <w:p w14:paraId="6DC6261E" w14:textId="65033834" w:rsidR="006D3939" w:rsidRDefault="000066D4" w:rsidP="00F94598">
      <w:r w:rsidRPr="00BF5525">
        <w:t>There are several published summaries of the method (</w:t>
      </w:r>
      <w:r>
        <w:t xml:space="preserve">e.g., </w:t>
      </w:r>
      <w:r w:rsidRPr="00BF5525">
        <w:t xml:space="preserve">Bentley 2006, Montgomery 2010, Price </w:t>
      </w:r>
      <w:r>
        <w:t xml:space="preserve">and </w:t>
      </w:r>
      <w:proofErr w:type="spellStart"/>
      <w:r>
        <w:t>Gestsdóttir</w:t>
      </w:r>
      <w:proofErr w:type="spellEnd"/>
      <w:r>
        <w:t xml:space="preserve"> </w:t>
      </w:r>
      <w:r w:rsidRPr="00BF5525">
        <w:t>200</w:t>
      </w:r>
      <w:r>
        <w:t>6</w:t>
      </w:r>
      <w:r w:rsidRPr="00BF5525">
        <w:t xml:space="preserve">, Slovak and </w:t>
      </w:r>
      <w:proofErr w:type="spellStart"/>
      <w:r w:rsidRPr="00BF5525">
        <w:t>Paytan</w:t>
      </w:r>
      <w:proofErr w:type="spellEnd"/>
      <w:r w:rsidRPr="00BF5525">
        <w:t xml:space="preserve"> 2011). Analytical methods are described in detail in a number of publications (e.g., Frei and Price 201</w:t>
      </w:r>
      <w:r>
        <w:t>2, Price et al. 1994</w:t>
      </w:r>
      <w:r w:rsidRPr="00BF5525">
        <w:t xml:space="preserve">, </w:t>
      </w:r>
      <w:proofErr w:type="spellStart"/>
      <w:r w:rsidRPr="00BF5525">
        <w:t>Sjögren</w:t>
      </w:r>
      <w:proofErr w:type="spellEnd"/>
      <w:r w:rsidRPr="00BF5525">
        <w:t xml:space="preserve"> et al. 2009, Slovak and </w:t>
      </w:r>
      <w:proofErr w:type="spellStart"/>
      <w:r w:rsidRPr="00BF5525">
        <w:t>Paytan</w:t>
      </w:r>
      <w:proofErr w:type="spellEnd"/>
      <w:r w:rsidRPr="00BF5525">
        <w:t xml:space="preserve"> 2011). Numerous examples of the application of strontium isotope ratios to archaeological questions have been published (e.g., </w:t>
      </w:r>
      <w:r w:rsidRPr="00BF5525">
        <w:rPr>
          <w:rFonts w:cs="Times"/>
          <w:color w:val="000000"/>
        </w:rPr>
        <w:t>Benson et al. 200</w:t>
      </w:r>
      <w:r>
        <w:rPr>
          <w:rFonts w:cs="Times"/>
          <w:color w:val="000000"/>
        </w:rPr>
        <w:t>3</w:t>
      </w:r>
      <w:r w:rsidRPr="00BF5525">
        <w:rPr>
          <w:rFonts w:cs="Times"/>
          <w:color w:val="000000"/>
        </w:rPr>
        <w:t xml:space="preserve">, </w:t>
      </w:r>
      <w:proofErr w:type="spellStart"/>
      <w:r w:rsidRPr="00BF5525">
        <w:rPr>
          <w:rFonts w:cs="Times"/>
          <w:color w:val="000000"/>
        </w:rPr>
        <w:t>Hedman</w:t>
      </w:r>
      <w:proofErr w:type="spellEnd"/>
      <w:r w:rsidRPr="00BF5525">
        <w:rPr>
          <w:rFonts w:cs="Times"/>
          <w:color w:val="000000"/>
        </w:rPr>
        <w:t xml:space="preserve"> et al. 2009, Knudson</w:t>
      </w:r>
      <w:r>
        <w:rPr>
          <w:rFonts w:cs="Times"/>
          <w:color w:val="000000"/>
        </w:rPr>
        <w:t xml:space="preserve"> et al.</w:t>
      </w:r>
      <w:r w:rsidRPr="00BF5525">
        <w:rPr>
          <w:rFonts w:cs="Times"/>
          <w:color w:val="000000"/>
        </w:rPr>
        <w:t xml:space="preserve"> 2008, Montgomery et al. 2003, </w:t>
      </w:r>
      <w:r w:rsidRPr="00BF5525">
        <w:rPr>
          <w:lang w:val="en-GB"/>
        </w:rPr>
        <w:t xml:space="preserve">Price et al. 2011, </w:t>
      </w:r>
      <w:r w:rsidRPr="00BF5525">
        <w:t>Wright 2005).</w:t>
      </w:r>
    </w:p>
    <w:p w14:paraId="39DF6DF9" w14:textId="267D7330" w:rsidR="006D3939" w:rsidRDefault="006D3939" w:rsidP="00F94598">
      <w:pPr>
        <w:widowControl w:val="0"/>
        <w:autoSpaceDE w:val="0"/>
        <w:autoSpaceDN w:val="0"/>
        <w:adjustRightInd w:val="0"/>
      </w:pPr>
      <w:r>
        <w:t xml:space="preserve">For the </w:t>
      </w:r>
      <w:r w:rsidR="00CF3808">
        <w:t xml:space="preserve">samples described in the present study, </w:t>
      </w:r>
      <w:r>
        <w:t>t</w:t>
      </w:r>
      <w:r w:rsidRPr="00891BC5">
        <w:t xml:space="preserve">eeth </w:t>
      </w:r>
      <w:r>
        <w:t>were</w:t>
      </w:r>
      <w:r w:rsidRPr="00891BC5">
        <w:t xml:space="preserve"> cleaned with a dental drill equipped with a carbide burr (to remove any visible dirt or contamination</w:t>
      </w:r>
      <w:r>
        <w:t>)</w:t>
      </w:r>
      <w:r w:rsidRPr="00891BC5">
        <w:t xml:space="preserve">. A sample </w:t>
      </w:r>
      <w:r>
        <w:t>was</w:t>
      </w:r>
      <w:r w:rsidRPr="00891BC5">
        <w:t xml:space="preserve"> then taken from the tooth crown using a dental drill equipped with a circular saw. Approximately one quarter to one half of the tooth crown is removed. Remaining dentin </w:t>
      </w:r>
      <w:r>
        <w:t>was</w:t>
      </w:r>
      <w:r w:rsidRPr="00891BC5">
        <w:t xml:space="preserve"> removed from the tooth fragment using a dental drill with a carbide bur</w:t>
      </w:r>
      <w:r>
        <w:t>r</w:t>
      </w:r>
      <w:r w:rsidRPr="00891BC5">
        <w:t xml:space="preserve">, leaving the blue-white enamel. In some cases, fragments of enamel </w:t>
      </w:r>
      <w:r>
        <w:t>were</w:t>
      </w:r>
      <w:r w:rsidRPr="00891BC5">
        <w:t xml:space="preserve"> removed from the base of the crown. </w:t>
      </w:r>
      <w:r>
        <w:t>Enamel was then ground to powder and</w:t>
      </w:r>
      <w:r w:rsidRPr="00891BC5">
        <w:t xml:space="preserve"> weighed. </w:t>
      </w:r>
    </w:p>
    <w:p w14:paraId="4B8ABB0E" w14:textId="0E6F75B4" w:rsidR="006D3939" w:rsidRDefault="000066D4" w:rsidP="00F94598">
      <w:pPr>
        <w:widowControl w:val="0"/>
        <w:autoSpaceDE w:val="0"/>
        <w:autoSpaceDN w:val="0"/>
        <w:adjustRightInd w:val="0"/>
      </w:pPr>
      <w:r w:rsidRPr="00891BC5">
        <w:t>Measurement of strontium isotope</w:t>
      </w:r>
      <w:r w:rsidR="006D3939">
        <w:t xml:space="preserve"> ratio</w:t>
      </w:r>
      <w:r w:rsidRPr="00891BC5">
        <w:t xml:space="preserve">s was done at the Geochronology and Isotope Geochemistry Lab at the University of North Carolina-Chapel Hill </w:t>
      </w:r>
      <w:r>
        <w:t>under the direction of</w:t>
      </w:r>
      <w:r w:rsidRPr="00891BC5">
        <w:t xml:space="preserve"> Paul Fullagar. Samples were dissolved in nitric acid and the strontium fraction purified by ion selective chromatography (</w:t>
      </w:r>
      <w:proofErr w:type="spellStart"/>
      <w:r w:rsidRPr="00891BC5">
        <w:t>Eichrom</w:t>
      </w:r>
      <w:proofErr w:type="spellEnd"/>
      <w:r w:rsidRPr="00891BC5">
        <w:t xml:space="preserve"> Sr resin), </w:t>
      </w:r>
      <w:r w:rsidRPr="00891BC5">
        <w:lastRenderedPageBreak/>
        <w:t>prior to analysis by TIMS on a VG Sector 54 mass spectrometer run in dynamic mode. Internal precision in the laboratory is consistently around 0.0007% standard error (or 1</w:t>
      </w:r>
      <w:r>
        <w:t>σ</w:t>
      </w:r>
      <w:r w:rsidRPr="00891BC5">
        <w:t>=0.00006 in the ratio of a particular sample). Long-term, repeated measurements of SRM-987 are around 0.710260—an acceptable difference from the recognized value of 0.710250—and raw sample values from individual runs are standardized to the recognized value of SRM-987.</w:t>
      </w:r>
    </w:p>
    <w:p w14:paraId="554FF5C7" w14:textId="7EC78B16" w:rsidR="006D3939" w:rsidRDefault="000066D4" w:rsidP="00F94598">
      <w:r w:rsidRPr="00BF5525">
        <w:t xml:space="preserve">An essential </w:t>
      </w:r>
      <w:r>
        <w:t>issue in</w:t>
      </w:r>
      <w:r w:rsidRPr="00BF5525">
        <w:t xml:space="preserve"> strontium isotope analysis </w:t>
      </w:r>
      <w:r>
        <w:t>involves determination of</w:t>
      </w:r>
      <w:r w:rsidRPr="00BF5525">
        <w:t xml:space="preserve"> the local strontium isotope signal for the area in which </w:t>
      </w:r>
      <w:r>
        <w:t>a</w:t>
      </w:r>
      <w:r w:rsidRPr="00BF5525">
        <w:t xml:space="preserve"> burial is </w:t>
      </w:r>
      <w:r>
        <w:t>found</w:t>
      </w:r>
      <w:r w:rsidRPr="00BF5525">
        <w:t>. In fact, levels of strontium isotopes in human ti</w:t>
      </w:r>
      <w:r>
        <w:t>ssue may vary from the actual geological background</w:t>
      </w:r>
      <w:r w:rsidRPr="00BF5525">
        <w:t xml:space="preserve"> for </w:t>
      </w:r>
      <w:r>
        <w:t>a number of</w:t>
      </w:r>
      <w:r w:rsidRPr="00BF5525">
        <w:t xml:space="preserve"> reasons (</w:t>
      </w:r>
      <w:r>
        <w:t xml:space="preserve">e.g., </w:t>
      </w:r>
      <w:bookmarkStart w:id="13" w:name="OLE_LINK80"/>
      <w:bookmarkStart w:id="14" w:name="OLE_LINK81"/>
      <w:r>
        <w:t xml:space="preserve">Maurer et al. 2012, </w:t>
      </w:r>
      <w:r w:rsidRPr="00BF5525">
        <w:t>Price et al. 2002</w:t>
      </w:r>
      <w:r w:rsidRPr="005533B6">
        <w:t xml:space="preserve">, </w:t>
      </w:r>
      <w:proofErr w:type="spellStart"/>
      <w:r w:rsidRPr="005533B6">
        <w:t>Sillen</w:t>
      </w:r>
      <w:proofErr w:type="spellEnd"/>
      <w:r w:rsidRPr="005533B6">
        <w:t xml:space="preserve"> et al. 1998</w:t>
      </w:r>
      <w:bookmarkEnd w:id="13"/>
      <w:bookmarkEnd w:id="14"/>
      <w:r>
        <w:t>).</w:t>
      </w:r>
      <w:r w:rsidRPr="00BF5525">
        <w:t xml:space="preserve"> </w:t>
      </w:r>
      <w:r>
        <w:t xml:space="preserve">Factors include differential weathering of minerals in rock, atmospheric dust, </w:t>
      </w:r>
      <w:r w:rsidR="006D3939">
        <w:t xml:space="preserve">and </w:t>
      </w:r>
      <w:r>
        <w:t xml:space="preserve">the deposition of aeolian, alluvial, or glacial sediments on top of bedrock geology. Complex geological areas may have several different sources of </w:t>
      </w:r>
      <w:bookmarkStart w:id="15" w:name="OLE_LINK324"/>
      <w:r w:rsidRPr="00BF5525">
        <w:rPr>
          <w:vertAlign w:val="superscript"/>
        </w:rPr>
        <w:t>87</w:t>
      </w:r>
      <w:r w:rsidRPr="00BF5525">
        <w:t>Sr/</w:t>
      </w:r>
      <w:r w:rsidRPr="00BF5525">
        <w:rPr>
          <w:vertAlign w:val="superscript"/>
        </w:rPr>
        <w:t>86</w:t>
      </w:r>
      <w:r w:rsidRPr="00BF5525">
        <w:t xml:space="preserve">Sr </w:t>
      </w:r>
      <w:bookmarkEnd w:id="15"/>
      <w:r>
        <w:t xml:space="preserve">contributing to human diets. Coastal populations are impacted by several phenomena. Marine foods, for example, have a constant </w:t>
      </w:r>
      <w:r w:rsidRPr="00612B28">
        <w:t xml:space="preserve">strontium isotope </w:t>
      </w:r>
      <w:r>
        <w:t>ratio of 0.7092. The same ratio, 0.7092, may also be introduced by salt spray and rainfall in coastal areas. For these</w:t>
      </w:r>
      <w:r w:rsidRPr="00BF5525">
        <w:t xml:space="preserve"> reason</w:t>
      </w:r>
      <w:r>
        <w:t>s</w:t>
      </w:r>
      <w:r w:rsidRPr="00BF5525">
        <w:t xml:space="preserve">, it is necessary to measure </w:t>
      </w:r>
      <w:r w:rsidRPr="00BF5525">
        <w:rPr>
          <w:i/>
        </w:rPr>
        <w:t>bioavailable</w:t>
      </w:r>
      <w:r w:rsidRPr="00BF5525">
        <w:t xml:space="preserve"> levels of </w:t>
      </w:r>
      <w:r w:rsidRPr="00BF5525">
        <w:rPr>
          <w:vertAlign w:val="superscript"/>
        </w:rPr>
        <w:t>87</w:t>
      </w:r>
      <w:r w:rsidRPr="00BF5525">
        <w:t>Sr/</w:t>
      </w:r>
      <w:r w:rsidRPr="00BF5525">
        <w:rPr>
          <w:vertAlign w:val="superscript"/>
        </w:rPr>
        <w:t>86</w:t>
      </w:r>
      <w:r w:rsidRPr="00BF5525">
        <w:t xml:space="preserve">Sr to </w:t>
      </w:r>
      <w:r>
        <w:t>ascertain</w:t>
      </w:r>
      <w:r w:rsidRPr="00BF5525">
        <w:t xml:space="preserve"> local strontium isotope ratios</w:t>
      </w:r>
      <w:r>
        <w:t xml:space="preserve">. </w:t>
      </w:r>
    </w:p>
    <w:p w14:paraId="5E2D3253" w14:textId="532C6F4B" w:rsidR="000066D4" w:rsidRPr="00097781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lang w:eastAsia="ja-JP"/>
        </w:rPr>
      </w:pPr>
      <w:r w:rsidRPr="00097781">
        <w:rPr>
          <w:rFonts w:eastAsiaTheme="minorEastAsia" w:cs="Times Roman"/>
          <w:color w:val="000000"/>
          <w:szCs w:val="21"/>
          <w:lang w:eastAsia="ja-JP"/>
        </w:rPr>
        <w:t>The geology of the Central Highlands of Mexico is complex</w:t>
      </w:r>
      <w:r w:rsidR="00CF3808">
        <w:rPr>
          <w:rFonts w:eastAsiaTheme="minorEastAsia" w:cs="Times Roman"/>
          <w:color w:val="000000"/>
          <w:szCs w:val="21"/>
          <w:lang w:eastAsia="ja-JP"/>
        </w:rPr>
        <w:t>. A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</w:t>
      </w:r>
      <w:r>
        <w:rPr>
          <w:rFonts w:eastAsiaTheme="minorEastAsia" w:cs="Times Roman"/>
          <w:color w:val="000000"/>
          <w:szCs w:val="21"/>
          <w:lang w:eastAsia="ja-JP"/>
        </w:rPr>
        <w:t xml:space="preserve">mixture of recent volcanic high mountain </w:t>
      </w:r>
      <w:r w:rsidRPr="00097781">
        <w:rPr>
          <w:rFonts w:eastAsiaTheme="minorEastAsia" w:cs="Times Roman"/>
          <w:color w:val="000000"/>
          <w:szCs w:val="21"/>
          <w:lang w:eastAsia="ja-JP"/>
        </w:rPr>
        <w:t>ranges, the Sierra Madre Occidental (</w:t>
      </w:r>
      <w:proofErr w:type="spellStart"/>
      <w:r w:rsidRPr="00097781">
        <w:rPr>
          <w:rFonts w:eastAsiaTheme="minorEastAsia" w:cs="Times Roman"/>
          <w:color w:val="000000"/>
          <w:szCs w:val="21"/>
          <w:lang w:eastAsia="ja-JP"/>
        </w:rPr>
        <w:t>SMOc</w:t>
      </w:r>
      <w:proofErr w:type="spellEnd"/>
      <w:r w:rsidRPr="00097781">
        <w:rPr>
          <w:rFonts w:eastAsiaTheme="minorEastAsia" w:cs="Times Roman"/>
          <w:color w:val="000000"/>
          <w:szCs w:val="21"/>
          <w:lang w:eastAsia="ja-JP"/>
        </w:rPr>
        <w:t>) and the Sierra Madre Or</w:t>
      </w:r>
      <w:r>
        <w:rPr>
          <w:rFonts w:eastAsiaTheme="minorEastAsia" w:cs="Times Roman"/>
          <w:color w:val="000000"/>
          <w:szCs w:val="21"/>
          <w:lang w:eastAsia="ja-JP"/>
        </w:rPr>
        <w:t>iental (</w:t>
      </w:r>
      <w:proofErr w:type="spellStart"/>
      <w:r>
        <w:rPr>
          <w:rFonts w:eastAsiaTheme="minorEastAsia" w:cs="Times Roman"/>
          <w:color w:val="000000"/>
          <w:szCs w:val="21"/>
          <w:lang w:eastAsia="ja-JP"/>
        </w:rPr>
        <w:t>SMOr</w:t>
      </w:r>
      <w:proofErr w:type="spellEnd"/>
      <w:r>
        <w:rPr>
          <w:rFonts w:eastAsiaTheme="minorEastAsia" w:cs="Times Roman"/>
          <w:color w:val="000000"/>
          <w:szCs w:val="21"/>
          <w:lang w:eastAsia="ja-JP"/>
        </w:rPr>
        <w:t>), dominate the Cen</w:t>
      </w:r>
      <w:r w:rsidRPr="00097781">
        <w:rPr>
          <w:rFonts w:eastAsiaTheme="minorEastAsia" w:cs="Times Roman"/>
          <w:color w:val="000000"/>
          <w:szCs w:val="21"/>
          <w:lang w:eastAsia="ja-JP"/>
        </w:rPr>
        <w:t>tral Mexican mountain</w:t>
      </w:r>
      <w:r>
        <w:rPr>
          <w:rFonts w:eastAsiaTheme="minorEastAsia" w:cs="Times Roman"/>
          <w:color w:val="000000"/>
          <w:szCs w:val="21"/>
          <w:lang w:eastAsia="ja-JP"/>
        </w:rPr>
        <w:t>s. The eastern ranges are pre</w:t>
      </w:r>
      <w:r w:rsidRPr="00097781">
        <w:rPr>
          <w:rFonts w:eastAsiaTheme="minorEastAsia" w:cs="Times Roman"/>
          <w:color w:val="000000"/>
          <w:szCs w:val="21"/>
          <w:lang w:eastAsia="ja-JP"/>
        </w:rPr>
        <w:t>dominantly Paleozoic sediment</w:t>
      </w:r>
      <w:r w:rsidR="00CF3808">
        <w:rPr>
          <w:rFonts w:eastAsiaTheme="minorEastAsia" w:cs="Times Roman"/>
          <w:color w:val="000000"/>
          <w:szCs w:val="21"/>
          <w:lang w:eastAsia="ja-JP"/>
        </w:rPr>
        <w:t>ary rock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s of marine origin that are likely to have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>
        <w:rPr>
          <w:rFonts w:eastAsiaTheme="minorEastAsia" w:cs="Times Roman"/>
          <w:color w:val="000000"/>
          <w:szCs w:val="21"/>
          <w:lang w:eastAsia="ja-JP"/>
        </w:rPr>
        <w:t>values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close to average Paleozoic seawater (</w:t>
      </w:r>
      <w:r>
        <w:rPr>
          <w:rFonts w:eastAsiaTheme="minorEastAsia" w:cs="Times Roman"/>
          <w:color w:val="000000"/>
          <w:szCs w:val="21"/>
          <w:lang w:eastAsia="ja-JP"/>
        </w:rPr>
        <w:t xml:space="preserve">0.708). The western ranges </w:t>
      </w:r>
      <w:r w:rsidRPr="00097781">
        <w:rPr>
          <w:rFonts w:eastAsiaTheme="minorEastAsia" w:cs="Times Roman"/>
          <w:color w:val="000000"/>
          <w:szCs w:val="21"/>
          <w:lang w:eastAsia="ja-JP"/>
        </w:rPr>
        <w:t>are predominantly yo</w:t>
      </w:r>
      <w:r>
        <w:rPr>
          <w:rFonts w:eastAsiaTheme="minorEastAsia" w:cs="Times Roman"/>
          <w:color w:val="000000"/>
          <w:szCs w:val="21"/>
          <w:lang w:eastAsia="ja-JP"/>
        </w:rPr>
        <w:t>ung rhyolitic and andesitic vol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canic rocks with somewhat lower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>
        <w:rPr>
          <w:rFonts w:eastAsiaTheme="minorEastAsia" w:cs="Times Roman"/>
          <w:color w:val="000000"/>
          <w:szCs w:val="21"/>
          <w:lang w:eastAsia="ja-JP"/>
        </w:rPr>
        <w:t>values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(avg. </w:t>
      </w:r>
      <w:r w:rsidR="006D3939"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>.7058, Torres-Alvarado et al. 2000).</w:t>
      </w:r>
    </w:p>
    <w:p w14:paraId="2698F99D" w14:textId="00A4FBC0" w:rsidR="006D3939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position w:val="2"/>
          <w:szCs w:val="21"/>
          <w:lang w:eastAsia="ja-JP"/>
        </w:rPr>
      </w:pPr>
      <w:r w:rsidRPr="00097781">
        <w:rPr>
          <w:rFonts w:eastAsiaTheme="minorEastAsia" w:cs="Times Roman"/>
          <w:color w:val="000000"/>
          <w:lang w:eastAsia="ja-JP"/>
        </w:rPr>
        <w:t xml:space="preserve">Between </w:t>
      </w:r>
      <w:r>
        <w:rPr>
          <w:rFonts w:eastAsiaTheme="minorEastAsia" w:cs="Times Roman"/>
          <w:color w:val="000000"/>
          <w:lang w:eastAsia="ja-JP"/>
        </w:rPr>
        <w:t xml:space="preserve">the </w:t>
      </w:r>
      <w:proofErr w:type="spellStart"/>
      <w:r>
        <w:rPr>
          <w:rFonts w:eastAsiaTheme="minorEastAsia" w:cs="Times Roman"/>
          <w:color w:val="000000"/>
          <w:lang w:eastAsia="ja-JP"/>
        </w:rPr>
        <w:t>SMOc</w:t>
      </w:r>
      <w:proofErr w:type="spellEnd"/>
      <w:r>
        <w:rPr>
          <w:rFonts w:eastAsiaTheme="minorEastAsia" w:cs="Times Roman"/>
          <w:color w:val="000000"/>
          <w:lang w:eastAsia="ja-JP"/>
        </w:rPr>
        <w:t xml:space="preserve"> and </w:t>
      </w:r>
      <w:proofErr w:type="spellStart"/>
      <w:r>
        <w:rPr>
          <w:rFonts w:eastAsiaTheme="minorEastAsia" w:cs="Times Roman"/>
          <w:color w:val="000000"/>
          <w:lang w:eastAsia="ja-JP"/>
        </w:rPr>
        <w:t>SMOr</w:t>
      </w:r>
      <w:proofErr w:type="spellEnd"/>
      <w:r>
        <w:rPr>
          <w:rFonts w:eastAsiaTheme="minorEastAsia" w:cs="Times Roman"/>
          <w:color w:val="000000"/>
          <w:lang w:eastAsia="ja-JP"/>
        </w:rPr>
        <w:t xml:space="preserve"> lies the Mexi</w:t>
      </w:r>
      <w:r w:rsidRPr="00097781">
        <w:rPr>
          <w:rFonts w:eastAsiaTheme="minorEastAsia" w:cs="Times Roman"/>
          <w:color w:val="000000"/>
          <w:lang w:eastAsia="ja-JP"/>
        </w:rPr>
        <w:t xml:space="preserve">can Altiplano, which has sedimentary deposits 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derived from the surrounding Cordillera and thus should have intermediate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 w:rsidRPr="00097781">
        <w:rPr>
          <w:rFonts w:eastAsiaTheme="minorEastAsia" w:cs="Times Roman"/>
          <w:color w:val="000000"/>
          <w:szCs w:val="21"/>
          <w:lang w:eastAsia="ja-JP"/>
        </w:rPr>
        <w:t>(</w:t>
      </w:r>
      <w:r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>.706-</w:t>
      </w:r>
      <w:r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.707). The Cordillera and the Altiplano are </w:t>
      </w:r>
      <w:r w:rsidRPr="00097781">
        <w:rPr>
          <w:rFonts w:eastAsiaTheme="minorEastAsia" w:cs="Times Roman"/>
          <w:color w:val="000000"/>
          <w:szCs w:val="21"/>
          <w:lang w:eastAsia="ja-JP"/>
        </w:rPr>
        <w:lastRenderedPageBreak/>
        <w:t xml:space="preserve">bounded on the south by the east-west trending Mexican Volcanic Belt (MVB), for which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>
        <w:rPr>
          <w:rFonts w:eastAsiaTheme="minorEastAsia" w:cs="Times Roman"/>
          <w:color w:val="000000"/>
          <w:szCs w:val="21"/>
          <w:lang w:eastAsia="ja-JP"/>
        </w:rPr>
        <w:t>values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average </w:t>
      </w:r>
      <w:r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>.7040 (Torres-Alvarado et al. 2000). There is a crude west-to-east trend with lower values in the western volcanic rocks (</w:t>
      </w:r>
      <w:r w:rsidR="007935D4"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.704) through the intermediate Altiplano </w:t>
      </w:r>
      <w:r>
        <w:rPr>
          <w:rFonts w:eastAsiaTheme="minorEastAsia" w:cs="Times Roman"/>
          <w:color w:val="000000"/>
          <w:szCs w:val="21"/>
          <w:lang w:eastAsia="ja-JP"/>
        </w:rPr>
        <w:t>(0.706) to the higher val</w:t>
      </w:r>
      <w:r w:rsidRPr="00097781">
        <w:rPr>
          <w:rFonts w:eastAsiaTheme="minorEastAsia" w:cs="Times Roman"/>
          <w:color w:val="000000"/>
          <w:szCs w:val="21"/>
          <w:lang w:eastAsia="ja-JP"/>
        </w:rPr>
        <w:t>ues of the marine sediment (</w:t>
      </w:r>
      <w:r>
        <w:rPr>
          <w:rFonts w:eastAsiaTheme="minorEastAsia" w:cs="Times Roman"/>
          <w:color w:val="000000"/>
          <w:szCs w:val="21"/>
          <w:lang w:eastAsia="ja-JP"/>
        </w:rPr>
        <w:t>0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.708) with the highest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in the youngest sediments along the Gulf </w:t>
      </w:r>
      <w:r w:rsidRPr="00097781">
        <w:rPr>
          <w:rFonts w:eastAsiaTheme="minorEastAsia" w:cs="Times Roman"/>
          <w:color w:val="000000"/>
          <w:position w:val="2"/>
          <w:lang w:eastAsia="ja-JP"/>
        </w:rPr>
        <w:t xml:space="preserve">Coast (.709). This resembles the south to north </w:t>
      </w:r>
      <w:r w:rsidRPr="00097781">
        <w:rPr>
          <w:rFonts w:eastAsiaTheme="minorEastAsia" w:cs="Times Roman"/>
          <w:color w:val="000000"/>
          <w:position w:val="2"/>
          <w:szCs w:val="21"/>
          <w:lang w:eastAsia="ja-JP"/>
        </w:rPr>
        <w:t xml:space="preserve">trend of the Maya area but is less pronounced. </w:t>
      </w:r>
    </w:p>
    <w:p w14:paraId="55ACB44E" w14:textId="05DB28EB" w:rsidR="006D3939" w:rsidRPr="007D7F47" w:rsidRDefault="000066D4" w:rsidP="00F94598">
      <w:pPr>
        <w:widowControl w:val="0"/>
        <w:autoSpaceDE w:val="0"/>
        <w:autoSpaceDN w:val="0"/>
        <w:adjustRightInd w:val="0"/>
        <w:rPr>
          <w:rFonts w:eastAsiaTheme="minorEastAsia" w:cs="Times Roman"/>
          <w:color w:val="000000"/>
          <w:lang w:eastAsia="ja-JP"/>
        </w:rPr>
      </w:pPr>
      <w:r w:rsidRPr="00097781">
        <w:rPr>
          <w:rFonts w:eastAsiaTheme="minorEastAsia" w:cs="Times Roman"/>
          <w:color w:val="000000"/>
          <w:position w:val="2"/>
          <w:szCs w:val="21"/>
          <w:lang w:eastAsia="ja-JP"/>
        </w:rPr>
        <w:t xml:space="preserve">The 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eastern zone of marine </w:t>
      </w:r>
      <w:r w:rsidR="00CF3808">
        <w:rPr>
          <w:rFonts w:eastAsiaTheme="minorEastAsia" w:cs="Times Roman"/>
          <w:color w:val="000000"/>
          <w:szCs w:val="21"/>
          <w:lang w:eastAsia="ja-JP"/>
        </w:rPr>
        <w:t>sedimentary rocks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is much </w:t>
      </w:r>
      <w:r w:rsidRPr="00977EB2">
        <w:rPr>
          <w:rFonts w:eastAsiaTheme="minorEastAsia" w:cs="Times Roman"/>
          <w:color w:val="000000"/>
          <w:lang w:eastAsia="ja-JP"/>
        </w:rPr>
        <w:t>more compressed than in the Maya region and contains older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Paleozoic rocks, during which time marine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 w:rsidRPr="00097781">
        <w:rPr>
          <w:rFonts w:eastAsiaTheme="minorEastAsia" w:cs="Times Roman"/>
          <w:color w:val="000000"/>
          <w:szCs w:val="21"/>
          <w:lang w:eastAsia="ja-JP"/>
        </w:rPr>
        <w:t>did not va</w:t>
      </w:r>
      <w:r>
        <w:rPr>
          <w:rFonts w:eastAsiaTheme="minorEastAsia" w:cs="Times Roman"/>
          <w:color w:val="000000"/>
          <w:szCs w:val="21"/>
          <w:lang w:eastAsia="ja-JP"/>
        </w:rPr>
        <w:t>ry monotonically, making it dif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ficult to infer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>Sr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from the gross geology. Farther south i</w:t>
      </w:r>
      <w:r>
        <w:rPr>
          <w:rFonts w:eastAsiaTheme="minorEastAsia" w:cs="Times Roman"/>
          <w:color w:val="000000"/>
          <w:szCs w:val="21"/>
          <w:lang w:eastAsia="ja-JP"/>
        </w:rPr>
        <w:t>s a region of more complex geol</w:t>
      </w:r>
      <w:r w:rsidRPr="00097781">
        <w:rPr>
          <w:rFonts w:eastAsiaTheme="minorEastAsia" w:cs="Times Roman"/>
          <w:color w:val="000000"/>
          <w:szCs w:val="21"/>
          <w:lang w:eastAsia="ja-JP"/>
        </w:rPr>
        <w:t>ogy, the Sierra</w:t>
      </w:r>
      <w:r>
        <w:rPr>
          <w:rFonts w:eastAsiaTheme="minorEastAsia" w:cs="Times Roman"/>
          <w:color w:val="000000"/>
          <w:szCs w:val="21"/>
          <w:lang w:eastAsia="ja-JP"/>
        </w:rPr>
        <w:t xml:space="preserve"> Madre del Sur (SMS), with Ceno</w:t>
      </w:r>
      <w:r w:rsidRPr="00097781">
        <w:rPr>
          <w:rFonts w:eastAsiaTheme="minorEastAsia" w:cs="Times Roman"/>
          <w:color w:val="000000"/>
          <w:lang w:eastAsia="ja-JP"/>
        </w:rPr>
        <w:t>zoic volcanic</w:t>
      </w:r>
      <w:r w:rsidR="00CF3808">
        <w:rPr>
          <w:rFonts w:eastAsiaTheme="minorEastAsia" w:cs="Times Roman"/>
          <w:color w:val="000000"/>
          <w:lang w:eastAsia="ja-JP"/>
        </w:rPr>
        <w:t xml:space="preserve"> rock</w:t>
      </w:r>
      <w:r w:rsidRPr="00097781">
        <w:rPr>
          <w:rFonts w:eastAsiaTheme="minorEastAsia" w:cs="Times Roman"/>
          <w:color w:val="000000"/>
          <w:lang w:eastAsia="ja-JP"/>
        </w:rPr>
        <w:t>s, Mesozoic sediment</w:t>
      </w:r>
      <w:r w:rsidR="00CF3808">
        <w:rPr>
          <w:rFonts w:eastAsiaTheme="minorEastAsia" w:cs="Times Roman"/>
          <w:color w:val="000000"/>
          <w:lang w:eastAsia="ja-JP"/>
        </w:rPr>
        <w:t>ary rocks</w:t>
      </w:r>
      <w:r w:rsidRPr="00097781">
        <w:rPr>
          <w:rFonts w:eastAsiaTheme="minorEastAsia" w:cs="Times Roman"/>
          <w:color w:val="000000"/>
          <w:lang w:eastAsia="ja-JP"/>
        </w:rPr>
        <w:t>, and more 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ancient metamorphic rocks.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r>
        <w:rPr>
          <w:rFonts w:eastAsiaTheme="minorEastAsia" w:cs="Times Roman"/>
          <w:color w:val="000000"/>
          <w:szCs w:val="21"/>
          <w:lang w:eastAsia="ja-JP"/>
        </w:rPr>
        <w:t xml:space="preserve">for the SMS </w:t>
      </w:r>
      <w:r w:rsidRPr="00977EB2">
        <w:rPr>
          <w:rFonts w:eastAsiaTheme="minorEastAsia" w:cs="Times Roman"/>
          <w:color w:val="000000"/>
          <w:lang w:eastAsia="ja-JP"/>
        </w:rPr>
        <w:t xml:space="preserve">volcanic rocks averages </w:t>
      </w:r>
      <w:r>
        <w:rPr>
          <w:rFonts w:eastAsiaTheme="minorEastAsia" w:cs="Times Roman"/>
          <w:color w:val="000000"/>
          <w:lang w:eastAsia="ja-JP"/>
        </w:rPr>
        <w:t>0</w:t>
      </w:r>
      <w:r w:rsidRPr="00977EB2">
        <w:rPr>
          <w:rFonts w:eastAsiaTheme="minorEastAsia" w:cs="Times Roman"/>
          <w:color w:val="000000"/>
          <w:lang w:eastAsia="ja-JP"/>
        </w:rPr>
        <w:t xml:space="preserve">.7041, but we can expect substantial local </w:t>
      </w:r>
      <w:r>
        <w:rPr>
          <w:rFonts w:eastAsiaTheme="minorEastAsia" w:cs="Times Roman"/>
          <w:color w:val="000000"/>
          <w:lang w:eastAsia="ja-JP"/>
        </w:rPr>
        <w:t>variability due to the heteroge</w:t>
      </w:r>
      <w:r w:rsidRPr="00977EB2">
        <w:rPr>
          <w:rFonts w:eastAsiaTheme="minorEastAsia" w:cs="Times Roman"/>
          <w:color w:val="000000"/>
          <w:lang w:eastAsia="ja-JP"/>
        </w:rPr>
        <w:t xml:space="preserve">neous regional geology. The lowest </w:t>
      </w:r>
      <w:r>
        <w:t>Sr/</w:t>
      </w:r>
      <w:r w:rsidRPr="002E5A80">
        <w:rPr>
          <w:vertAlign w:val="superscript"/>
        </w:rPr>
        <w:t>86</w:t>
      </w:r>
      <w:r>
        <w:t>Sr</w:t>
      </w:r>
      <w:r w:rsidRPr="00097781">
        <w:rPr>
          <w:rFonts w:eastAsiaTheme="minorEastAsia" w:cs="Times Roman"/>
          <w:color w:val="000000"/>
          <w:szCs w:val="21"/>
          <w:lang w:eastAsia="ja-JP"/>
        </w:rPr>
        <w:t xml:space="preserve"> </w:t>
      </w:r>
      <w:r>
        <w:rPr>
          <w:rFonts w:eastAsiaTheme="minorEastAsia" w:cs="Times Roman"/>
          <w:color w:val="000000"/>
          <w:lang w:eastAsia="ja-JP"/>
        </w:rPr>
        <w:t>values found in Mesoamer</w:t>
      </w:r>
      <w:r w:rsidRPr="00977EB2">
        <w:rPr>
          <w:rFonts w:eastAsiaTheme="minorEastAsia" w:cs="Times Roman"/>
          <w:color w:val="000000"/>
          <w:lang w:eastAsia="ja-JP"/>
        </w:rPr>
        <w:t xml:space="preserve">ica are in the basaltic Quaternary volcanics of the Tuxtla Mountains of Veracruz, in the range of </w:t>
      </w:r>
      <w:r>
        <w:rPr>
          <w:rFonts w:eastAsiaTheme="minorEastAsia" w:cs="Times Roman"/>
          <w:color w:val="000000"/>
          <w:lang w:eastAsia="ja-JP"/>
        </w:rPr>
        <w:t>0</w:t>
      </w:r>
      <w:r w:rsidRPr="00977EB2">
        <w:rPr>
          <w:rFonts w:eastAsiaTheme="minorEastAsia" w:cs="Times Roman"/>
          <w:color w:val="000000"/>
          <w:lang w:eastAsia="ja-JP"/>
        </w:rPr>
        <w:t>.703-</w:t>
      </w:r>
      <w:r>
        <w:rPr>
          <w:rFonts w:eastAsiaTheme="minorEastAsia" w:cs="Times Roman"/>
          <w:color w:val="000000"/>
          <w:lang w:eastAsia="ja-JP"/>
        </w:rPr>
        <w:t>0</w:t>
      </w:r>
      <w:r w:rsidRPr="00977EB2">
        <w:rPr>
          <w:rFonts w:eastAsiaTheme="minorEastAsia" w:cs="Times Roman"/>
          <w:color w:val="000000"/>
          <w:lang w:eastAsia="ja-JP"/>
        </w:rPr>
        <w:t xml:space="preserve">.704. </w:t>
      </w:r>
    </w:p>
    <w:p w14:paraId="7D44D878" w14:textId="4D3A4FA1" w:rsidR="00084BF8" w:rsidRPr="0041444F" w:rsidRDefault="000066D4" w:rsidP="0041444F">
      <w:pPr>
        <w:widowControl w:val="0"/>
        <w:autoSpaceDE w:val="0"/>
        <w:autoSpaceDN w:val="0"/>
        <w:adjustRightInd w:val="0"/>
      </w:pPr>
      <w:r>
        <w:t xml:space="preserve">For Mesoamerica, we have collected numerous samples for analysis and collated other published material to create a large database for baseline </w:t>
      </w:r>
      <w:bookmarkStart w:id="16" w:name="OLE_LINK766"/>
      <w:bookmarkStart w:id="17" w:name="OLE_LINK767"/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</w:t>
      </w:r>
      <w:bookmarkEnd w:id="16"/>
      <w:bookmarkEnd w:id="17"/>
      <w:r>
        <w:t>in the Central Highlands of Mexico and the Maya region (Price et al. 2008</w:t>
      </w:r>
      <w:r w:rsidRPr="00097781">
        <w:t>).</w:t>
      </w:r>
      <w:r>
        <w:t xml:space="preserve"> We also have substantial data from a number of large centers elsewhere in Mesoamerica</w:t>
      </w:r>
      <w:r w:rsidR="00084BF8">
        <w:t xml:space="preserve">. In addition, Schaaf et al. </w:t>
      </w:r>
      <w:bookmarkStart w:id="18" w:name="OLE_LINK768"/>
      <w:bookmarkStart w:id="19" w:name="OLE_LINK769"/>
      <w:r w:rsidR="00084BF8">
        <w:t xml:space="preserve">(2012) </w:t>
      </w:r>
      <w:bookmarkEnd w:id="18"/>
      <w:bookmarkEnd w:id="19"/>
      <w:r w:rsidR="00084BF8">
        <w:t xml:space="preserve">collected </w:t>
      </w:r>
      <w:bookmarkStart w:id="20" w:name="OLE_LINK25"/>
      <w:bookmarkStart w:id="21" w:name="OLE_LINK26"/>
      <w:r w:rsidR="00084BF8" w:rsidRPr="002E5A80">
        <w:rPr>
          <w:vertAlign w:val="superscript"/>
        </w:rPr>
        <w:t>87</w:t>
      </w:r>
      <w:r w:rsidR="00084BF8">
        <w:t>Sr/</w:t>
      </w:r>
      <w:r w:rsidR="00084BF8" w:rsidRPr="002E5A80">
        <w:rPr>
          <w:vertAlign w:val="superscript"/>
        </w:rPr>
        <w:t>86</w:t>
      </w:r>
      <w:r w:rsidR="00084BF8">
        <w:t xml:space="preserve">Sr </w:t>
      </w:r>
      <w:bookmarkEnd w:id="20"/>
      <w:bookmarkEnd w:id="21"/>
      <w:r w:rsidR="00084BF8">
        <w:t xml:space="preserve">data from soil, plants, and rocks at 16 archaeological sites in the Central Highlands and Veracruz coast (Fig. S3). </w:t>
      </w:r>
      <w:r w:rsidR="000F6D25">
        <w:t xml:space="preserve">The ratios reported by Schaaf et al. (2012) generally confirm the low </w:t>
      </w:r>
      <w:r w:rsidR="000F6D25" w:rsidRPr="002E5A80">
        <w:rPr>
          <w:vertAlign w:val="superscript"/>
        </w:rPr>
        <w:t>87</w:t>
      </w:r>
      <w:r w:rsidR="000F6D25">
        <w:t>Sr/</w:t>
      </w:r>
      <w:r w:rsidR="000F6D25" w:rsidRPr="002E5A80">
        <w:rPr>
          <w:vertAlign w:val="superscript"/>
        </w:rPr>
        <w:t>86</w:t>
      </w:r>
      <w:r w:rsidR="000F6D25">
        <w:t xml:space="preserve">Sr values in the volcanic areas of the Central Highlands. Higher values above 0.705 are recorded in Veracruz and Puebla with a surprising anomaly soil value at 0.715 from Puebla. </w:t>
      </w:r>
    </w:p>
    <w:p w14:paraId="55317CF0" w14:textId="77777777" w:rsidR="00084BF8" w:rsidRDefault="00084BF8" w:rsidP="00084BF8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AEB6A94" wp14:editId="5502ECEB">
            <wp:extent cx="4265202" cy="2204009"/>
            <wp:effectExtent l="0" t="0" r="2540" b="6350"/>
            <wp:docPr id="2" name="Picture 2" descr="Macintosh HD:Users:tdprice:Desktop:SchaaafB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price:Desktop:SchaaafBar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02" cy="22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DB14" w14:textId="77777777" w:rsidR="00084BF8" w:rsidRPr="00BC016B" w:rsidRDefault="00084BF8" w:rsidP="00084BF8">
      <w:pPr>
        <w:spacing w:line="240" w:lineRule="auto"/>
        <w:jc w:val="center"/>
        <w:rPr>
          <w:i/>
          <w:sz w:val="20"/>
        </w:rPr>
      </w:pPr>
      <w:r w:rsidRPr="00BC016B">
        <w:rPr>
          <w:i/>
          <w:sz w:val="20"/>
        </w:rPr>
        <w:t xml:space="preserve">Fig. </w:t>
      </w:r>
      <w:r>
        <w:rPr>
          <w:i/>
          <w:sz w:val="20"/>
        </w:rPr>
        <w:t>S2</w:t>
      </w:r>
      <w:r w:rsidRPr="00BC016B">
        <w:rPr>
          <w:i/>
          <w:sz w:val="20"/>
        </w:rPr>
        <w:t xml:space="preserve">. A bar graph of </w:t>
      </w:r>
      <w:r w:rsidRPr="00BC016B">
        <w:rPr>
          <w:i/>
          <w:sz w:val="20"/>
          <w:vertAlign w:val="superscript"/>
        </w:rPr>
        <w:t>87</w:t>
      </w:r>
      <w:r w:rsidRPr="00BC016B">
        <w:rPr>
          <w:i/>
          <w:sz w:val="20"/>
        </w:rPr>
        <w:t>Sr/</w:t>
      </w:r>
      <w:r w:rsidRPr="00BC016B">
        <w:rPr>
          <w:i/>
          <w:sz w:val="20"/>
          <w:vertAlign w:val="superscript"/>
        </w:rPr>
        <w:t>86</w:t>
      </w:r>
      <w:r w:rsidRPr="00BC016B">
        <w:rPr>
          <w:i/>
          <w:sz w:val="20"/>
        </w:rPr>
        <w:t xml:space="preserve">Sr values </w:t>
      </w:r>
      <w:r>
        <w:rPr>
          <w:i/>
          <w:sz w:val="20"/>
        </w:rPr>
        <w:t xml:space="preserve">in soil (brown) and plants (green) </w:t>
      </w:r>
      <w:r w:rsidRPr="00BC016B">
        <w:rPr>
          <w:i/>
          <w:sz w:val="20"/>
        </w:rPr>
        <w:t>from 1</w:t>
      </w:r>
      <w:r>
        <w:rPr>
          <w:i/>
          <w:sz w:val="20"/>
        </w:rPr>
        <w:t>5</w:t>
      </w:r>
      <w:r w:rsidRPr="00BC016B">
        <w:rPr>
          <w:i/>
          <w:sz w:val="20"/>
        </w:rPr>
        <w:t xml:space="preserve"> sites in Veracruz and the Central Highlands (Schaaf et al. 2013)</w:t>
      </w:r>
      <w:r>
        <w:rPr>
          <w:i/>
          <w:sz w:val="20"/>
        </w:rPr>
        <w:t>.</w:t>
      </w:r>
    </w:p>
    <w:p w14:paraId="7E1E2F74" w14:textId="34B151C1" w:rsidR="00084BF8" w:rsidRDefault="000F6D25" w:rsidP="00F94598">
      <w:pPr>
        <w:widowControl w:val="0"/>
        <w:autoSpaceDE w:val="0"/>
        <w:autoSpaceDN w:val="0"/>
        <w:adjustRightInd w:val="0"/>
      </w:pPr>
      <w:r>
        <w:t xml:space="preserve">The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values from our samples and from Schaff et al. (2012) are provided on the map that is Fig. S4. In essence, the background </w:t>
      </w:r>
      <w:r w:rsidRPr="002E5A80">
        <w:rPr>
          <w:vertAlign w:val="superscript"/>
        </w:rPr>
        <w:t>87</w:t>
      </w:r>
      <w:r>
        <w:t>Sr/</w:t>
      </w:r>
      <w:r w:rsidRPr="002E5A80">
        <w:rPr>
          <w:vertAlign w:val="superscript"/>
        </w:rPr>
        <w:t>86</w:t>
      </w:r>
      <w:r>
        <w:t xml:space="preserve">Sr levels are fairly well known in Central Mexico for those areas with substantial </w:t>
      </w:r>
      <w:r w:rsidRPr="00BC016B">
        <w:t>population</w:t>
      </w:r>
      <w:r>
        <w:t xml:space="preserve"> in the prehispanic period.</w:t>
      </w:r>
    </w:p>
    <w:p w14:paraId="714FA855" w14:textId="77777777" w:rsidR="000066D4" w:rsidRDefault="000066D4" w:rsidP="00F94598">
      <w:pPr>
        <w:widowControl w:val="0"/>
        <w:autoSpaceDE w:val="0"/>
        <w:autoSpaceDN w:val="0"/>
        <w:adjustRightInd w:val="0"/>
        <w:spacing w:line="240" w:lineRule="auto"/>
        <w:jc w:val="center"/>
      </w:pPr>
      <w:r>
        <w:rPr>
          <w:noProof/>
        </w:rPr>
        <w:drawing>
          <wp:inline distT="0" distB="0" distL="0" distR="0" wp14:anchorId="0E7460DC" wp14:editId="21B48B53">
            <wp:extent cx="4131409" cy="2431028"/>
            <wp:effectExtent l="0" t="0" r="8890" b="7620"/>
            <wp:docPr id="11" name="Picture 11" descr="Macintosh HD:Users:tdprice:Desktop:Screen Shot 2017-08-06 at 2.15.0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dprice:Desktop:Screen Shot 2017-08-06 at 2.15.05 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409" cy="24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C72C" w14:textId="6B88C76F" w:rsidR="000066D4" w:rsidRPr="00BC016B" w:rsidRDefault="000066D4" w:rsidP="00084BF8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</w:rPr>
      </w:pPr>
      <w:r w:rsidRPr="00BC016B">
        <w:rPr>
          <w:i/>
          <w:sz w:val="20"/>
        </w:rPr>
        <w:t xml:space="preserve">Fig. </w:t>
      </w:r>
      <w:r w:rsidR="00084BF8">
        <w:rPr>
          <w:i/>
          <w:sz w:val="20"/>
        </w:rPr>
        <w:t>S3</w:t>
      </w:r>
      <w:r w:rsidRPr="00BC016B">
        <w:rPr>
          <w:i/>
          <w:sz w:val="20"/>
        </w:rPr>
        <w:t xml:space="preserve">. Map of </w:t>
      </w:r>
      <w:r w:rsidRPr="00BC016B">
        <w:rPr>
          <w:i/>
          <w:sz w:val="20"/>
          <w:vertAlign w:val="superscript"/>
        </w:rPr>
        <w:t>87</w:t>
      </w:r>
      <w:r w:rsidRPr="00BC016B">
        <w:rPr>
          <w:i/>
          <w:sz w:val="20"/>
        </w:rPr>
        <w:t>Sr/</w:t>
      </w:r>
      <w:r w:rsidRPr="00BC016B">
        <w:rPr>
          <w:i/>
          <w:sz w:val="20"/>
          <w:vertAlign w:val="superscript"/>
        </w:rPr>
        <w:t>86</w:t>
      </w:r>
      <w:r w:rsidRPr="00BC016B">
        <w:rPr>
          <w:i/>
          <w:sz w:val="20"/>
        </w:rPr>
        <w:t>Sr values from various sites and other locations across Mesoamerica.</w:t>
      </w:r>
    </w:p>
    <w:p w14:paraId="1DD34DBA" w14:textId="77777777" w:rsidR="009E3284" w:rsidRDefault="009E3284" w:rsidP="00F94598">
      <w:pPr>
        <w:spacing w:line="240" w:lineRule="auto"/>
        <w:rPr>
          <w:b/>
        </w:rPr>
      </w:pPr>
      <w:r>
        <w:rPr>
          <w:b/>
        </w:rPr>
        <w:br w:type="page"/>
      </w:r>
    </w:p>
    <w:p w14:paraId="53E09F9A" w14:textId="6AC4E007" w:rsidR="00B71D8F" w:rsidRDefault="00307D8E" w:rsidP="00F94598">
      <w:pPr>
        <w:spacing w:after="0" w:line="240" w:lineRule="auto"/>
        <w:jc w:val="center"/>
        <w:rPr>
          <w:b/>
        </w:rPr>
      </w:pPr>
      <w:r w:rsidRPr="009E3284">
        <w:rPr>
          <w:b/>
        </w:rPr>
        <w:lastRenderedPageBreak/>
        <w:t>References</w:t>
      </w:r>
    </w:p>
    <w:p w14:paraId="25B4FB76" w14:textId="77777777" w:rsidR="00F94598" w:rsidRPr="009E3284" w:rsidRDefault="00F94598" w:rsidP="00F94598">
      <w:pPr>
        <w:spacing w:after="0" w:line="240" w:lineRule="auto"/>
        <w:jc w:val="center"/>
        <w:rPr>
          <w:b/>
        </w:rPr>
      </w:pPr>
    </w:p>
    <w:p w14:paraId="59592EC3" w14:textId="77777777" w:rsidR="00311534" w:rsidRDefault="00D20E82" w:rsidP="00F94598">
      <w:pPr>
        <w:spacing w:after="0" w:line="240" w:lineRule="auto"/>
        <w:ind w:left="360" w:hanging="360"/>
      </w:pPr>
      <w:r w:rsidRPr="00B6236C">
        <w:t xml:space="preserve">Ambrose, S.H., and L. </w:t>
      </w:r>
      <w:proofErr w:type="spellStart"/>
      <w:r w:rsidRPr="00B6236C">
        <w:t>Norr</w:t>
      </w:r>
      <w:proofErr w:type="spellEnd"/>
      <w:r w:rsidRPr="00B6236C">
        <w:t xml:space="preserve">. 1993. Isotopic composition of dietary protein and energy versus bone collagen and apatite: purified diet growth experiments. In </w:t>
      </w:r>
      <w:r w:rsidRPr="00B6236C">
        <w:rPr>
          <w:i/>
        </w:rPr>
        <w:t>Molecular Archaeology of Prehistoric Human Bone</w:t>
      </w:r>
      <w:r w:rsidRPr="00B6236C">
        <w:t xml:space="preserve">, J.B. Lambert and G. </w:t>
      </w:r>
      <w:proofErr w:type="spellStart"/>
      <w:r w:rsidRPr="00B6236C">
        <w:t>Grupe</w:t>
      </w:r>
      <w:proofErr w:type="spellEnd"/>
      <w:r w:rsidRPr="00B6236C">
        <w:t xml:space="preserve"> (eds.), pp. 1-37. Berlin: Springer.</w:t>
      </w:r>
    </w:p>
    <w:p w14:paraId="478209E4" w14:textId="4D63CC0D" w:rsidR="00311534" w:rsidRPr="00311534" w:rsidRDefault="00311534" w:rsidP="00F94598">
      <w:pPr>
        <w:spacing w:after="0" w:line="240" w:lineRule="auto"/>
        <w:ind w:left="360" w:hanging="360"/>
      </w:pPr>
      <w:proofErr w:type="spellStart"/>
      <w:r w:rsidRPr="00311534">
        <w:t>Balasse</w:t>
      </w:r>
      <w:proofErr w:type="spellEnd"/>
      <w:r w:rsidRPr="00311534">
        <w:t xml:space="preserve"> M., S.H. Ambrose, A.B. Smith, and T.D. Price. 2002. The Seasonal Mobility Model for Prehistoric Herders in the South-western Cape of South Africa Assessed by Isotopic Analysis of Sheep Tooth Enamel. </w:t>
      </w:r>
      <w:r w:rsidRPr="00311534">
        <w:rPr>
          <w:i/>
          <w:iCs/>
        </w:rPr>
        <w:t xml:space="preserve">Journal of Archaeological Science </w:t>
      </w:r>
      <w:r w:rsidRPr="00311534">
        <w:t xml:space="preserve">29: 917–932. </w:t>
      </w:r>
    </w:p>
    <w:p w14:paraId="72CDB0CF" w14:textId="77777777" w:rsidR="00311534" w:rsidRPr="00F11F80" w:rsidRDefault="00311534" w:rsidP="00F94598">
      <w:pPr>
        <w:widowControl w:val="0"/>
        <w:autoSpaceDE w:val="0"/>
        <w:autoSpaceDN w:val="0"/>
        <w:adjustRightInd w:val="0"/>
        <w:spacing w:after="0" w:line="240" w:lineRule="auto"/>
        <w:ind w:left="360" w:right="-22" w:hanging="360"/>
        <w:rPr>
          <w:szCs w:val="36"/>
        </w:rPr>
      </w:pPr>
      <w:r w:rsidRPr="00F11F80">
        <w:rPr>
          <w:szCs w:val="36"/>
        </w:rPr>
        <w:t xml:space="preserve">Benson, L.V., E.M. Hattori, H.E. Taylor et al. 2006. Isotope sourcing of prehistoric willow and </w:t>
      </w:r>
      <w:proofErr w:type="spellStart"/>
      <w:r w:rsidRPr="00F11F80">
        <w:rPr>
          <w:szCs w:val="36"/>
        </w:rPr>
        <w:t>tule</w:t>
      </w:r>
      <w:proofErr w:type="spellEnd"/>
      <w:r w:rsidRPr="00F11F80">
        <w:rPr>
          <w:szCs w:val="36"/>
        </w:rPr>
        <w:t xml:space="preserve"> textiles recovered from western Great Basin rock shelters and caves: proof of concept. </w:t>
      </w:r>
      <w:r w:rsidRPr="00F11F80">
        <w:rPr>
          <w:i/>
          <w:szCs w:val="36"/>
        </w:rPr>
        <w:t>Journal of Archaeological Science</w:t>
      </w:r>
      <w:r w:rsidRPr="00F11F80">
        <w:rPr>
          <w:szCs w:val="36"/>
        </w:rPr>
        <w:t xml:space="preserve"> 33:1588–1599.</w:t>
      </w:r>
    </w:p>
    <w:p w14:paraId="5804F27A" w14:textId="77777777" w:rsidR="00311534" w:rsidRPr="00F11F80" w:rsidRDefault="00311534" w:rsidP="00F94598">
      <w:pPr>
        <w:widowControl w:val="0"/>
        <w:autoSpaceDE w:val="0"/>
        <w:autoSpaceDN w:val="0"/>
        <w:adjustRightInd w:val="0"/>
        <w:spacing w:after="0" w:line="240" w:lineRule="auto"/>
        <w:ind w:left="360" w:right="-22" w:hanging="360"/>
        <w:rPr>
          <w:szCs w:val="36"/>
        </w:rPr>
      </w:pPr>
      <w:r w:rsidRPr="00F11F80">
        <w:rPr>
          <w:szCs w:val="36"/>
        </w:rPr>
        <w:t>Bentley, R.A. 2006.</w:t>
      </w:r>
      <w:r w:rsidRPr="00F11F80">
        <w:rPr>
          <w:bCs/>
          <w:szCs w:val="36"/>
        </w:rPr>
        <w:t xml:space="preserve"> Strontium Isotopes from the Earth to the Archaeological Skeleton: A Review. </w:t>
      </w:r>
      <w:r w:rsidRPr="00F11F80">
        <w:rPr>
          <w:i/>
          <w:szCs w:val="36"/>
        </w:rPr>
        <w:t>Journal of Archaeological Method and Theory</w:t>
      </w:r>
      <w:r w:rsidRPr="00F11F80">
        <w:rPr>
          <w:szCs w:val="36"/>
        </w:rPr>
        <w:t xml:space="preserve"> 13: 135-187.</w:t>
      </w:r>
      <w:r w:rsidRPr="00F11F80">
        <w:rPr>
          <w:bCs/>
          <w:szCs w:val="36"/>
        </w:rPr>
        <w:t xml:space="preserve"> </w:t>
      </w:r>
    </w:p>
    <w:p w14:paraId="50D72722" w14:textId="77777777" w:rsidR="00311534" w:rsidRDefault="00311534" w:rsidP="00F94598">
      <w:pPr>
        <w:spacing w:after="0" w:line="240" w:lineRule="auto"/>
        <w:ind w:left="284" w:hanging="284"/>
      </w:pPr>
      <w:bookmarkStart w:id="22" w:name="OLE_LINK98"/>
      <w:bookmarkStart w:id="23" w:name="OLE_LINK99"/>
      <w:r w:rsidRPr="00F11F80">
        <w:t xml:space="preserve">Bowen, Gabriel J. and Justin </w:t>
      </w:r>
      <w:proofErr w:type="spellStart"/>
      <w:r w:rsidRPr="00F11F80">
        <w:t>Revenaugh</w:t>
      </w:r>
      <w:proofErr w:type="spellEnd"/>
      <w:r w:rsidRPr="00F11F80">
        <w:t xml:space="preserve">. 2003. Interpolating the isotopic composition of modern meteoric precipitation. </w:t>
      </w:r>
      <w:r w:rsidRPr="00F11F80">
        <w:rPr>
          <w:i/>
        </w:rPr>
        <w:t xml:space="preserve">Water Resources Research </w:t>
      </w:r>
      <w:r w:rsidRPr="00F11F80">
        <w:t>39: 1299-1311.</w:t>
      </w:r>
      <w:bookmarkEnd w:id="22"/>
      <w:bookmarkEnd w:id="23"/>
    </w:p>
    <w:p w14:paraId="4A10FA7D" w14:textId="77777777" w:rsidR="00311534" w:rsidRPr="00F11F80" w:rsidRDefault="00311534" w:rsidP="00F94598">
      <w:pPr>
        <w:tabs>
          <w:tab w:val="left" w:pos="90"/>
        </w:tabs>
        <w:spacing w:after="0" w:line="240" w:lineRule="auto"/>
        <w:ind w:left="360" w:hanging="360"/>
      </w:pPr>
      <w:r w:rsidRPr="00F11F80">
        <w:t xml:space="preserve">Bryant, J., P. Koch, P. Froelich, W. Showers, and B. </w:t>
      </w:r>
      <w:proofErr w:type="spellStart"/>
      <w:r w:rsidRPr="00F11F80">
        <w:t>Genna</w:t>
      </w:r>
      <w:proofErr w:type="spellEnd"/>
      <w:r w:rsidRPr="00F11F80">
        <w:t xml:space="preserve">. 1996. Oxygen isotope partitioning between phosphate and carbonate in mammalian apatite. </w:t>
      </w:r>
      <w:proofErr w:type="spellStart"/>
      <w:r w:rsidRPr="00F11F80">
        <w:rPr>
          <w:i/>
        </w:rPr>
        <w:t>Geochimica</w:t>
      </w:r>
      <w:proofErr w:type="spellEnd"/>
      <w:r w:rsidRPr="00F11F80">
        <w:rPr>
          <w:i/>
        </w:rPr>
        <w:t xml:space="preserve"> et </w:t>
      </w:r>
      <w:proofErr w:type="spellStart"/>
      <w:r w:rsidRPr="00F11F80">
        <w:rPr>
          <w:i/>
        </w:rPr>
        <w:t>Cosmochimica</w:t>
      </w:r>
      <w:proofErr w:type="spellEnd"/>
      <w:r w:rsidRPr="00F11F80">
        <w:rPr>
          <w:i/>
        </w:rPr>
        <w:t xml:space="preserve"> Acta</w:t>
      </w:r>
      <w:r w:rsidRPr="00F11F80">
        <w:t xml:space="preserve"> 60: 5154–5148. </w:t>
      </w:r>
    </w:p>
    <w:p w14:paraId="2DB17CD6" w14:textId="77777777" w:rsidR="00311534" w:rsidRPr="00F11F80" w:rsidRDefault="00311534" w:rsidP="00F94598">
      <w:pPr>
        <w:tabs>
          <w:tab w:val="left" w:pos="90"/>
        </w:tabs>
        <w:spacing w:after="0" w:line="240" w:lineRule="auto"/>
        <w:ind w:left="360" w:hanging="360"/>
      </w:pPr>
      <w:r w:rsidRPr="00F11F80">
        <w:t xml:space="preserve">Chenery, Carolyn A., Vanessa Pashley, Angela L Lamb, Hilary J. Sloane, and Jane A. Evans. 2012. The oxygen isotope relationship between the phosphate and structural carbonate fractions of human bioapatite. </w:t>
      </w:r>
      <w:r w:rsidRPr="00F11F80">
        <w:rPr>
          <w:i/>
        </w:rPr>
        <w:t>Rapid Communications in Mass Spectrometry</w:t>
      </w:r>
      <w:r w:rsidRPr="00F11F80">
        <w:t xml:space="preserve"> 26: 309-319. </w:t>
      </w:r>
    </w:p>
    <w:p w14:paraId="773A5149" w14:textId="6720D295" w:rsidR="004A7454" w:rsidRPr="004A7454" w:rsidRDefault="004A7454" w:rsidP="004A7454">
      <w:pPr>
        <w:tabs>
          <w:tab w:val="left" w:pos="90"/>
        </w:tabs>
        <w:spacing w:after="0" w:line="240" w:lineRule="auto"/>
        <w:ind w:left="360" w:hanging="360"/>
        <w:rPr>
          <w:rFonts w:eastAsiaTheme="minorEastAsia" w:cs="Times Roman"/>
          <w:szCs w:val="26"/>
          <w:lang w:eastAsia="ja-JP"/>
        </w:rPr>
      </w:pPr>
      <w:bookmarkStart w:id="24" w:name="OLE_LINK770"/>
      <w:bookmarkStart w:id="25" w:name="OLE_LINK771"/>
      <w:proofErr w:type="spellStart"/>
      <w:r w:rsidRPr="004A7454">
        <w:rPr>
          <w:rFonts w:eastAsiaTheme="minorEastAsia" w:cs="Times Roman"/>
          <w:szCs w:val="26"/>
          <w:lang w:eastAsia="ja-JP"/>
        </w:rPr>
        <w:t>Coplen</w:t>
      </w:r>
      <w:proofErr w:type="spellEnd"/>
      <w:r w:rsidRPr="004A7454">
        <w:rPr>
          <w:rFonts w:eastAsiaTheme="minorEastAsia" w:cs="Times Roman"/>
          <w:szCs w:val="26"/>
          <w:lang w:eastAsia="ja-JP"/>
        </w:rPr>
        <w:t xml:space="preserve">, </w:t>
      </w:r>
      <w:bookmarkEnd w:id="24"/>
      <w:bookmarkEnd w:id="25"/>
      <w:r w:rsidRPr="004A7454">
        <w:rPr>
          <w:rFonts w:eastAsiaTheme="minorEastAsia" w:cs="Times Roman"/>
          <w:szCs w:val="26"/>
          <w:lang w:eastAsia="ja-JP"/>
        </w:rPr>
        <w:t>T.B., C. Kendall, and J. Hopple</w:t>
      </w:r>
      <w:r>
        <w:rPr>
          <w:rFonts w:eastAsiaTheme="minorEastAsia" w:cs="Times Roman"/>
          <w:szCs w:val="26"/>
          <w:lang w:eastAsia="ja-JP"/>
        </w:rPr>
        <w:t>.</w:t>
      </w:r>
      <w:r w:rsidRPr="004A7454">
        <w:rPr>
          <w:rFonts w:eastAsiaTheme="minorEastAsia" w:cs="Times Roman"/>
          <w:szCs w:val="26"/>
          <w:lang w:eastAsia="ja-JP"/>
        </w:rPr>
        <w:t xml:space="preserve"> </w:t>
      </w:r>
      <w:r>
        <w:rPr>
          <w:rFonts w:eastAsiaTheme="minorEastAsia" w:cs="Times Roman"/>
          <w:szCs w:val="26"/>
          <w:lang w:eastAsia="ja-JP"/>
        </w:rPr>
        <w:t>1983.</w:t>
      </w:r>
      <w:r w:rsidRPr="004A7454">
        <w:rPr>
          <w:rFonts w:eastAsiaTheme="minorEastAsia" w:cs="Times Roman"/>
          <w:szCs w:val="26"/>
          <w:lang w:eastAsia="ja-JP"/>
        </w:rPr>
        <w:t xml:space="preserve"> Comparison of isotopic reference samples. </w:t>
      </w:r>
      <w:r w:rsidRPr="004A7454">
        <w:rPr>
          <w:rFonts w:eastAsiaTheme="minorEastAsia" w:cs="Times Roman"/>
          <w:i/>
          <w:szCs w:val="26"/>
          <w:lang w:eastAsia="ja-JP"/>
        </w:rPr>
        <w:t>Nature</w:t>
      </w:r>
      <w:r w:rsidRPr="004A7454">
        <w:rPr>
          <w:rFonts w:eastAsiaTheme="minorEastAsia" w:cs="Times Roman"/>
          <w:szCs w:val="26"/>
          <w:lang w:eastAsia="ja-JP"/>
        </w:rPr>
        <w:t xml:space="preserve"> 302: 236- 238.</w:t>
      </w:r>
    </w:p>
    <w:p w14:paraId="0A148B1E" w14:textId="081B59CC" w:rsidR="00311534" w:rsidRPr="009E3284" w:rsidRDefault="009E3284" w:rsidP="00F94598">
      <w:pPr>
        <w:tabs>
          <w:tab w:val="left" w:pos="90"/>
        </w:tabs>
        <w:spacing w:after="0" w:line="240" w:lineRule="auto"/>
        <w:ind w:left="360" w:hanging="360"/>
        <w:rPr>
          <w:rFonts w:eastAsiaTheme="minorEastAsia" w:cs="Times Roman"/>
          <w:color w:val="FF0000"/>
          <w:szCs w:val="26"/>
          <w:lang w:eastAsia="ja-JP"/>
        </w:rPr>
      </w:pPr>
      <w:proofErr w:type="spellStart"/>
      <w:r w:rsidRPr="00F11F80">
        <w:t>Dansgaard</w:t>
      </w:r>
      <w:proofErr w:type="spellEnd"/>
      <w:r w:rsidR="00311534" w:rsidRPr="00F11F80">
        <w:t xml:space="preserve">, W. 1964. Stable isotopes in precipitation. </w:t>
      </w:r>
      <w:r w:rsidR="00311534" w:rsidRPr="00F11F80">
        <w:rPr>
          <w:i/>
        </w:rPr>
        <w:t>Tellus</w:t>
      </w:r>
      <w:r w:rsidR="00311534">
        <w:t xml:space="preserve"> 16: 466–46</w:t>
      </w:r>
    </w:p>
    <w:p w14:paraId="40B40170" w14:textId="77777777" w:rsidR="00311534" w:rsidRPr="00F11F80" w:rsidRDefault="00311534" w:rsidP="00F94598">
      <w:pPr>
        <w:tabs>
          <w:tab w:val="left" w:pos="90"/>
        </w:tabs>
        <w:spacing w:after="0" w:line="240" w:lineRule="auto"/>
        <w:ind w:left="360" w:hanging="360"/>
        <w:rPr>
          <w:rFonts w:cs="Times"/>
          <w:color w:val="000000"/>
        </w:rPr>
      </w:pPr>
      <w:proofErr w:type="spellStart"/>
      <w:r w:rsidRPr="00F11F80">
        <w:rPr>
          <w:rFonts w:cs="Times"/>
          <w:color w:val="000000"/>
        </w:rPr>
        <w:t>Hedman</w:t>
      </w:r>
      <w:proofErr w:type="spellEnd"/>
      <w:r w:rsidRPr="00F11F80">
        <w:rPr>
          <w:rFonts w:cs="Times"/>
          <w:color w:val="000000"/>
        </w:rPr>
        <w:t xml:space="preserve">, K.M., B.B. Curry, T.M. Johnson, P.D. Fullagar, and T.E. Emerson. 2009. Variation in strontium isotope ratios of archaeological fauna in the midwestern United States: A preliminary study. </w:t>
      </w:r>
      <w:r w:rsidRPr="00F11F80">
        <w:rPr>
          <w:rFonts w:cs="Times"/>
          <w:i/>
          <w:color w:val="000000"/>
        </w:rPr>
        <w:t>Journal of Archaeological Science</w:t>
      </w:r>
      <w:r w:rsidRPr="00F11F80">
        <w:rPr>
          <w:rFonts w:cs="Times"/>
          <w:color w:val="000000"/>
        </w:rPr>
        <w:t xml:space="preserve"> 36: 64–73. </w:t>
      </w:r>
    </w:p>
    <w:p w14:paraId="02EF3105" w14:textId="77777777" w:rsidR="00311534" w:rsidRPr="00F11F80" w:rsidRDefault="00311534" w:rsidP="00F94598">
      <w:pPr>
        <w:spacing w:after="0" w:line="240" w:lineRule="auto"/>
        <w:ind w:left="360" w:hanging="360"/>
        <w:rPr>
          <w:rFonts w:eastAsia="Times New Roman"/>
        </w:rPr>
      </w:pPr>
      <w:r w:rsidRPr="00F11F80">
        <w:rPr>
          <w:rFonts w:eastAsia="Times New Roman"/>
        </w:rPr>
        <w:t xml:space="preserve">Knudson, K.J. 2008. Tiwanaku influence in the </w:t>
      </w:r>
      <w:proofErr w:type="gramStart"/>
      <w:r w:rsidRPr="00F11F80">
        <w:rPr>
          <w:rFonts w:eastAsia="Times New Roman"/>
        </w:rPr>
        <w:t>south central</w:t>
      </w:r>
      <w:proofErr w:type="gramEnd"/>
      <w:r w:rsidRPr="00F11F80">
        <w:rPr>
          <w:rFonts w:eastAsia="Times New Roman"/>
        </w:rPr>
        <w:t xml:space="preserve"> Andes: strontium isotope analysis and Middle Horizon migration. </w:t>
      </w:r>
      <w:r w:rsidRPr="00F11F80">
        <w:rPr>
          <w:rFonts w:eastAsia="Times New Roman"/>
          <w:i/>
        </w:rPr>
        <w:t>Latin American Antiquity</w:t>
      </w:r>
      <w:r w:rsidRPr="00F11F80">
        <w:rPr>
          <w:rFonts w:eastAsia="Times New Roman"/>
        </w:rPr>
        <w:t xml:space="preserve"> 19: 3–24.</w:t>
      </w:r>
    </w:p>
    <w:p w14:paraId="2D3847B6" w14:textId="77777777" w:rsidR="00311534" w:rsidRPr="00F11F80" w:rsidRDefault="00311534" w:rsidP="00F94598">
      <w:pPr>
        <w:spacing w:after="0" w:line="240" w:lineRule="auto"/>
        <w:ind w:left="360" w:hanging="360"/>
        <w:rPr>
          <w:rFonts w:eastAsia="Times New Roman"/>
        </w:rPr>
      </w:pPr>
      <w:r w:rsidRPr="00F11F80">
        <w:rPr>
          <w:rFonts w:eastAsia="Times New Roman"/>
        </w:rPr>
        <w:t xml:space="preserve">Kohn, Matthew J. 1996. Predicting animal δ18O: Accounting for diet and physiological adaptation </w:t>
      </w:r>
      <w:proofErr w:type="spellStart"/>
      <w:r w:rsidRPr="00F11F80">
        <w:rPr>
          <w:rFonts w:eastAsia="Times New Roman"/>
          <w:i/>
        </w:rPr>
        <w:t>Geochimica</w:t>
      </w:r>
      <w:proofErr w:type="spellEnd"/>
      <w:r w:rsidRPr="00F11F80">
        <w:rPr>
          <w:rFonts w:eastAsia="Times New Roman"/>
          <w:i/>
        </w:rPr>
        <w:t xml:space="preserve"> et </w:t>
      </w:r>
      <w:proofErr w:type="spellStart"/>
      <w:r w:rsidRPr="00F11F80">
        <w:rPr>
          <w:rFonts w:eastAsia="Times New Roman"/>
          <w:i/>
        </w:rPr>
        <w:t>Cosmochimica</w:t>
      </w:r>
      <w:proofErr w:type="spellEnd"/>
      <w:r w:rsidRPr="00F11F80">
        <w:rPr>
          <w:rFonts w:eastAsia="Times New Roman"/>
          <w:i/>
        </w:rPr>
        <w:t xml:space="preserve"> Acta</w:t>
      </w:r>
      <w:r w:rsidRPr="00F11F80">
        <w:rPr>
          <w:rFonts w:eastAsia="Times New Roman"/>
        </w:rPr>
        <w:t xml:space="preserve"> 60: 4811-4829. </w:t>
      </w:r>
    </w:p>
    <w:p w14:paraId="52FF5D68" w14:textId="77777777" w:rsidR="00311534" w:rsidRPr="00F11F80" w:rsidRDefault="00311534" w:rsidP="00F945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cs="Times"/>
          <w:szCs w:val="16"/>
        </w:rPr>
      </w:pPr>
      <w:r>
        <w:rPr>
          <w:rFonts w:cs="Times"/>
          <w:szCs w:val="16"/>
        </w:rPr>
        <w:t>Krueger, H.</w:t>
      </w:r>
      <w:r w:rsidRPr="00F11F80">
        <w:rPr>
          <w:rFonts w:cs="Times"/>
          <w:szCs w:val="16"/>
        </w:rPr>
        <w:t xml:space="preserve">W., and C.H. Sullivan. 1984. Models for carbon isotope fractionation between diet and bone.  In </w:t>
      </w:r>
      <w:r w:rsidRPr="00F11F80">
        <w:rPr>
          <w:rFonts w:cs="Times"/>
          <w:i/>
          <w:szCs w:val="16"/>
        </w:rPr>
        <w:t>Stable Isotopes in Nutrition</w:t>
      </w:r>
      <w:r w:rsidRPr="00F11F80">
        <w:rPr>
          <w:rFonts w:cs="Times"/>
          <w:szCs w:val="16"/>
        </w:rPr>
        <w:t xml:space="preserve">, edited by J.R. </w:t>
      </w:r>
      <w:proofErr w:type="spellStart"/>
      <w:r w:rsidRPr="00F11F80">
        <w:rPr>
          <w:rFonts w:cs="Times"/>
          <w:szCs w:val="16"/>
        </w:rPr>
        <w:t>Turnland</w:t>
      </w:r>
      <w:proofErr w:type="spellEnd"/>
      <w:r w:rsidRPr="00F11F80">
        <w:rPr>
          <w:rFonts w:cs="Times"/>
          <w:szCs w:val="16"/>
        </w:rPr>
        <w:t xml:space="preserve"> and P.E. Johnson, pp. 205-220. American Chemical Society Symposium Series, No 258. </w:t>
      </w:r>
    </w:p>
    <w:p w14:paraId="2F85D6FB" w14:textId="77777777" w:rsidR="00311534" w:rsidRDefault="00311534" w:rsidP="00F94598">
      <w:pPr>
        <w:tabs>
          <w:tab w:val="left" w:pos="90"/>
        </w:tabs>
        <w:spacing w:after="0" w:line="240" w:lineRule="auto"/>
        <w:ind w:left="360" w:hanging="360"/>
        <w:rPr>
          <w:rFonts w:cs="Arial"/>
        </w:rPr>
      </w:pPr>
      <w:r w:rsidRPr="00F11F80">
        <w:rPr>
          <w:rFonts w:cs="Arial"/>
        </w:rPr>
        <w:t xml:space="preserve">Lee-Thorp, J.A., J.C. Sealy, and N.J. van der Merwe. 1989. Stable carbon isotope ratio differences between bone collagen and bone apatite, and their relationship to diet. </w:t>
      </w:r>
      <w:r w:rsidRPr="00F11F80">
        <w:rPr>
          <w:rFonts w:cs="Arial"/>
          <w:i/>
        </w:rPr>
        <w:t>Journal of Archaeological Science</w:t>
      </w:r>
      <w:r w:rsidRPr="00F11F80">
        <w:rPr>
          <w:rFonts w:cs="Arial"/>
        </w:rPr>
        <w:t xml:space="preserve"> 16: 585 – 599. </w:t>
      </w:r>
    </w:p>
    <w:p w14:paraId="419B815B" w14:textId="77777777" w:rsidR="00C54F62" w:rsidRPr="00B94D6D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szCs w:val="21"/>
          <w:lang w:eastAsia="ja-JP"/>
        </w:rPr>
      </w:pPr>
      <w:r w:rsidRPr="00B94D6D">
        <w:rPr>
          <w:rFonts w:eastAsiaTheme="minorEastAsia" w:cs="Times Roman"/>
          <w:color w:val="000000"/>
          <w:szCs w:val="21"/>
          <w:lang w:eastAsia="ja-JP"/>
        </w:rPr>
        <w:t xml:space="preserve">Levinson, Alfred A., Boaz Luz, and Yehoshua </w:t>
      </w:r>
      <w:proofErr w:type="spellStart"/>
      <w:r w:rsidRPr="00B94D6D">
        <w:rPr>
          <w:rFonts w:eastAsiaTheme="minorEastAsia" w:cs="Times Roman"/>
          <w:color w:val="000000"/>
          <w:szCs w:val="21"/>
          <w:lang w:eastAsia="ja-JP"/>
        </w:rPr>
        <w:t>Kolodn</w:t>
      </w:r>
      <w:r>
        <w:rPr>
          <w:rFonts w:eastAsiaTheme="minorEastAsia" w:cs="Times Roman"/>
          <w:color w:val="000000"/>
          <w:szCs w:val="21"/>
          <w:lang w:eastAsia="ja-JP"/>
        </w:rPr>
        <w:t>y</w:t>
      </w:r>
      <w:proofErr w:type="spellEnd"/>
      <w:r>
        <w:rPr>
          <w:rFonts w:eastAsiaTheme="minorEastAsia" w:cs="Times Roman"/>
          <w:color w:val="000000"/>
          <w:szCs w:val="21"/>
          <w:lang w:eastAsia="ja-JP"/>
        </w:rPr>
        <w:t xml:space="preserve">. </w:t>
      </w:r>
      <w:r w:rsidRPr="00B94D6D">
        <w:rPr>
          <w:rFonts w:eastAsiaTheme="minorEastAsia" w:cs="Times Roman"/>
          <w:color w:val="000000"/>
          <w:szCs w:val="21"/>
          <w:lang w:eastAsia="ja-JP"/>
        </w:rPr>
        <w:t>1987</w:t>
      </w:r>
      <w:r>
        <w:rPr>
          <w:rFonts w:eastAsiaTheme="minorEastAsia" w:cs="Times Roman"/>
          <w:color w:val="000000"/>
          <w:szCs w:val="21"/>
          <w:lang w:eastAsia="ja-JP"/>
        </w:rPr>
        <w:t>.</w:t>
      </w:r>
      <w:r w:rsidRPr="00B94D6D">
        <w:rPr>
          <w:rFonts w:eastAsiaTheme="minorEastAsia" w:cs="Times Roman"/>
          <w:color w:val="000000"/>
          <w:szCs w:val="21"/>
          <w:lang w:eastAsia="ja-JP"/>
        </w:rPr>
        <w:t xml:space="preserve"> Variations in </w:t>
      </w:r>
      <w:r w:rsidRPr="00B94D6D">
        <w:rPr>
          <w:rFonts w:eastAsiaTheme="minorEastAsia" w:cs="Times Roman"/>
          <w:color w:val="000000"/>
          <w:szCs w:val="21"/>
          <w:lang w:eastAsia="ja-JP"/>
        </w:rPr>
        <w:lastRenderedPageBreak/>
        <w:t xml:space="preserve">Oxygen Isotopic Compositions of Human Teeth and Urinary Stones. </w:t>
      </w:r>
      <w:r w:rsidRPr="00B94D6D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Applied Geochemistry </w:t>
      </w:r>
      <w:r w:rsidRPr="00B94D6D">
        <w:rPr>
          <w:rFonts w:eastAsiaTheme="minorEastAsia" w:cs="Times Roman"/>
          <w:color w:val="000000"/>
          <w:szCs w:val="21"/>
          <w:lang w:eastAsia="ja-JP"/>
        </w:rPr>
        <w:t>2:</w:t>
      </w:r>
      <w:r>
        <w:rPr>
          <w:rFonts w:eastAsiaTheme="minorEastAsia" w:cs="Times Roman"/>
          <w:color w:val="000000"/>
          <w:szCs w:val="21"/>
          <w:lang w:eastAsia="ja-JP"/>
        </w:rPr>
        <w:t xml:space="preserve"> </w:t>
      </w:r>
      <w:r w:rsidRPr="00B94D6D">
        <w:rPr>
          <w:rFonts w:eastAsiaTheme="minorEastAsia" w:cs="Times Roman"/>
          <w:color w:val="000000"/>
          <w:szCs w:val="21"/>
          <w:lang w:eastAsia="ja-JP"/>
        </w:rPr>
        <w:t xml:space="preserve">367-371. </w:t>
      </w:r>
    </w:p>
    <w:p w14:paraId="4DC4D0EE" w14:textId="77777777" w:rsidR="00D20E82" w:rsidRPr="00F22AD0" w:rsidRDefault="00D20E82" w:rsidP="00F94598">
      <w:pPr>
        <w:spacing w:after="0" w:line="240" w:lineRule="auto"/>
        <w:ind w:left="360" w:hanging="360"/>
      </w:pPr>
      <w:r w:rsidRPr="00F22AD0">
        <w:t xml:space="preserve">Luz, B., and Y. </w:t>
      </w:r>
      <w:proofErr w:type="spellStart"/>
      <w:r w:rsidRPr="00F22AD0">
        <w:t>Kolodny</w:t>
      </w:r>
      <w:proofErr w:type="spellEnd"/>
      <w:r w:rsidRPr="00F22AD0">
        <w:t xml:space="preserve">. 1985. Oxygen isotope variations in phosphate of biogenic </w:t>
      </w:r>
      <w:proofErr w:type="spellStart"/>
      <w:r w:rsidRPr="00F22AD0">
        <w:t>apatites</w:t>
      </w:r>
      <w:proofErr w:type="spellEnd"/>
      <w:r w:rsidRPr="00F22AD0">
        <w:t xml:space="preserve">. IV. mammal teeth and bones. </w:t>
      </w:r>
      <w:r w:rsidRPr="00F22AD0">
        <w:rPr>
          <w:i/>
          <w:iCs/>
        </w:rPr>
        <w:t xml:space="preserve">Earth and Planetary Science Letters </w:t>
      </w:r>
      <w:r w:rsidRPr="00F22AD0">
        <w:t>72: 29-36.</w:t>
      </w:r>
    </w:p>
    <w:p w14:paraId="12902862" w14:textId="77777777" w:rsidR="00D20E82" w:rsidRPr="00F22AD0" w:rsidRDefault="00D20E82" w:rsidP="00F94598">
      <w:pPr>
        <w:spacing w:after="0" w:line="240" w:lineRule="auto"/>
        <w:ind w:left="360" w:hanging="360"/>
        <w:rPr>
          <w:i/>
          <w:iCs/>
        </w:rPr>
      </w:pPr>
      <w:r w:rsidRPr="00F22AD0">
        <w:t xml:space="preserve">Luz, B., Y. </w:t>
      </w:r>
      <w:proofErr w:type="spellStart"/>
      <w:r w:rsidRPr="00F22AD0">
        <w:t>Kolodny</w:t>
      </w:r>
      <w:proofErr w:type="spellEnd"/>
      <w:r w:rsidRPr="00F22AD0">
        <w:t xml:space="preserve">, and M. Horowitz. 1984. Fractionation of oxygen isotopes between mammalian bone-phosphate and environmental drinking water. </w:t>
      </w:r>
      <w:proofErr w:type="spellStart"/>
      <w:r w:rsidRPr="00F22AD0">
        <w:rPr>
          <w:i/>
          <w:iCs/>
        </w:rPr>
        <w:t>Geochimica</w:t>
      </w:r>
      <w:proofErr w:type="spellEnd"/>
      <w:r w:rsidRPr="00F22AD0">
        <w:rPr>
          <w:i/>
          <w:iCs/>
        </w:rPr>
        <w:t xml:space="preserve"> et </w:t>
      </w:r>
      <w:proofErr w:type="spellStart"/>
      <w:r w:rsidRPr="00F22AD0">
        <w:rPr>
          <w:i/>
          <w:iCs/>
        </w:rPr>
        <w:t>Cosmochimica</w:t>
      </w:r>
      <w:proofErr w:type="spellEnd"/>
      <w:r w:rsidRPr="00F22AD0">
        <w:rPr>
          <w:i/>
          <w:iCs/>
        </w:rPr>
        <w:t xml:space="preserve"> Acta 48: 1689-1693.</w:t>
      </w:r>
    </w:p>
    <w:p w14:paraId="03A525F5" w14:textId="2BA9D091" w:rsidR="007B5BCD" w:rsidRPr="007B5BCD" w:rsidRDefault="007B5BCD" w:rsidP="00F94598">
      <w:pPr>
        <w:pStyle w:val="NormalWeb"/>
        <w:spacing w:beforeLines="0" w:afterLines="0"/>
        <w:ind w:left="360" w:hanging="360"/>
        <w:rPr>
          <w:rFonts w:ascii="Arial" w:hAnsi="Arial"/>
          <w:sz w:val="24"/>
          <w:szCs w:val="24"/>
        </w:rPr>
      </w:pPr>
      <w:r w:rsidRPr="007B5BCD">
        <w:rPr>
          <w:rFonts w:ascii="Arial" w:hAnsi="Arial"/>
          <w:sz w:val="24"/>
          <w:szCs w:val="24"/>
        </w:rPr>
        <w:t xml:space="preserve">Maurer, Anne-France, Stephen J.G. </w:t>
      </w:r>
      <w:proofErr w:type="spellStart"/>
      <w:r w:rsidRPr="007B5BCD">
        <w:rPr>
          <w:rFonts w:ascii="Arial" w:hAnsi="Arial"/>
          <w:sz w:val="24"/>
          <w:szCs w:val="24"/>
        </w:rPr>
        <w:t>Galer</w:t>
      </w:r>
      <w:proofErr w:type="spellEnd"/>
      <w:r w:rsidRPr="007B5BCD">
        <w:rPr>
          <w:rFonts w:ascii="Arial" w:hAnsi="Arial"/>
          <w:sz w:val="24"/>
          <w:szCs w:val="24"/>
        </w:rPr>
        <w:t xml:space="preserve">, Corina </w:t>
      </w:r>
      <w:proofErr w:type="spellStart"/>
      <w:r w:rsidRPr="007B5BCD">
        <w:rPr>
          <w:rFonts w:ascii="Arial" w:hAnsi="Arial"/>
          <w:sz w:val="24"/>
          <w:szCs w:val="24"/>
        </w:rPr>
        <w:t>Knipper</w:t>
      </w:r>
      <w:proofErr w:type="spellEnd"/>
      <w:r w:rsidRPr="007B5BCD">
        <w:rPr>
          <w:rFonts w:ascii="Arial" w:hAnsi="Arial"/>
          <w:sz w:val="24"/>
          <w:szCs w:val="24"/>
        </w:rPr>
        <w:t xml:space="preserve">, Lars </w:t>
      </w:r>
      <w:proofErr w:type="spellStart"/>
      <w:r w:rsidRPr="007B5BCD">
        <w:rPr>
          <w:rFonts w:ascii="Arial" w:hAnsi="Arial"/>
          <w:sz w:val="24"/>
          <w:szCs w:val="24"/>
        </w:rPr>
        <w:t>Beierlein</w:t>
      </w:r>
      <w:proofErr w:type="spellEnd"/>
      <w:r w:rsidRPr="007B5BCD">
        <w:rPr>
          <w:rFonts w:ascii="Arial" w:hAnsi="Arial"/>
          <w:sz w:val="24"/>
          <w:szCs w:val="24"/>
        </w:rPr>
        <w:t xml:space="preserve">, Elizabeth V. Nunn, Daniel Peters, Thomas </w:t>
      </w:r>
      <w:proofErr w:type="spellStart"/>
      <w:r w:rsidRPr="007B5BCD">
        <w:rPr>
          <w:rFonts w:ascii="Arial" w:hAnsi="Arial"/>
          <w:sz w:val="24"/>
          <w:szCs w:val="24"/>
        </w:rPr>
        <w:t>Tütken</w:t>
      </w:r>
      <w:proofErr w:type="spellEnd"/>
      <w:r w:rsidRPr="007B5BCD">
        <w:rPr>
          <w:rFonts w:ascii="Arial" w:hAnsi="Arial"/>
          <w:sz w:val="24"/>
          <w:szCs w:val="24"/>
        </w:rPr>
        <w:t xml:space="preserve">, Kurt W. Alt, and Bernd R. </w:t>
      </w:r>
      <w:proofErr w:type="spellStart"/>
      <w:r w:rsidRPr="007B5BCD">
        <w:rPr>
          <w:rFonts w:ascii="Arial" w:hAnsi="Arial"/>
          <w:sz w:val="24"/>
          <w:szCs w:val="24"/>
        </w:rPr>
        <w:t>Schöne</w:t>
      </w:r>
      <w:proofErr w:type="spellEnd"/>
      <w:r w:rsidRPr="007B5BCD">
        <w:rPr>
          <w:rFonts w:ascii="Arial" w:hAnsi="Arial"/>
          <w:sz w:val="24"/>
          <w:szCs w:val="24"/>
        </w:rPr>
        <w:t xml:space="preserve">. </w:t>
      </w:r>
      <w:r w:rsidRPr="007B5BCD">
        <w:rPr>
          <w:rFonts w:ascii="Arial" w:hAnsi="Arial"/>
          <w:sz w:val="24"/>
        </w:rPr>
        <w:t xml:space="preserve">2012. </w:t>
      </w:r>
      <w:r w:rsidRPr="007B5BCD">
        <w:rPr>
          <w:rFonts w:ascii="Arial" w:hAnsi="Arial"/>
          <w:sz w:val="24"/>
          <w:szCs w:val="24"/>
        </w:rPr>
        <w:t xml:space="preserve">Bioavailable 87Sr/86Sr in different environmental samples — Effects of anthropogenic contamination and implications for </w:t>
      </w:r>
      <w:proofErr w:type="spellStart"/>
      <w:r w:rsidRPr="007B5BCD">
        <w:rPr>
          <w:rFonts w:ascii="Arial" w:hAnsi="Arial"/>
          <w:sz w:val="24"/>
          <w:szCs w:val="24"/>
        </w:rPr>
        <w:t>isoscapes</w:t>
      </w:r>
      <w:proofErr w:type="spellEnd"/>
      <w:r w:rsidRPr="007B5BCD">
        <w:rPr>
          <w:rFonts w:ascii="Arial" w:hAnsi="Arial"/>
          <w:sz w:val="24"/>
          <w:szCs w:val="24"/>
        </w:rPr>
        <w:t xml:space="preserve"> in past migration studies. </w:t>
      </w:r>
      <w:r w:rsidRPr="007B5BCD">
        <w:rPr>
          <w:rFonts w:ascii="Arial" w:hAnsi="Arial"/>
          <w:i/>
          <w:sz w:val="24"/>
        </w:rPr>
        <w:t>Science of the Total Environment</w:t>
      </w:r>
      <w:r w:rsidRPr="007B5BCD">
        <w:rPr>
          <w:rFonts w:ascii="Arial" w:hAnsi="Arial"/>
          <w:sz w:val="24"/>
        </w:rPr>
        <w:t xml:space="preserve"> 433: 216–229. </w:t>
      </w:r>
    </w:p>
    <w:p w14:paraId="289D0403" w14:textId="00E80E8D" w:rsidR="00D20E82" w:rsidRPr="007328D3" w:rsidRDefault="00D20E82" w:rsidP="00F94598">
      <w:pPr>
        <w:pStyle w:val="NormalWeb"/>
        <w:spacing w:beforeLines="0" w:afterLines="0"/>
        <w:ind w:left="360" w:hanging="360"/>
        <w:rPr>
          <w:rFonts w:ascii="Arial" w:hAnsi="Arial"/>
        </w:rPr>
      </w:pPr>
      <w:r w:rsidRPr="007328D3">
        <w:rPr>
          <w:rFonts w:ascii="Arial" w:hAnsi="Arial"/>
          <w:sz w:val="24"/>
        </w:rPr>
        <w:t xml:space="preserve">Montgomery, J. 2010. Passports from the past: Investigating human dispersals using strontium isotope analysis of tooth enamel. </w:t>
      </w:r>
      <w:r w:rsidRPr="007328D3">
        <w:rPr>
          <w:rFonts w:ascii="Arial" w:hAnsi="Arial"/>
          <w:i/>
          <w:sz w:val="24"/>
        </w:rPr>
        <w:t>Annals of Human Biology</w:t>
      </w:r>
      <w:r w:rsidRPr="007328D3">
        <w:rPr>
          <w:rFonts w:ascii="Arial" w:hAnsi="Arial"/>
          <w:sz w:val="24"/>
        </w:rPr>
        <w:t xml:space="preserve"> 37: 325-346.</w:t>
      </w:r>
    </w:p>
    <w:p w14:paraId="544B28A3" w14:textId="77777777" w:rsidR="00311534" w:rsidRPr="00F11F80" w:rsidRDefault="00311534" w:rsidP="00F94598">
      <w:pPr>
        <w:spacing w:after="0" w:line="240" w:lineRule="auto"/>
        <w:ind w:left="360" w:hanging="360"/>
        <w:rPr>
          <w:rFonts w:eastAsia="Times New Roman"/>
        </w:rPr>
      </w:pPr>
      <w:r w:rsidRPr="00F11F80">
        <w:rPr>
          <w:rFonts w:eastAsia="Times New Roman"/>
        </w:rPr>
        <w:t xml:space="preserve">Montgomery, J., </w:t>
      </w:r>
      <w:r>
        <w:rPr>
          <w:rFonts w:eastAsia="Times New Roman"/>
        </w:rPr>
        <w:t>J.</w:t>
      </w:r>
      <w:r w:rsidRPr="00F11F80">
        <w:rPr>
          <w:rFonts w:eastAsia="Times New Roman"/>
        </w:rPr>
        <w:t>A</w:t>
      </w:r>
      <w:r>
        <w:rPr>
          <w:rFonts w:eastAsia="Times New Roman"/>
        </w:rPr>
        <w:t>.</w:t>
      </w:r>
      <w:r w:rsidRPr="00F11F80">
        <w:rPr>
          <w:rFonts w:eastAsia="Times New Roman"/>
        </w:rPr>
        <w:t xml:space="preserve"> </w:t>
      </w:r>
      <w:r>
        <w:rPr>
          <w:rFonts w:eastAsia="Times New Roman"/>
        </w:rPr>
        <w:t>Evans</w:t>
      </w:r>
      <w:r w:rsidRPr="00F11F80">
        <w:rPr>
          <w:rFonts w:eastAsia="Times New Roman"/>
        </w:rPr>
        <w:t xml:space="preserve">, and </w:t>
      </w:r>
      <w:r>
        <w:rPr>
          <w:rFonts w:eastAsia="Times New Roman"/>
        </w:rPr>
        <w:t xml:space="preserve">T. </w:t>
      </w:r>
      <w:proofErr w:type="spellStart"/>
      <w:r>
        <w:rPr>
          <w:rFonts w:eastAsia="Times New Roman"/>
        </w:rPr>
        <w:t>Neighbour</w:t>
      </w:r>
      <w:proofErr w:type="spellEnd"/>
      <w:r w:rsidRPr="00F11F80">
        <w:rPr>
          <w:rFonts w:eastAsia="Times New Roman"/>
        </w:rPr>
        <w:t xml:space="preserve">. 2003. Sr isotope evidence for population movement within the Hebridean Norse community NW Scotland. </w:t>
      </w:r>
      <w:r w:rsidRPr="00F11F80">
        <w:rPr>
          <w:rFonts w:eastAsia="Times New Roman"/>
          <w:i/>
        </w:rPr>
        <w:t xml:space="preserve">Journal of the Geological Society </w:t>
      </w:r>
      <w:r w:rsidRPr="00F11F80">
        <w:rPr>
          <w:rFonts w:eastAsia="Times New Roman"/>
        </w:rPr>
        <w:t>160, 649-653.</w:t>
      </w:r>
    </w:p>
    <w:p w14:paraId="71E66CDF" w14:textId="77777777" w:rsidR="00311534" w:rsidRPr="00F11F80" w:rsidRDefault="00311534" w:rsidP="00F94598">
      <w:pPr>
        <w:spacing w:after="0" w:line="240" w:lineRule="auto"/>
        <w:ind w:left="360" w:hanging="360"/>
        <w:rPr>
          <w:rFonts w:eastAsia="Times New Roman"/>
        </w:rPr>
      </w:pPr>
      <w:r w:rsidRPr="00F11F80">
        <w:rPr>
          <w:rFonts w:eastAsia="Times New Roman"/>
        </w:rPr>
        <w:t xml:space="preserve">Montgomery, J., J.A. Evans, and G. Wildman. 2006. Sr-87/Sr-86 isotope composition of bottled British mineral waters for environmental and forensic purposes. </w:t>
      </w:r>
      <w:r w:rsidRPr="00F11F80">
        <w:rPr>
          <w:rFonts w:eastAsia="Times New Roman"/>
          <w:i/>
        </w:rPr>
        <w:t>Applied Geochemistry</w:t>
      </w:r>
      <w:r w:rsidRPr="00F11F80">
        <w:rPr>
          <w:rFonts w:eastAsia="Times New Roman"/>
        </w:rPr>
        <w:t xml:space="preserve"> 21: 1626-1634.</w:t>
      </w:r>
    </w:p>
    <w:p w14:paraId="4244E1D2" w14:textId="23F4EF3A" w:rsidR="00311534" w:rsidRPr="00F11F80" w:rsidRDefault="00311534" w:rsidP="00F94598">
      <w:pPr>
        <w:spacing w:after="0" w:line="240" w:lineRule="auto"/>
        <w:ind w:left="284" w:hanging="284"/>
      </w:pPr>
      <w:bookmarkStart w:id="26" w:name="OLE_LINK74"/>
      <w:bookmarkStart w:id="27" w:name="OLE_LINK75"/>
      <w:r w:rsidRPr="00F11F80">
        <w:t xml:space="preserve">Price, T. Douglas 1989. </w:t>
      </w:r>
      <w:r w:rsidRPr="00F11F80">
        <w:rPr>
          <w:i/>
        </w:rPr>
        <w:t>The Chemistry of Prehistoric Bone.</w:t>
      </w:r>
      <w:r w:rsidRPr="00F11F80">
        <w:t xml:space="preserve"> Cambridge: Cambridge Un</w:t>
      </w:r>
      <w:r w:rsidR="007B5BCD">
        <w:t>i</w:t>
      </w:r>
      <w:r w:rsidRPr="00F11F80">
        <w:t>versity Press.</w:t>
      </w:r>
    </w:p>
    <w:bookmarkEnd w:id="26"/>
    <w:bookmarkEnd w:id="27"/>
    <w:p w14:paraId="2F65179F" w14:textId="364E3252" w:rsidR="009E3284" w:rsidRPr="00F11F80" w:rsidRDefault="009E3284" w:rsidP="00F94598">
      <w:pPr>
        <w:spacing w:after="0" w:line="240" w:lineRule="auto"/>
        <w:ind w:left="360" w:hanging="360"/>
      </w:pPr>
      <w:r w:rsidRPr="00F11F80">
        <w:t xml:space="preserve">Price, </w:t>
      </w:r>
      <w:bookmarkStart w:id="28" w:name="OLE_LINK16"/>
      <w:bookmarkStart w:id="29" w:name="OLE_LINK17"/>
      <w:r w:rsidRPr="00F11F80">
        <w:t>T. Douglas</w:t>
      </w:r>
      <w:bookmarkEnd w:id="28"/>
      <w:bookmarkEnd w:id="29"/>
      <w:r w:rsidRPr="00F11F80">
        <w:t xml:space="preserve">, Gisela </w:t>
      </w:r>
      <w:proofErr w:type="spellStart"/>
      <w:r w:rsidRPr="00F11F80">
        <w:t>Grupe</w:t>
      </w:r>
      <w:proofErr w:type="spellEnd"/>
      <w:r w:rsidRPr="00F11F80">
        <w:t xml:space="preserve">, and Peter </w:t>
      </w:r>
      <w:proofErr w:type="spellStart"/>
      <w:r w:rsidRPr="00F11F80">
        <w:t>Schröter</w:t>
      </w:r>
      <w:proofErr w:type="spellEnd"/>
      <w:r w:rsidRPr="00F11F80">
        <w:t xml:space="preserve">. 1994. Reconstruction of migration patterns in the Bell Beaker Period by stable strontium isotope analysis. </w:t>
      </w:r>
      <w:r w:rsidRPr="00F11F80">
        <w:rPr>
          <w:i/>
        </w:rPr>
        <w:t>Applied Geochemistry</w:t>
      </w:r>
      <w:r w:rsidRPr="00F11F80">
        <w:t xml:space="preserve"> 9: 413-417.</w:t>
      </w:r>
    </w:p>
    <w:p w14:paraId="7BB2D4B5" w14:textId="77777777" w:rsidR="00D20E82" w:rsidRPr="00892606" w:rsidRDefault="00D20E8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lang w:eastAsia="ja-JP"/>
        </w:rPr>
      </w:pPr>
      <w:r w:rsidRPr="00892606">
        <w:rPr>
          <w:rFonts w:eastAsiaTheme="minorEastAsia" w:cs="Times Roman"/>
          <w:color w:val="1A1718"/>
          <w:szCs w:val="21"/>
          <w:lang w:eastAsia="ja-JP"/>
        </w:rPr>
        <w:t>Price, T. Douglas, James H. Burton, and Robert A. Bentley</w:t>
      </w:r>
      <w:r>
        <w:rPr>
          <w:rFonts w:eastAsiaTheme="minorEastAsia" w:cs="Times Roman"/>
          <w:color w:val="1A1718"/>
          <w:szCs w:val="21"/>
          <w:lang w:eastAsia="ja-JP"/>
        </w:rPr>
        <w:t>.</w:t>
      </w:r>
      <w:r w:rsidRPr="00892606">
        <w:rPr>
          <w:rFonts w:eastAsiaTheme="minorEastAsia" w:cs="Times Roman"/>
          <w:color w:val="1A1718"/>
          <w:szCs w:val="21"/>
          <w:lang w:eastAsia="ja-JP"/>
        </w:rPr>
        <w:t xml:space="preserve"> 2002</w:t>
      </w:r>
      <w:r>
        <w:rPr>
          <w:rFonts w:eastAsiaTheme="minorEastAsia" w:cs="Times Roman"/>
          <w:color w:val="1A1718"/>
          <w:szCs w:val="21"/>
          <w:lang w:eastAsia="ja-JP"/>
        </w:rPr>
        <w:t>.</w:t>
      </w:r>
      <w:r w:rsidRPr="00892606">
        <w:rPr>
          <w:rFonts w:eastAsiaTheme="minorEastAsia" w:cs="Times Roman"/>
          <w:color w:val="1A1718"/>
          <w:szCs w:val="21"/>
          <w:lang w:eastAsia="ja-JP"/>
        </w:rPr>
        <w:t xml:space="preserve"> Characterization of Biologically Available Strontium Isotope Ratios for the Study of Prehistoric Migration. </w:t>
      </w:r>
      <w:r w:rsidRPr="00892606">
        <w:rPr>
          <w:rFonts w:eastAsiaTheme="minorEastAsia" w:cs="Times Roman"/>
          <w:i/>
          <w:color w:val="1A1718"/>
          <w:szCs w:val="21"/>
          <w:lang w:eastAsia="ja-JP"/>
        </w:rPr>
        <w:t>Archaeometry</w:t>
      </w:r>
      <w:r w:rsidRPr="00892606">
        <w:rPr>
          <w:rFonts w:eastAsiaTheme="minorEastAsia" w:cs="Times Roman"/>
          <w:color w:val="1A1718"/>
          <w:szCs w:val="21"/>
          <w:lang w:eastAsia="ja-JP"/>
        </w:rPr>
        <w:t xml:space="preserve"> 44:117–135. </w:t>
      </w:r>
    </w:p>
    <w:p w14:paraId="20482998" w14:textId="77777777" w:rsidR="007B5BCD" w:rsidRPr="007B5BCD" w:rsidRDefault="007B5BCD" w:rsidP="00F94598">
      <w:pPr>
        <w:spacing w:after="0" w:line="240" w:lineRule="auto"/>
        <w:ind w:left="284" w:hanging="284"/>
      </w:pPr>
      <w:r w:rsidRPr="007B5BCD">
        <w:t xml:space="preserve">Price, T. Douglas, and </w:t>
      </w:r>
      <w:proofErr w:type="spellStart"/>
      <w:r w:rsidRPr="007B5BCD">
        <w:t>Hildur</w:t>
      </w:r>
      <w:proofErr w:type="spellEnd"/>
      <w:r w:rsidRPr="007B5BCD">
        <w:t xml:space="preserve"> </w:t>
      </w:r>
      <w:proofErr w:type="spellStart"/>
      <w:r w:rsidRPr="007B5BCD">
        <w:t>Gestsdóttir</w:t>
      </w:r>
      <w:proofErr w:type="spellEnd"/>
      <w:r w:rsidRPr="007B5BCD">
        <w:t xml:space="preserve">. 2006. The first settlers of Iceland: an isotopic approach to colonization. </w:t>
      </w:r>
      <w:r w:rsidRPr="007B5BCD">
        <w:rPr>
          <w:rFonts w:eastAsiaTheme="minorEastAsia" w:cs="Times Roman"/>
          <w:i/>
          <w:lang w:eastAsia="ja-JP"/>
        </w:rPr>
        <w:t>Antiquity</w:t>
      </w:r>
      <w:r w:rsidRPr="007B5BCD">
        <w:rPr>
          <w:rFonts w:eastAsiaTheme="minorEastAsia" w:cs="Times Roman"/>
          <w:lang w:eastAsia="ja-JP"/>
        </w:rPr>
        <w:t xml:space="preserve"> 80: 130–144. </w:t>
      </w:r>
    </w:p>
    <w:p w14:paraId="4976BBDF" w14:textId="77777777" w:rsidR="009E3284" w:rsidRPr="00F11F80" w:rsidRDefault="009E3284" w:rsidP="00F94598">
      <w:pPr>
        <w:spacing w:after="0" w:line="240" w:lineRule="auto"/>
        <w:ind w:left="360" w:hanging="360"/>
      </w:pPr>
      <w:r w:rsidRPr="00F11F80">
        <w:rPr>
          <w:lang w:val="en-GB"/>
        </w:rPr>
        <w:t xml:space="preserve">Price, T. Douglas, Andres </w:t>
      </w:r>
      <w:proofErr w:type="spellStart"/>
      <w:r w:rsidRPr="00F11F80">
        <w:rPr>
          <w:lang w:val="en-GB"/>
        </w:rPr>
        <w:t>Dobat</w:t>
      </w:r>
      <w:proofErr w:type="spellEnd"/>
      <w:r w:rsidRPr="00F11F80">
        <w:rPr>
          <w:lang w:val="en-GB"/>
        </w:rPr>
        <w:t xml:space="preserve">, Niels </w:t>
      </w:r>
      <w:proofErr w:type="spellStart"/>
      <w:r w:rsidRPr="00F11F80">
        <w:rPr>
          <w:lang w:val="en-GB"/>
        </w:rPr>
        <w:t>Lynnerup</w:t>
      </w:r>
      <w:proofErr w:type="spellEnd"/>
      <w:r w:rsidRPr="00F11F80">
        <w:rPr>
          <w:lang w:val="en-GB"/>
        </w:rPr>
        <w:t xml:space="preserve">, </w:t>
      </w:r>
      <w:r w:rsidRPr="00F11F80">
        <w:t xml:space="preserve">and </w:t>
      </w:r>
      <w:r w:rsidRPr="00F11F80">
        <w:rPr>
          <w:lang w:val="en-GB"/>
        </w:rPr>
        <w:t xml:space="preserve">Pia </w:t>
      </w:r>
      <w:proofErr w:type="spellStart"/>
      <w:r w:rsidRPr="00F11F80">
        <w:rPr>
          <w:lang w:val="en-GB"/>
        </w:rPr>
        <w:t>Bennike</w:t>
      </w:r>
      <w:proofErr w:type="spellEnd"/>
      <w:r w:rsidRPr="00F11F80">
        <w:rPr>
          <w:lang w:val="en-GB"/>
        </w:rPr>
        <w:t xml:space="preserve">. 2011. Who was in Harold Bluetooth’s army? Strontium isotope investigation of the cemetery at the Viking Age fortress at Trelleborg, Denmark. </w:t>
      </w:r>
      <w:r w:rsidRPr="00F11F80">
        <w:rPr>
          <w:i/>
          <w:lang w:val="en-GB"/>
        </w:rPr>
        <w:t>Antiquity</w:t>
      </w:r>
      <w:r w:rsidRPr="00F11F80">
        <w:rPr>
          <w:lang w:val="en-GB"/>
        </w:rPr>
        <w:t xml:space="preserve"> </w:t>
      </w:r>
      <w:bookmarkStart w:id="30" w:name="OLE_LINK264"/>
      <w:r w:rsidRPr="00F11F80">
        <w:rPr>
          <w:lang w:val="en-GB"/>
        </w:rPr>
        <w:t>85: 476-489.</w:t>
      </w:r>
      <w:bookmarkEnd w:id="30"/>
    </w:p>
    <w:p w14:paraId="534B5C8A" w14:textId="77777777" w:rsidR="00D20E82" w:rsidRPr="000F7840" w:rsidRDefault="00D20E8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lang w:eastAsia="ja-JP"/>
        </w:rPr>
      </w:pPr>
      <w:r w:rsidRPr="00983807">
        <w:rPr>
          <w:rFonts w:eastAsiaTheme="minorEastAsia" w:cs="Times Roman"/>
          <w:color w:val="000000"/>
          <w:szCs w:val="21"/>
          <w:lang w:eastAsia="ja-JP"/>
        </w:rPr>
        <w:t>Schaaf, Peter,</w:t>
      </w:r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r w:rsidRPr="00983807">
        <w:rPr>
          <w:rFonts w:eastAsiaTheme="minorEastAsia" w:cs="Times Roman"/>
          <w:color w:val="000000"/>
          <w:szCs w:val="18"/>
          <w:lang w:eastAsia="ja-JP"/>
        </w:rPr>
        <w:t xml:space="preserve">Gabriela </w:t>
      </w:r>
      <w:r w:rsidRPr="00983807">
        <w:rPr>
          <w:rFonts w:eastAsiaTheme="minorEastAsia" w:cs="Times Roman"/>
          <w:color w:val="000000"/>
          <w:lang w:eastAsia="ja-JP"/>
        </w:rPr>
        <w:t xml:space="preserve">Solis, </w:t>
      </w:r>
      <w:r w:rsidRPr="00983807">
        <w:rPr>
          <w:rFonts w:eastAsiaTheme="minorEastAsia" w:cs="Times Roman"/>
          <w:color w:val="000000"/>
          <w:szCs w:val="18"/>
          <w:lang w:eastAsia="ja-JP"/>
        </w:rPr>
        <w:t xml:space="preserve">Linda </w:t>
      </w:r>
      <w:r w:rsidRPr="00983807">
        <w:rPr>
          <w:rFonts w:eastAsiaTheme="minorEastAsia" w:cs="Times Roman"/>
          <w:color w:val="000000"/>
          <w:lang w:eastAsia="ja-JP"/>
        </w:rPr>
        <w:t xml:space="preserve">R. </w:t>
      </w:r>
      <w:r w:rsidRPr="00983807">
        <w:rPr>
          <w:rFonts w:eastAsiaTheme="minorEastAsia" w:cs="Times Roman"/>
          <w:color w:val="000000"/>
          <w:szCs w:val="18"/>
          <w:lang w:eastAsia="ja-JP"/>
        </w:rPr>
        <w:t>Manzanilla,</w:t>
      </w:r>
      <w:r w:rsidRPr="00983807">
        <w:rPr>
          <w:rFonts w:eastAsiaTheme="minorEastAsia" w:cs="Times Roman"/>
          <w:color w:val="000000"/>
          <w:szCs w:val="16"/>
          <w:lang w:eastAsia="ja-JP"/>
        </w:rPr>
        <w:t xml:space="preserve"> </w:t>
      </w:r>
      <w:r w:rsidRPr="00983807">
        <w:rPr>
          <w:rFonts w:eastAsiaTheme="minorEastAsia" w:cs="Times Roman"/>
          <w:color w:val="000000"/>
          <w:szCs w:val="18"/>
          <w:lang w:eastAsia="ja-JP"/>
        </w:rPr>
        <w:t>Teodoro Hernandez,</w:t>
      </w:r>
      <w:r w:rsidRPr="00983807">
        <w:rPr>
          <w:rFonts w:eastAsiaTheme="minorEastAsia" w:cs="Times Roman"/>
          <w:color w:val="000000"/>
          <w:szCs w:val="16"/>
          <w:lang w:eastAsia="ja-JP"/>
        </w:rPr>
        <w:t xml:space="preserve"> </w:t>
      </w:r>
      <w:r w:rsidRPr="00983807">
        <w:rPr>
          <w:rFonts w:eastAsiaTheme="minorEastAsia" w:cs="Times Roman"/>
          <w:color w:val="000000"/>
          <w:szCs w:val="18"/>
          <w:lang w:eastAsia="ja-JP"/>
        </w:rPr>
        <w:t xml:space="preserve">Becket </w:t>
      </w:r>
      <w:proofErr w:type="spellStart"/>
      <w:r w:rsidRPr="00983807">
        <w:rPr>
          <w:rFonts w:eastAsiaTheme="minorEastAsia" w:cs="Times Roman"/>
          <w:color w:val="000000"/>
          <w:szCs w:val="18"/>
          <w:lang w:eastAsia="ja-JP"/>
        </w:rPr>
        <w:t>Lailson</w:t>
      </w:r>
      <w:proofErr w:type="spellEnd"/>
      <w:r w:rsidRPr="00983807">
        <w:rPr>
          <w:rFonts w:eastAsiaTheme="minorEastAsia" w:cs="Times Roman"/>
          <w:color w:val="000000"/>
          <w:szCs w:val="18"/>
          <w:lang w:eastAsia="ja-JP"/>
        </w:rPr>
        <w:t xml:space="preserve">, </w:t>
      </w:r>
      <w:r>
        <w:rPr>
          <w:rFonts w:eastAsiaTheme="minorEastAsia" w:cs="Times Roman"/>
          <w:color w:val="000000"/>
          <w:szCs w:val="18"/>
          <w:lang w:eastAsia="ja-JP"/>
        </w:rPr>
        <w:t>a</w:t>
      </w:r>
      <w:r w:rsidRPr="00983807">
        <w:rPr>
          <w:rFonts w:eastAsiaTheme="minorEastAsia" w:cs="Times Roman"/>
          <w:color w:val="000000"/>
          <w:szCs w:val="18"/>
          <w:lang w:eastAsia="ja-JP"/>
        </w:rPr>
        <w:t xml:space="preserve">nd Peter Horn. 2012. 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Isotopos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de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estroncio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aplicados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proofErr w:type="gramStart"/>
      <w:r w:rsidRPr="00983807">
        <w:rPr>
          <w:rFonts w:eastAsiaTheme="minorEastAsia" w:cs="Times Roman"/>
          <w:color w:val="000000"/>
          <w:szCs w:val="32"/>
          <w:lang w:eastAsia="ja-JP"/>
        </w:rPr>
        <w:t>a</w:t>
      </w:r>
      <w:proofErr w:type="gram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estudios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de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migracion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humana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en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el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centro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de barrio de </w:t>
      </w:r>
      <w:proofErr w:type="spellStart"/>
      <w:r w:rsidRPr="00983807">
        <w:rPr>
          <w:rFonts w:eastAsiaTheme="minorEastAsia" w:cs="Times Roman"/>
          <w:color w:val="000000"/>
          <w:szCs w:val="32"/>
          <w:lang w:eastAsia="ja-JP"/>
        </w:rPr>
        <w:t>Teopancazco</w:t>
      </w:r>
      <w:proofErr w:type="spellEnd"/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, </w:t>
      </w:r>
      <w:r>
        <w:rPr>
          <w:rFonts w:eastAsiaTheme="minorEastAsia" w:cs="Times Roman"/>
          <w:color w:val="000000"/>
          <w:szCs w:val="32"/>
          <w:lang w:eastAsia="ja-JP"/>
        </w:rPr>
        <w:t>Teotihuacán.</w:t>
      </w:r>
      <w:r w:rsidRPr="00983807">
        <w:rPr>
          <w:rFonts w:eastAsiaTheme="minorEastAsia" w:cs="Times Roman"/>
          <w:color w:val="000000"/>
          <w:szCs w:val="32"/>
          <w:lang w:eastAsia="ja-JP"/>
        </w:rPr>
        <w:t xml:space="preserve"> </w:t>
      </w:r>
      <w:r>
        <w:rPr>
          <w:rFonts w:eastAsiaTheme="minorEastAsia" w:cs="Times Roman"/>
          <w:color w:val="000000"/>
          <w:szCs w:val="21"/>
          <w:lang w:eastAsia="ja-JP"/>
        </w:rPr>
        <w:t>In</w:t>
      </w:r>
      <w:r w:rsidRPr="00A91DB2">
        <w:rPr>
          <w:rFonts w:ascii="Times New Roman" w:eastAsia="Times New Roman" w:hAnsi="Times New Roman"/>
          <w:bCs/>
          <w:kern w:val="36"/>
          <w:sz w:val="48"/>
          <w:szCs w:val="48"/>
        </w:rPr>
        <w:t xml:space="preserve"> </w:t>
      </w:r>
      <w:proofErr w:type="spellStart"/>
      <w:r w:rsidRPr="00A91DB2">
        <w:rPr>
          <w:rFonts w:cs="Times Roman"/>
          <w:bCs/>
          <w:i/>
          <w:color w:val="000000"/>
          <w:szCs w:val="21"/>
        </w:rPr>
        <w:t>Estudios</w:t>
      </w:r>
      <w:proofErr w:type="spellEnd"/>
      <w:r w:rsidRPr="00A91DB2">
        <w:rPr>
          <w:rFonts w:cs="Times Roman"/>
          <w:bCs/>
          <w:i/>
          <w:color w:val="000000"/>
          <w:szCs w:val="21"/>
        </w:rPr>
        <w:t xml:space="preserve"> </w:t>
      </w:r>
      <w:proofErr w:type="spellStart"/>
      <w:r w:rsidRPr="00A91DB2">
        <w:rPr>
          <w:rFonts w:cs="Times Roman"/>
          <w:bCs/>
          <w:i/>
          <w:color w:val="000000"/>
          <w:szCs w:val="21"/>
        </w:rPr>
        <w:t>arqueométricos</w:t>
      </w:r>
      <w:proofErr w:type="spellEnd"/>
      <w:r w:rsidRPr="00A91DB2">
        <w:rPr>
          <w:rFonts w:cs="Times Roman"/>
          <w:bCs/>
          <w:i/>
          <w:color w:val="000000"/>
          <w:szCs w:val="21"/>
        </w:rPr>
        <w:t xml:space="preserve"> del </w:t>
      </w:r>
      <w:proofErr w:type="spellStart"/>
      <w:r w:rsidRPr="00A91DB2">
        <w:rPr>
          <w:rFonts w:cs="Times Roman"/>
          <w:bCs/>
          <w:i/>
          <w:color w:val="000000"/>
          <w:szCs w:val="21"/>
        </w:rPr>
        <w:t>centro</w:t>
      </w:r>
      <w:proofErr w:type="spellEnd"/>
      <w:r w:rsidRPr="00A91DB2">
        <w:rPr>
          <w:rFonts w:cs="Times Roman"/>
          <w:bCs/>
          <w:i/>
          <w:color w:val="000000"/>
          <w:szCs w:val="21"/>
        </w:rPr>
        <w:t xml:space="preserve"> de barrio de </w:t>
      </w:r>
      <w:proofErr w:type="spellStart"/>
      <w:r w:rsidRPr="00A91DB2">
        <w:rPr>
          <w:rFonts w:cs="Times Roman"/>
          <w:bCs/>
          <w:i/>
          <w:color w:val="000000"/>
          <w:szCs w:val="21"/>
        </w:rPr>
        <w:t>teopancazco</w:t>
      </w:r>
      <w:proofErr w:type="spellEnd"/>
      <w:r w:rsidRPr="00A91DB2">
        <w:rPr>
          <w:rFonts w:cs="Times Roman"/>
          <w:bCs/>
          <w:i/>
          <w:color w:val="000000"/>
          <w:szCs w:val="21"/>
        </w:rPr>
        <w:t xml:space="preserve"> </w:t>
      </w:r>
      <w:proofErr w:type="spellStart"/>
      <w:r w:rsidRPr="00A91DB2">
        <w:rPr>
          <w:rFonts w:cs="Times Roman"/>
          <w:bCs/>
          <w:i/>
          <w:color w:val="000000"/>
          <w:szCs w:val="21"/>
        </w:rPr>
        <w:t>en</w:t>
      </w:r>
      <w:proofErr w:type="spellEnd"/>
      <w:r w:rsidRPr="00A91DB2">
        <w:rPr>
          <w:rFonts w:cs="Times Roman"/>
          <w:bCs/>
          <w:i/>
          <w:color w:val="000000"/>
          <w:szCs w:val="21"/>
        </w:rPr>
        <w:t xml:space="preserve"> </w:t>
      </w:r>
      <w:proofErr w:type="gramStart"/>
      <w:r w:rsidRPr="00A91DB2">
        <w:rPr>
          <w:rFonts w:cs="Times Roman"/>
          <w:bCs/>
          <w:i/>
          <w:color w:val="000000"/>
          <w:szCs w:val="21"/>
        </w:rPr>
        <w:t>Teotihuacán</w:t>
      </w:r>
      <w:r>
        <w:rPr>
          <w:rFonts w:cs="Times Roman"/>
          <w:bCs/>
          <w:i/>
          <w:color w:val="000000"/>
          <w:szCs w:val="21"/>
        </w:rPr>
        <w:t xml:space="preserve">, </w:t>
      </w:r>
      <w:r>
        <w:rPr>
          <w:rFonts w:cs="Times Roman"/>
          <w:bCs/>
          <w:color w:val="000000"/>
          <w:szCs w:val="21"/>
        </w:rPr>
        <w:t xml:space="preserve"> L.R.</w:t>
      </w:r>
      <w:proofErr w:type="gramEnd"/>
      <w:r>
        <w:rPr>
          <w:rFonts w:cs="Times Roman"/>
          <w:bCs/>
          <w:color w:val="000000"/>
          <w:szCs w:val="21"/>
        </w:rPr>
        <w:t xml:space="preserve"> Manzanilla (ed.), pp. 347-423</w:t>
      </w:r>
      <w:r>
        <w:rPr>
          <w:rFonts w:cs="Times Roman"/>
          <w:bCs/>
          <w:i/>
          <w:color w:val="000000"/>
          <w:szCs w:val="21"/>
        </w:rPr>
        <w:t xml:space="preserve">. </w:t>
      </w:r>
      <w:r w:rsidRPr="00831056">
        <w:rPr>
          <w:rFonts w:cs="Times Roman"/>
          <w:bCs/>
          <w:color w:val="000000"/>
          <w:szCs w:val="21"/>
        </w:rPr>
        <w:t>Mexico: INAH</w:t>
      </w:r>
      <w:r>
        <w:rPr>
          <w:rFonts w:cs="Times Roman"/>
          <w:bCs/>
          <w:i/>
          <w:color w:val="000000"/>
          <w:szCs w:val="21"/>
        </w:rPr>
        <w:t>.</w:t>
      </w:r>
    </w:p>
    <w:p w14:paraId="6F97A66B" w14:textId="77777777" w:rsidR="00C54F62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lang w:eastAsia="ja-JP"/>
        </w:rPr>
      </w:pPr>
      <w:proofErr w:type="spellStart"/>
      <w:r w:rsidRPr="00BD345A">
        <w:rPr>
          <w:rFonts w:eastAsiaTheme="minorEastAsia" w:cs="Times Roman"/>
          <w:color w:val="000000"/>
          <w:szCs w:val="26"/>
          <w:lang w:eastAsia="ja-JP"/>
        </w:rPr>
        <w:t>Shemesh</w:t>
      </w:r>
      <w:proofErr w:type="spellEnd"/>
      <w:r>
        <w:rPr>
          <w:rFonts w:eastAsiaTheme="minorEastAsia" w:cs="Times Roman"/>
          <w:color w:val="000000"/>
          <w:szCs w:val="26"/>
          <w:lang w:eastAsia="ja-JP"/>
        </w:rPr>
        <w:t>, Aldo.</w:t>
      </w:r>
      <w:r w:rsidRPr="00BD345A">
        <w:rPr>
          <w:rFonts w:eastAsiaTheme="minorEastAsia" w:cs="Times Roman"/>
          <w:color w:val="000000"/>
          <w:szCs w:val="26"/>
          <w:lang w:eastAsia="ja-JP"/>
        </w:rPr>
        <w:t xml:space="preserve"> 1990</w:t>
      </w:r>
      <w:r>
        <w:rPr>
          <w:rFonts w:eastAsiaTheme="minorEastAsia" w:cs="Times Roman"/>
          <w:color w:val="000000"/>
          <w:szCs w:val="26"/>
          <w:lang w:eastAsia="ja-JP"/>
        </w:rPr>
        <w:t>.</w:t>
      </w:r>
      <w:r>
        <w:rPr>
          <w:rFonts w:ascii="Times Roman" w:eastAsiaTheme="minorEastAsia" w:hAnsi="Times Roman" w:cs="Times Roman"/>
          <w:color w:val="000000"/>
          <w:sz w:val="21"/>
          <w:szCs w:val="21"/>
          <w:lang w:eastAsia="ja-JP"/>
        </w:rPr>
        <w:t xml:space="preserve"> </w:t>
      </w:r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Crystallinity and Diagenesis of Sedimentary </w:t>
      </w:r>
      <w:proofErr w:type="spellStart"/>
      <w:r w:rsidRPr="00E4704C">
        <w:rPr>
          <w:rFonts w:eastAsiaTheme="minorEastAsia" w:cs="Times Roman"/>
          <w:color w:val="000000"/>
          <w:szCs w:val="21"/>
          <w:lang w:eastAsia="ja-JP"/>
        </w:rPr>
        <w:t>Apatites</w:t>
      </w:r>
      <w:proofErr w:type="spellEnd"/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. </w:t>
      </w:r>
      <w:proofErr w:type="spellStart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>Geochimica</w:t>
      </w:r>
      <w:proofErr w:type="spellEnd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 et </w:t>
      </w:r>
      <w:proofErr w:type="spellStart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>Cosmochimica</w:t>
      </w:r>
      <w:proofErr w:type="spellEnd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 Acta </w:t>
      </w:r>
      <w:r w:rsidRPr="00E4704C">
        <w:rPr>
          <w:rFonts w:eastAsiaTheme="minorEastAsia" w:cs="Times Roman"/>
          <w:color w:val="000000"/>
          <w:szCs w:val="21"/>
          <w:lang w:eastAsia="ja-JP"/>
        </w:rPr>
        <w:t>54: 2433-2438.</w:t>
      </w:r>
      <w:r>
        <w:rPr>
          <w:rFonts w:ascii="Times Roman" w:eastAsiaTheme="minorEastAsia" w:hAnsi="Times Roman" w:cs="Times Roman"/>
          <w:color w:val="000000"/>
          <w:sz w:val="21"/>
          <w:szCs w:val="21"/>
          <w:lang w:eastAsia="ja-JP"/>
        </w:rPr>
        <w:t xml:space="preserve"> </w:t>
      </w:r>
    </w:p>
    <w:p w14:paraId="1FE618AD" w14:textId="77777777" w:rsidR="00311534" w:rsidRPr="00F11F80" w:rsidRDefault="00311534" w:rsidP="00F94598">
      <w:pPr>
        <w:spacing w:after="0" w:line="240" w:lineRule="auto"/>
        <w:ind w:left="360" w:hanging="360"/>
        <w:rPr>
          <w:lang w:eastAsia="ja-JP"/>
        </w:rPr>
      </w:pPr>
      <w:proofErr w:type="spellStart"/>
      <w:r w:rsidRPr="00F11F80">
        <w:rPr>
          <w:lang w:eastAsia="ja-JP"/>
        </w:rPr>
        <w:t>Sillen</w:t>
      </w:r>
      <w:proofErr w:type="spellEnd"/>
      <w:r w:rsidRPr="00F11F80">
        <w:rPr>
          <w:lang w:eastAsia="ja-JP"/>
        </w:rPr>
        <w:t xml:space="preserve">, A., and M. Kavanagh. 1982. Strontium and paleodietary research: a review. </w:t>
      </w:r>
      <w:r w:rsidRPr="00F11F80">
        <w:rPr>
          <w:i/>
          <w:lang w:eastAsia="ja-JP"/>
        </w:rPr>
        <w:t xml:space="preserve">Yearbook of Physical </w:t>
      </w:r>
      <w:proofErr w:type="gramStart"/>
      <w:r w:rsidRPr="00F11F80">
        <w:rPr>
          <w:i/>
          <w:lang w:eastAsia="ja-JP"/>
        </w:rPr>
        <w:t xml:space="preserve">Anthropology </w:t>
      </w:r>
      <w:r w:rsidRPr="00F11F80">
        <w:rPr>
          <w:lang w:eastAsia="ja-JP"/>
        </w:rPr>
        <w:t xml:space="preserve"> 25</w:t>
      </w:r>
      <w:proofErr w:type="gramEnd"/>
      <w:r w:rsidRPr="00F11F80">
        <w:rPr>
          <w:lang w:eastAsia="ja-JP"/>
        </w:rPr>
        <w:t>: 67-90.</w:t>
      </w:r>
    </w:p>
    <w:p w14:paraId="594D6F1A" w14:textId="77777777" w:rsidR="00311534" w:rsidRPr="00F11F80" w:rsidRDefault="00311534" w:rsidP="00F94598">
      <w:pPr>
        <w:tabs>
          <w:tab w:val="left" w:pos="90"/>
        </w:tabs>
        <w:spacing w:after="0" w:line="240" w:lineRule="auto"/>
        <w:ind w:left="360" w:hanging="360"/>
      </w:pPr>
      <w:proofErr w:type="spellStart"/>
      <w:r w:rsidRPr="00F11F80">
        <w:lastRenderedPageBreak/>
        <w:t>Sillen</w:t>
      </w:r>
      <w:proofErr w:type="spellEnd"/>
      <w:r w:rsidRPr="00F11F80">
        <w:t xml:space="preserve"> A, G. Hall, S. Richardson, et al. 1998. 87Sr/86Sr ratios in modern and fossil food-webs of the Sterkfontein valley: implications for early hominid habitat preference. </w:t>
      </w:r>
      <w:proofErr w:type="spellStart"/>
      <w:r w:rsidRPr="00F11F80">
        <w:rPr>
          <w:i/>
        </w:rPr>
        <w:t>Geochimica</w:t>
      </w:r>
      <w:proofErr w:type="spellEnd"/>
      <w:r w:rsidRPr="00F11F80">
        <w:rPr>
          <w:i/>
        </w:rPr>
        <w:t xml:space="preserve"> et </w:t>
      </w:r>
      <w:proofErr w:type="spellStart"/>
      <w:r w:rsidRPr="00F11F80">
        <w:rPr>
          <w:i/>
        </w:rPr>
        <w:t>Cosmochimica</w:t>
      </w:r>
      <w:proofErr w:type="spellEnd"/>
      <w:r w:rsidRPr="00F11F80">
        <w:rPr>
          <w:i/>
        </w:rPr>
        <w:t xml:space="preserve"> Acta</w:t>
      </w:r>
      <w:r w:rsidRPr="00F11F80">
        <w:t xml:space="preserve"> 62: 2463–2478. </w:t>
      </w:r>
    </w:p>
    <w:p w14:paraId="39D9711D" w14:textId="120F0D26" w:rsidR="007B5BCD" w:rsidRPr="007B5BCD" w:rsidRDefault="007B5BCD" w:rsidP="00F94598">
      <w:pPr>
        <w:spacing w:after="0" w:line="240" w:lineRule="auto"/>
        <w:ind w:left="357" w:hanging="357"/>
        <w:rPr>
          <w:lang w:val="en-GB"/>
        </w:rPr>
      </w:pPr>
      <w:bookmarkStart w:id="31" w:name="OLE_LINK231"/>
      <w:proofErr w:type="spellStart"/>
      <w:r w:rsidRPr="007B5BCD">
        <w:rPr>
          <w:bCs/>
          <w:snapToGrid w:val="0"/>
          <w:color w:val="000000"/>
        </w:rPr>
        <w:t>Sjögren</w:t>
      </w:r>
      <w:proofErr w:type="spellEnd"/>
      <w:r w:rsidRPr="007B5BCD">
        <w:rPr>
          <w:bCs/>
          <w:snapToGrid w:val="0"/>
          <w:color w:val="000000"/>
        </w:rPr>
        <w:t>,</w:t>
      </w:r>
      <w:r w:rsidRPr="007B5BCD">
        <w:rPr>
          <w:rFonts w:eastAsia="仿宋体"/>
        </w:rPr>
        <w:t xml:space="preserve"> </w:t>
      </w:r>
      <w:r w:rsidRPr="007B5BCD">
        <w:rPr>
          <w:bCs/>
          <w:snapToGrid w:val="0"/>
          <w:color w:val="000000"/>
        </w:rPr>
        <w:t>Karl-</w:t>
      </w:r>
      <w:proofErr w:type="spellStart"/>
      <w:r w:rsidRPr="007B5BCD">
        <w:rPr>
          <w:bCs/>
          <w:snapToGrid w:val="0"/>
          <w:color w:val="000000"/>
        </w:rPr>
        <w:t>Göran</w:t>
      </w:r>
      <w:proofErr w:type="spellEnd"/>
      <w:r w:rsidRPr="007B5BCD">
        <w:rPr>
          <w:bCs/>
          <w:snapToGrid w:val="0"/>
          <w:color w:val="000000"/>
        </w:rPr>
        <w:t xml:space="preserve">, </w:t>
      </w:r>
      <w:r w:rsidRPr="007B5BCD">
        <w:rPr>
          <w:rFonts w:eastAsia="仿宋体"/>
        </w:rPr>
        <w:t xml:space="preserve">T. Douglas Price, </w:t>
      </w:r>
      <w:r>
        <w:t>and</w:t>
      </w:r>
      <w:r w:rsidRPr="007B5BCD">
        <w:t xml:space="preserve"> </w:t>
      </w:r>
      <w:r w:rsidRPr="007B5BCD">
        <w:rPr>
          <w:bCs/>
          <w:snapToGrid w:val="0"/>
          <w:color w:val="000000"/>
          <w:lang w:val="sv-SE"/>
        </w:rPr>
        <w:t>Torbjörn Ahlström</w:t>
      </w:r>
      <w:r w:rsidRPr="007B5BCD">
        <w:t xml:space="preserve">. </w:t>
      </w:r>
      <w:r>
        <w:t xml:space="preserve">2009. </w:t>
      </w:r>
      <w:r w:rsidRPr="007B5BCD">
        <w:rPr>
          <w:lang w:val="en-GB"/>
        </w:rPr>
        <w:t xml:space="preserve">Megaliths and mobility in south-western Sweden.  Investigating relations between a local society and its neighbours using strontium isotopes. </w:t>
      </w:r>
      <w:r w:rsidRPr="007B5BCD">
        <w:rPr>
          <w:i/>
          <w:lang w:val="en-GB"/>
        </w:rPr>
        <w:t>Journal of Anthropological Archaeology 28: 85-101</w:t>
      </w:r>
      <w:r w:rsidRPr="007B5BCD">
        <w:rPr>
          <w:lang w:val="en-GB"/>
        </w:rPr>
        <w:t>.</w:t>
      </w:r>
      <w:bookmarkEnd w:id="31"/>
    </w:p>
    <w:p w14:paraId="2CAD54A6" w14:textId="77777777" w:rsidR="00311534" w:rsidRPr="00F11F80" w:rsidRDefault="00311534" w:rsidP="00F94598">
      <w:pPr>
        <w:tabs>
          <w:tab w:val="left" w:pos="90"/>
        </w:tabs>
        <w:spacing w:after="0" w:line="240" w:lineRule="auto"/>
        <w:ind w:left="360" w:hanging="360"/>
      </w:pPr>
      <w:r w:rsidRPr="00F11F80">
        <w:t xml:space="preserve">Slovak, N.M., and A. </w:t>
      </w:r>
      <w:proofErr w:type="spellStart"/>
      <w:r w:rsidRPr="00F11F80">
        <w:t>Paytan</w:t>
      </w:r>
      <w:proofErr w:type="spellEnd"/>
      <w:r w:rsidRPr="00F11F80">
        <w:t xml:space="preserve">. 2011. Applications of Sr Isotopes in Archaeology. </w:t>
      </w:r>
      <w:r w:rsidRPr="00F11F80">
        <w:rPr>
          <w:i/>
        </w:rPr>
        <w:t>Advances in Isotope Geochemistry</w:t>
      </w:r>
      <w:r w:rsidRPr="00F11F80">
        <w:t xml:space="preserve"> 5: 743-768. </w:t>
      </w:r>
    </w:p>
    <w:p w14:paraId="708921EB" w14:textId="77777777" w:rsidR="00C54F62" w:rsidRPr="00833195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bCs/>
          <w:color w:val="000000"/>
          <w:szCs w:val="21"/>
          <w:lang w:eastAsia="ja-JP"/>
        </w:rPr>
      </w:pPr>
      <w:proofErr w:type="spellStart"/>
      <w:r>
        <w:rPr>
          <w:rFonts w:eastAsiaTheme="minorEastAsia" w:cs="Times Roman"/>
          <w:color w:val="000000"/>
          <w:szCs w:val="21"/>
          <w:lang w:eastAsia="ja-JP"/>
        </w:rPr>
        <w:t>Sponheimer</w:t>
      </w:r>
      <w:proofErr w:type="spellEnd"/>
      <w:r>
        <w:rPr>
          <w:rFonts w:eastAsiaTheme="minorEastAsia" w:cs="Times Roman"/>
          <w:color w:val="000000"/>
          <w:szCs w:val="21"/>
          <w:lang w:eastAsia="ja-JP"/>
        </w:rPr>
        <w:t xml:space="preserve">, Matt, and Julia A. Lee-Thorp. 1999. </w:t>
      </w:r>
      <w:r w:rsidRPr="00833195">
        <w:rPr>
          <w:rFonts w:eastAsiaTheme="minorEastAsia" w:cs="Times Roman"/>
          <w:bCs/>
          <w:color w:val="000000"/>
          <w:szCs w:val="21"/>
          <w:lang w:eastAsia="ja-JP"/>
        </w:rPr>
        <w:t>Oxygen Isotopes in Enamel Carbonate and their Ecological Significance</w:t>
      </w:r>
      <w:r>
        <w:rPr>
          <w:rFonts w:eastAsiaTheme="minorEastAsia" w:cs="Times Roman"/>
          <w:bCs/>
          <w:color w:val="000000"/>
          <w:szCs w:val="21"/>
          <w:lang w:eastAsia="ja-JP"/>
        </w:rPr>
        <w:t xml:space="preserve">. </w:t>
      </w:r>
      <w:r w:rsidRPr="00833195">
        <w:rPr>
          <w:rFonts w:eastAsiaTheme="minorEastAsia" w:cs="Times Roman"/>
          <w:bCs/>
          <w:i/>
          <w:color w:val="000000"/>
          <w:szCs w:val="21"/>
          <w:lang w:eastAsia="ja-JP"/>
        </w:rPr>
        <w:t>Journal of Archaeological Science</w:t>
      </w:r>
      <w:r w:rsidRPr="00833195">
        <w:rPr>
          <w:rFonts w:eastAsiaTheme="minorEastAsia" w:cs="Times Roman"/>
          <w:bCs/>
          <w:color w:val="000000"/>
          <w:szCs w:val="21"/>
          <w:lang w:eastAsia="ja-JP"/>
        </w:rPr>
        <w:t xml:space="preserve"> 26</w:t>
      </w:r>
      <w:r>
        <w:rPr>
          <w:rFonts w:eastAsiaTheme="minorEastAsia" w:cs="Times Roman"/>
          <w:bCs/>
          <w:color w:val="000000"/>
          <w:szCs w:val="21"/>
          <w:lang w:eastAsia="ja-JP"/>
        </w:rPr>
        <w:t>:</w:t>
      </w:r>
      <w:r w:rsidRPr="00833195">
        <w:rPr>
          <w:rFonts w:eastAsiaTheme="minorEastAsia" w:cs="Times Roman"/>
          <w:b/>
          <w:bCs/>
          <w:color w:val="000000"/>
          <w:szCs w:val="21"/>
          <w:lang w:eastAsia="ja-JP"/>
        </w:rPr>
        <w:t xml:space="preserve"> </w:t>
      </w:r>
      <w:r w:rsidRPr="00833195">
        <w:rPr>
          <w:rFonts w:eastAsiaTheme="minorEastAsia" w:cs="Times Roman"/>
          <w:bCs/>
          <w:color w:val="000000"/>
          <w:szCs w:val="21"/>
          <w:lang w:eastAsia="ja-JP"/>
        </w:rPr>
        <w:t>723–728</w:t>
      </w:r>
      <w:r>
        <w:rPr>
          <w:rFonts w:eastAsiaTheme="minorEastAsia" w:cs="Times Roman"/>
          <w:bCs/>
          <w:color w:val="000000"/>
          <w:szCs w:val="21"/>
          <w:lang w:eastAsia="ja-JP"/>
        </w:rPr>
        <w:t>.</w:t>
      </w:r>
      <w:r w:rsidRPr="00833195">
        <w:rPr>
          <w:rFonts w:eastAsiaTheme="minorEastAsia" w:cs="Times Roman"/>
          <w:bCs/>
          <w:color w:val="000000"/>
          <w:szCs w:val="21"/>
          <w:lang w:eastAsia="ja-JP"/>
        </w:rPr>
        <w:t> </w:t>
      </w:r>
    </w:p>
    <w:p w14:paraId="734A5A16" w14:textId="77777777" w:rsidR="00C54F62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szCs w:val="21"/>
          <w:lang w:eastAsia="ja-JP"/>
        </w:rPr>
      </w:pPr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Stuart-Williams, Hilary </w:t>
      </w:r>
      <w:proofErr w:type="spellStart"/>
      <w:r w:rsidRPr="00E4704C">
        <w:rPr>
          <w:rFonts w:eastAsiaTheme="minorEastAsia" w:cs="Times Roman"/>
          <w:color w:val="000000"/>
          <w:szCs w:val="21"/>
          <w:lang w:eastAsia="ja-JP"/>
        </w:rPr>
        <w:t>LeQ</w:t>
      </w:r>
      <w:proofErr w:type="spellEnd"/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., Henry P. Schwarcz, Christine D. White, and Michael W. Spence. 1998. The Isotopic Composition and Diagenesis of Human Bone from Teotihuacan and Oaxaca, Mexico. </w:t>
      </w:r>
      <w:proofErr w:type="spellStart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>Palaeogeography</w:t>
      </w:r>
      <w:proofErr w:type="spellEnd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, </w:t>
      </w:r>
      <w:proofErr w:type="spellStart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>Palaeoclimatology</w:t>
      </w:r>
      <w:proofErr w:type="spellEnd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, </w:t>
      </w:r>
      <w:proofErr w:type="spellStart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>Palaeoecology</w:t>
      </w:r>
      <w:proofErr w:type="spellEnd"/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 </w:t>
      </w:r>
      <w:r>
        <w:rPr>
          <w:rFonts w:eastAsiaTheme="minorEastAsia" w:cs="Times Roman"/>
          <w:color w:val="000000"/>
          <w:szCs w:val="21"/>
          <w:lang w:eastAsia="ja-JP"/>
        </w:rPr>
        <w:t>126: 1-14.</w:t>
      </w:r>
    </w:p>
    <w:p w14:paraId="705D3EAC" w14:textId="77777777" w:rsidR="00C54F62" w:rsidRDefault="00C54F62" w:rsidP="00F94598">
      <w:pPr>
        <w:spacing w:after="0" w:line="240" w:lineRule="auto"/>
        <w:ind w:left="360" w:hanging="360"/>
      </w:pPr>
      <w:r w:rsidRPr="00F22AD0">
        <w:t xml:space="preserve">Torres-Alvarado, Ignacio S., </w:t>
      </w:r>
      <w:r>
        <w:t>Surendra P.</w:t>
      </w:r>
      <w:r w:rsidRPr="00F22AD0">
        <w:t xml:space="preserve"> Verma, </w:t>
      </w:r>
      <w:r>
        <w:t>and</w:t>
      </w:r>
      <w:r w:rsidRPr="00F22AD0">
        <w:t xml:space="preserve"> Gerardo Carrasco-</w:t>
      </w:r>
      <w:proofErr w:type="spellStart"/>
      <w:r w:rsidRPr="00F22AD0">
        <w:t>Nuñez</w:t>
      </w:r>
      <w:proofErr w:type="spellEnd"/>
      <w:r w:rsidRPr="00F22AD0">
        <w:t xml:space="preserve">. 2000. Compilation of radiogenic isotope data in Mexico and their implications. </w:t>
      </w:r>
      <w:r w:rsidRPr="00F22AD0">
        <w:rPr>
          <w:i/>
          <w:iCs/>
        </w:rPr>
        <w:t>Proc. Indian Acad. Sci. (Earth Planet. Sci.)</w:t>
      </w:r>
      <w:r w:rsidRPr="00F22AD0">
        <w:t>, 109: 67-78.</w:t>
      </w:r>
    </w:p>
    <w:p w14:paraId="74090714" w14:textId="77777777" w:rsidR="00C54F62" w:rsidRPr="00E4704C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000000"/>
          <w:szCs w:val="21"/>
          <w:lang w:eastAsia="ja-JP"/>
        </w:rPr>
      </w:pPr>
      <w:r w:rsidRPr="00E4704C">
        <w:rPr>
          <w:rFonts w:eastAsiaTheme="minorEastAsia" w:cs="Times Roman"/>
          <w:color w:val="000000"/>
          <w:szCs w:val="21"/>
          <w:lang w:eastAsia="ja-JP"/>
        </w:rPr>
        <w:t>White, Christine D., Fred J. Longstaffe, and Kimberley R. Law</w:t>
      </w:r>
      <w:r>
        <w:rPr>
          <w:rFonts w:eastAsiaTheme="minorEastAsia" w:cs="Times Roman"/>
          <w:color w:val="000000"/>
          <w:szCs w:val="21"/>
          <w:lang w:eastAsia="ja-JP"/>
        </w:rPr>
        <w:t>.</w:t>
      </w:r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 2001</w:t>
      </w:r>
      <w:r>
        <w:rPr>
          <w:rFonts w:eastAsiaTheme="minorEastAsia" w:cs="Times Roman"/>
          <w:color w:val="000000"/>
          <w:szCs w:val="21"/>
          <w:lang w:eastAsia="ja-JP"/>
        </w:rPr>
        <w:t>.</w:t>
      </w:r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 Revisiting the Teotihuacan Connection at </w:t>
      </w:r>
      <w:proofErr w:type="spellStart"/>
      <w:r w:rsidRPr="00E4704C">
        <w:rPr>
          <w:rFonts w:eastAsiaTheme="minorEastAsia" w:cs="Times Roman"/>
          <w:color w:val="000000"/>
          <w:szCs w:val="21"/>
          <w:lang w:eastAsia="ja-JP"/>
        </w:rPr>
        <w:t>Altun</w:t>
      </w:r>
      <w:proofErr w:type="spellEnd"/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 Ha: Oxygen Isotope Analysis of Tomb f-8/1. </w:t>
      </w:r>
      <w:r>
        <w:rPr>
          <w:rFonts w:eastAsiaTheme="minorEastAsia" w:cs="Times Roman"/>
          <w:i/>
          <w:iCs/>
          <w:color w:val="000000"/>
          <w:szCs w:val="21"/>
          <w:lang w:eastAsia="ja-JP"/>
        </w:rPr>
        <w:t>Ancient Mesoamer</w:t>
      </w:r>
      <w:r w:rsidRPr="00E4704C">
        <w:rPr>
          <w:rFonts w:eastAsiaTheme="minorEastAsia" w:cs="Times Roman"/>
          <w:i/>
          <w:iCs/>
          <w:color w:val="000000"/>
          <w:szCs w:val="21"/>
          <w:lang w:eastAsia="ja-JP"/>
        </w:rPr>
        <w:t xml:space="preserve">ica </w:t>
      </w:r>
      <w:r w:rsidRPr="00E4704C">
        <w:rPr>
          <w:rFonts w:eastAsiaTheme="minorEastAsia" w:cs="Times Roman"/>
          <w:color w:val="000000"/>
          <w:szCs w:val="21"/>
          <w:lang w:eastAsia="ja-JP"/>
        </w:rPr>
        <w:t xml:space="preserve">12: 65-72. </w:t>
      </w:r>
    </w:p>
    <w:p w14:paraId="3071D295" w14:textId="77777777" w:rsidR="00C54F62" w:rsidRPr="00126717" w:rsidRDefault="00C54F62" w:rsidP="00F9459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="Times Roman"/>
          <w:color w:val="1A1718"/>
          <w:szCs w:val="21"/>
          <w:lang w:eastAsia="ja-JP"/>
        </w:rPr>
      </w:pPr>
      <w:r w:rsidRPr="00126717">
        <w:rPr>
          <w:rFonts w:eastAsiaTheme="minorEastAsia" w:cs="Times Roman"/>
          <w:color w:val="1A1718"/>
          <w:szCs w:val="21"/>
          <w:lang w:eastAsia="ja-JP"/>
        </w:rPr>
        <w:t>White, Christine D., Michael W. Spence, Fred J. Longstaffe,</w:t>
      </w:r>
      <w:r w:rsidRPr="00126717">
        <w:rPr>
          <w:rFonts w:eastAsiaTheme="minorEastAsia" w:cs="Times Roman"/>
          <w:color w:val="000000"/>
          <w:szCs w:val="26"/>
          <w:lang w:eastAsia="ja-JP"/>
        </w:rPr>
        <w:t xml:space="preserve"> Hilary Stuart-Williams, and Kimberley R. Law</w:t>
      </w:r>
      <w:r w:rsidRPr="00126717">
        <w:rPr>
          <w:rFonts w:eastAsiaTheme="minorEastAsia" w:cs="Times Roman"/>
          <w:color w:val="1A1718"/>
          <w:szCs w:val="21"/>
          <w:lang w:eastAsia="ja-JP"/>
        </w:rPr>
        <w:t xml:space="preserve">. 2002. Geographic Identities of the Sacrificial Victims at the Feathered Serpent Pyramid: Implications for the Nature of State Power. </w:t>
      </w:r>
      <w:r w:rsidRPr="00126717">
        <w:rPr>
          <w:rFonts w:eastAsiaTheme="minorEastAsia" w:cs="Times Roman"/>
          <w:i/>
          <w:color w:val="1A1718"/>
          <w:szCs w:val="21"/>
          <w:lang w:eastAsia="ja-JP"/>
        </w:rPr>
        <w:t>Latin American Antiquity</w:t>
      </w:r>
      <w:r w:rsidRPr="00126717">
        <w:rPr>
          <w:rFonts w:eastAsiaTheme="minorEastAsia" w:cs="Times Roman"/>
          <w:color w:val="1A1718"/>
          <w:szCs w:val="21"/>
          <w:lang w:eastAsia="ja-JP"/>
        </w:rPr>
        <w:t xml:space="preserve"> 13:</w:t>
      </w:r>
      <w:r>
        <w:rPr>
          <w:rFonts w:eastAsiaTheme="minorEastAsia" w:cs="Times Roman"/>
          <w:color w:val="1A1718"/>
          <w:szCs w:val="21"/>
          <w:lang w:eastAsia="ja-JP"/>
        </w:rPr>
        <w:t xml:space="preserve"> </w:t>
      </w:r>
      <w:r w:rsidRPr="00126717">
        <w:rPr>
          <w:rFonts w:eastAsiaTheme="minorEastAsia" w:cs="Times Roman"/>
          <w:color w:val="1A1718"/>
          <w:szCs w:val="21"/>
          <w:lang w:eastAsia="ja-JP"/>
        </w:rPr>
        <w:t xml:space="preserve">217–236. </w:t>
      </w:r>
    </w:p>
    <w:p w14:paraId="46B027A9" w14:textId="77777777" w:rsidR="00CB39AC" w:rsidRPr="009E1D7F" w:rsidRDefault="00CB39AC" w:rsidP="00CB39AC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rPr>
          <w:rFonts w:eastAsiaTheme="minorEastAsia" w:cs="Times Roman"/>
          <w:color w:val="1A1718"/>
          <w:szCs w:val="21"/>
          <w:lang w:eastAsia="ja-JP"/>
        </w:rPr>
      </w:pPr>
      <w:r w:rsidRPr="00892606">
        <w:rPr>
          <w:rFonts w:eastAsiaTheme="minorEastAsia" w:cs="Times Roman"/>
          <w:color w:val="1A1718"/>
          <w:szCs w:val="26"/>
          <w:lang w:eastAsia="ja-JP"/>
        </w:rPr>
        <w:t>White,</w:t>
      </w:r>
      <w:r w:rsidRPr="00892606">
        <w:rPr>
          <w:rFonts w:eastAsiaTheme="minorEastAsia" w:cs="Times Roman"/>
          <w:color w:val="1A1718"/>
          <w:position w:val="10"/>
          <w:szCs w:val="18"/>
          <w:lang w:eastAsia="ja-JP"/>
        </w:rPr>
        <w:t xml:space="preserve"> </w:t>
      </w:r>
      <w:r w:rsidRPr="00892606">
        <w:rPr>
          <w:rFonts w:eastAsiaTheme="minorEastAsia" w:cs="Times Roman"/>
          <w:color w:val="1A1718"/>
          <w:szCs w:val="26"/>
          <w:lang w:eastAsia="ja-JP"/>
        </w:rPr>
        <w:t>Christine D., T. Douglas Price,</w:t>
      </w:r>
      <w:r w:rsidRPr="00892606">
        <w:rPr>
          <w:rFonts w:eastAsiaTheme="minorEastAsia" w:cs="Times Roman"/>
          <w:color w:val="1A1718"/>
          <w:position w:val="10"/>
          <w:szCs w:val="18"/>
          <w:lang w:eastAsia="ja-JP"/>
        </w:rPr>
        <w:t xml:space="preserve"> </w:t>
      </w:r>
      <w:r w:rsidRPr="00892606">
        <w:rPr>
          <w:rFonts w:eastAsiaTheme="minorEastAsia" w:cs="Times Roman"/>
          <w:color w:val="1A1718"/>
          <w:szCs w:val="26"/>
          <w:lang w:eastAsia="ja-JP"/>
        </w:rPr>
        <w:t xml:space="preserve">and Fred J. </w:t>
      </w:r>
      <w:proofErr w:type="spellStart"/>
      <w:r w:rsidRPr="00892606">
        <w:rPr>
          <w:rFonts w:eastAsiaTheme="minorEastAsia" w:cs="Times Roman"/>
          <w:color w:val="1A1718"/>
          <w:szCs w:val="26"/>
          <w:lang w:eastAsia="ja-JP"/>
        </w:rPr>
        <w:t>Longstaffe</w:t>
      </w:r>
      <w:proofErr w:type="spellEnd"/>
      <w:r w:rsidRPr="00892606">
        <w:rPr>
          <w:rFonts w:eastAsiaTheme="minorEastAsia" w:cs="Times Roman"/>
          <w:color w:val="1A1718"/>
          <w:szCs w:val="26"/>
          <w:lang w:eastAsia="ja-JP"/>
        </w:rPr>
        <w:t>. 2007</w:t>
      </w:r>
      <w:r>
        <w:rPr>
          <w:rFonts w:eastAsiaTheme="minorEastAsia" w:cs="Times Roman"/>
          <w:color w:val="1A1718"/>
          <w:szCs w:val="26"/>
          <w:lang w:eastAsia="ja-JP"/>
        </w:rPr>
        <w:t xml:space="preserve">. </w:t>
      </w:r>
      <w:r w:rsidRPr="009E1D7F">
        <w:rPr>
          <w:rFonts w:eastAsiaTheme="minorEastAsia" w:cs="Times Roman"/>
          <w:color w:val="1A1718"/>
          <w:lang w:eastAsia="ja-JP"/>
        </w:rPr>
        <w:t xml:space="preserve">Residential histories of the human sacrifices at the </w:t>
      </w:r>
      <w:r>
        <w:rPr>
          <w:rFonts w:eastAsiaTheme="minorEastAsia" w:cs="Times Roman"/>
          <w:color w:val="1A1718"/>
          <w:lang w:eastAsia="ja-JP"/>
        </w:rPr>
        <w:t>M</w:t>
      </w:r>
      <w:r w:rsidRPr="009E1D7F">
        <w:rPr>
          <w:rFonts w:eastAsiaTheme="minorEastAsia" w:cs="Times Roman"/>
          <w:color w:val="1A1718"/>
          <w:lang w:eastAsia="ja-JP"/>
        </w:rPr>
        <w:t xml:space="preserve">oon </w:t>
      </w:r>
      <w:r>
        <w:rPr>
          <w:rFonts w:eastAsiaTheme="minorEastAsia" w:cs="Times Roman"/>
          <w:color w:val="1A1718"/>
          <w:lang w:eastAsia="ja-JP"/>
        </w:rPr>
        <w:t>P</w:t>
      </w:r>
      <w:r w:rsidRPr="009E1D7F">
        <w:rPr>
          <w:rFonts w:eastAsiaTheme="minorEastAsia" w:cs="Times Roman"/>
          <w:color w:val="1A1718"/>
          <w:lang w:eastAsia="ja-JP"/>
        </w:rPr>
        <w:t>yramid, Teotihuacán: Evidence from oxygen and strontium isotopes</w:t>
      </w:r>
      <w:r>
        <w:rPr>
          <w:rFonts w:eastAsiaTheme="minorEastAsia" w:cs="Times Roman"/>
          <w:color w:val="1A1718"/>
          <w:lang w:eastAsia="ja-JP"/>
        </w:rPr>
        <w:t>.</w:t>
      </w:r>
      <w:r w:rsidRPr="009E1D7F">
        <w:rPr>
          <w:rFonts w:eastAsiaTheme="minorEastAsia" w:cs="Times Roman"/>
          <w:color w:val="1A1718"/>
          <w:lang w:eastAsia="ja-JP"/>
        </w:rPr>
        <w:t xml:space="preserve"> </w:t>
      </w:r>
      <w:r w:rsidRPr="009E1D7F">
        <w:rPr>
          <w:rFonts w:eastAsiaTheme="minorEastAsia" w:cs="Times Roman"/>
          <w:i/>
          <w:color w:val="1A1718"/>
          <w:szCs w:val="21"/>
          <w:lang w:eastAsia="ja-JP"/>
        </w:rPr>
        <w:t>Ancient Mesoamerica</w:t>
      </w:r>
      <w:r w:rsidRPr="009E1D7F">
        <w:rPr>
          <w:rFonts w:eastAsiaTheme="minorEastAsia" w:cs="Times Roman"/>
          <w:color w:val="1A1718"/>
          <w:szCs w:val="21"/>
          <w:lang w:eastAsia="ja-JP"/>
        </w:rPr>
        <w:t xml:space="preserve"> 18: 159–172</w:t>
      </w:r>
      <w:r w:rsidRPr="009E1D7F">
        <w:rPr>
          <w:rFonts w:ascii="MS Gothic" w:eastAsia="MS Gothic" w:hAnsi="MS Gothic" w:cs="MS Gothic" w:hint="eastAsia"/>
          <w:color w:val="1A1718"/>
          <w:szCs w:val="21"/>
          <w:lang w:eastAsia="ja-JP"/>
        </w:rPr>
        <w:t> </w:t>
      </w:r>
      <w:r w:rsidRPr="009E1D7F">
        <w:rPr>
          <w:rFonts w:eastAsiaTheme="minorEastAsia" w:cs="Times Roman"/>
          <w:color w:val="1A1718"/>
          <w:szCs w:val="21"/>
          <w:lang w:eastAsia="ja-JP"/>
        </w:rPr>
        <w:t>.</w:t>
      </w:r>
    </w:p>
    <w:p w14:paraId="55F817FE" w14:textId="4A89DB75" w:rsidR="00307D8E" w:rsidRDefault="00D20E82" w:rsidP="00F94598">
      <w:pPr>
        <w:spacing w:after="0" w:line="240" w:lineRule="auto"/>
        <w:ind w:left="360" w:hanging="360"/>
      </w:pPr>
      <w:bookmarkStart w:id="32" w:name="_GoBack"/>
      <w:bookmarkEnd w:id="32"/>
      <w:r w:rsidRPr="00E94722">
        <w:t>Wright</w:t>
      </w:r>
      <w:r>
        <w:t xml:space="preserve">, </w:t>
      </w:r>
      <w:r w:rsidRPr="00E94722">
        <w:t>Lori E</w:t>
      </w:r>
      <w:r>
        <w:t>. 2005.</w:t>
      </w:r>
      <w:r w:rsidRPr="00E94722">
        <w:t xml:space="preserve"> Identifying immigrants to Tikal, Guatemala: Defining local variability in strontium isotope ratios of human tooth enamel</w:t>
      </w:r>
      <w:r>
        <w:t xml:space="preserve">. </w:t>
      </w:r>
      <w:r w:rsidRPr="00E94722">
        <w:rPr>
          <w:i/>
        </w:rPr>
        <w:t>Journal of Archaeological Science</w:t>
      </w:r>
      <w:r>
        <w:t xml:space="preserve"> 32: </w:t>
      </w:r>
      <w:r w:rsidRPr="00E94722">
        <w:t>555-566</w:t>
      </w:r>
      <w:r>
        <w:t>.</w:t>
      </w:r>
    </w:p>
    <w:sectPr w:rsidR="00307D8E" w:rsidSect="00F955E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kia">
    <w:altName w:val="Century Gothic"/>
    <w:panose1 w:val="020D05020202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vTTb4a90e5b.B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FreeSerif">
    <w:altName w:val="Times New Roman"/>
    <w:panose1 w:val="020B0604020202020204"/>
    <w:charset w:val="55"/>
    <w:family w:val="auto"/>
    <w:notTrueType/>
    <w:pitch w:val="variable"/>
    <w:sig w:usb0="00000001" w:usb1="00000000" w:usb2="00000000" w:usb3="00000000" w:csb0="00000000" w:csb1="00000000"/>
  </w:font>
  <w:font w:name="仿宋体">
    <w:altName w:val="Skia"/>
    <w:panose1 w:val="020B0604020202020204"/>
    <w:charset w:val="86"/>
    <w:family w:val="roman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6D4"/>
    <w:rsid w:val="000066D4"/>
    <w:rsid w:val="0004458B"/>
    <w:rsid w:val="00047149"/>
    <w:rsid w:val="00074148"/>
    <w:rsid w:val="00084BF8"/>
    <w:rsid w:val="000E036A"/>
    <w:rsid w:val="000F6D25"/>
    <w:rsid w:val="0013558F"/>
    <w:rsid w:val="001809EB"/>
    <w:rsid w:val="001946FF"/>
    <w:rsid w:val="001E7C9A"/>
    <w:rsid w:val="00265D52"/>
    <w:rsid w:val="00267F10"/>
    <w:rsid w:val="00277DFB"/>
    <w:rsid w:val="002A068D"/>
    <w:rsid w:val="00307D8E"/>
    <w:rsid w:val="00311534"/>
    <w:rsid w:val="0041444F"/>
    <w:rsid w:val="004A7454"/>
    <w:rsid w:val="004C5EDE"/>
    <w:rsid w:val="00595C1A"/>
    <w:rsid w:val="00640087"/>
    <w:rsid w:val="0066626F"/>
    <w:rsid w:val="0068599D"/>
    <w:rsid w:val="006D3939"/>
    <w:rsid w:val="00741F56"/>
    <w:rsid w:val="00755DA2"/>
    <w:rsid w:val="007617A3"/>
    <w:rsid w:val="007935D4"/>
    <w:rsid w:val="007B5BCD"/>
    <w:rsid w:val="007D7F47"/>
    <w:rsid w:val="00817C1F"/>
    <w:rsid w:val="008654FF"/>
    <w:rsid w:val="008D0403"/>
    <w:rsid w:val="008D6BBD"/>
    <w:rsid w:val="008E1152"/>
    <w:rsid w:val="009C66DE"/>
    <w:rsid w:val="009D3F5C"/>
    <w:rsid w:val="009E0EFF"/>
    <w:rsid w:val="009E3284"/>
    <w:rsid w:val="00A17131"/>
    <w:rsid w:val="00AC25BF"/>
    <w:rsid w:val="00AD2E0B"/>
    <w:rsid w:val="00B620F3"/>
    <w:rsid w:val="00B71D8F"/>
    <w:rsid w:val="00BF7DA5"/>
    <w:rsid w:val="00C32F19"/>
    <w:rsid w:val="00C54F62"/>
    <w:rsid w:val="00C666F7"/>
    <w:rsid w:val="00CB39AC"/>
    <w:rsid w:val="00CC2249"/>
    <w:rsid w:val="00CF3808"/>
    <w:rsid w:val="00D1604D"/>
    <w:rsid w:val="00D20E82"/>
    <w:rsid w:val="00D41DD9"/>
    <w:rsid w:val="00D75A9F"/>
    <w:rsid w:val="00E24BDF"/>
    <w:rsid w:val="00E24CA5"/>
    <w:rsid w:val="00EF1116"/>
    <w:rsid w:val="00F131CF"/>
    <w:rsid w:val="00F40127"/>
    <w:rsid w:val="00F639A7"/>
    <w:rsid w:val="00F66939"/>
    <w:rsid w:val="00F94598"/>
    <w:rsid w:val="00F955E5"/>
    <w:rsid w:val="00FF78A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1EF4F99"/>
  <w15:docId w15:val="{98B47B5B-967F-2849-92B9-05A85F12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66D4"/>
    <w:pPr>
      <w:spacing w:line="360" w:lineRule="auto"/>
    </w:pPr>
    <w:rPr>
      <w:rFonts w:ascii="Arial" w:eastAsia="Cambria" w:hAnsi="Arial" w:cs="Times New Roman"/>
      <w:lang w:eastAsia="en-US"/>
    </w:rPr>
  </w:style>
  <w:style w:type="paragraph" w:styleId="Heading1">
    <w:name w:val="heading 1"/>
    <w:basedOn w:val="Normal"/>
    <w:next w:val="Normal"/>
    <w:qFormat/>
    <w:rsid w:val="009013E6"/>
    <w:pPr>
      <w:keepNext/>
      <w:spacing w:before="240" w:after="60"/>
      <w:jc w:val="center"/>
      <w:outlineLvl w:val="0"/>
    </w:pPr>
    <w:rPr>
      <w:rFonts w:eastAsiaTheme="minorEastAsia" w:cstheme="minorBidi"/>
      <w:b/>
      <w:kern w:val="28"/>
      <w:lang w:eastAsia="ja-JP"/>
    </w:rPr>
  </w:style>
  <w:style w:type="paragraph" w:styleId="Heading2">
    <w:name w:val="heading 2"/>
    <w:basedOn w:val="Normal"/>
    <w:next w:val="Normal"/>
    <w:qFormat/>
    <w:rsid w:val="009013E6"/>
    <w:pPr>
      <w:keepNext/>
      <w:spacing w:before="240" w:after="60"/>
      <w:outlineLvl w:val="1"/>
    </w:pPr>
    <w:rPr>
      <w:rFonts w:eastAsiaTheme="minorEastAsia" w:cstheme="minorBidi"/>
      <w:b/>
      <w:lang w:eastAsia="ja-JP"/>
    </w:rPr>
  </w:style>
  <w:style w:type="paragraph" w:styleId="Heading3">
    <w:name w:val="heading 3"/>
    <w:basedOn w:val="Normal"/>
    <w:next w:val="Normal"/>
    <w:qFormat/>
    <w:rsid w:val="009013E6"/>
    <w:pPr>
      <w:keepNext/>
      <w:spacing w:before="240" w:after="60"/>
      <w:outlineLvl w:val="2"/>
    </w:pPr>
    <w:rPr>
      <w:rFonts w:eastAsiaTheme="minorEastAsia" w:cstheme="minorBidi"/>
      <w:lang w:eastAsia="ja-JP"/>
    </w:rPr>
  </w:style>
  <w:style w:type="paragraph" w:styleId="Heading4">
    <w:name w:val="heading 4"/>
    <w:basedOn w:val="Normal"/>
    <w:next w:val="Normal"/>
    <w:qFormat/>
    <w:rsid w:val="009013E6"/>
    <w:pPr>
      <w:keepNext/>
      <w:outlineLvl w:val="3"/>
    </w:pPr>
    <w:rPr>
      <w:rFonts w:eastAsiaTheme="minorEastAsia" w:cstheme="minorBidi"/>
      <w:u w:val="words"/>
      <w:lang w:eastAsia="ja-JP"/>
    </w:rPr>
  </w:style>
  <w:style w:type="paragraph" w:styleId="Heading5">
    <w:name w:val="heading 5"/>
    <w:basedOn w:val="Normal"/>
    <w:next w:val="Normal"/>
    <w:qFormat/>
    <w:rsid w:val="009013E6"/>
    <w:pPr>
      <w:keepNext/>
      <w:outlineLvl w:val="4"/>
    </w:pPr>
    <w:rPr>
      <w:rFonts w:eastAsiaTheme="minorEastAsia" w:cstheme="minorBidi"/>
      <w:b/>
      <w:sz w:val="32"/>
      <w:lang w:eastAsia="ja-JP"/>
    </w:rPr>
  </w:style>
  <w:style w:type="paragraph" w:styleId="Heading7">
    <w:name w:val="heading 7"/>
    <w:basedOn w:val="Normal"/>
    <w:next w:val="Normal"/>
    <w:qFormat/>
    <w:rsid w:val="009013E6"/>
    <w:pPr>
      <w:keepNext/>
      <w:ind w:right="-360"/>
      <w:outlineLvl w:val="6"/>
    </w:pPr>
    <w:rPr>
      <w:rFonts w:eastAsiaTheme="minorEastAsia" w:cstheme="minorBidi"/>
      <w:b/>
      <w:lang w:eastAsia="ja-JP"/>
    </w:rPr>
  </w:style>
  <w:style w:type="paragraph" w:styleId="Heading8">
    <w:name w:val="heading 8"/>
    <w:basedOn w:val="Normal"/>
    <w:next w:val="Normal"/>
    <w:qFormat/>
    <w:rsid w:val="009D3F9B"/>
    <w:pPr>
      <w:widowControl w:val="0"/>
      <w:tabs>
        <w:tab w:val="left" w:pos="-720"/>
      </w:tabs>
      <w:suppressAutoHyphens/>
      <w:outlineLvl w:val="7"/>
    </w:pPr>
    <w:rPr>
      <w:rFonts w:eastAsiaTheme="minorEastAsia" w:cstheme="minorBidi"/>
      <w:i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D3F9B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styleId="BlockText">
    <w:name w:val="Block Text"/>
    <w:aliases w:val="TableTitle"/>
    <w:basedOn w:val="Normal"/>
    <w:rsid w:val="009013E6"/>
    <w:pPr>
      <w:ind w:left="900" w:right="-360" w:hanging="900"/>
    </w:pPr>
    <w:rPr>
      <w:rFonts w:eastAsiaTheme="minorEastAsia" w:cstheme="minorBidi"/>
      <w:lang w:eastAsia="ja-JP"/>
    </w:rPr>
  </w:style>
  <w:style w:type="paragraph" w:styleId="BodyText">
    <w:name w:val="Body Text"/>
    <w:basedOn w:val="Normal"/>
    <w:rsid w:val="009013E6"/>
    <w:pPr>
      <w:ind w:right="-1440"/>
    </w:pPr>
    <w:rPr>
      <w:rFonts w:eastAsiaTheme="minorEastAsia" w:cstheme="minorBidi"/>
      <w:lang w:eastAsia="ja-JP"/>
    </w:rPr>
  </w:style>
  <w:style w:type="paragraph" w:styleId="BodyText2">
    <w:name w:val="Body Text 2"/>
    <w:basedOn w:val="Normal"/>
    <w:rsid w:val="009D3F9B"/>
    <w:rPr>
      <w:rFonts w:eastAsiaTheme="minorEastAsia" w:cstheme="minorBidi"/>
      <w:b/>
      <w:sz w:val="32"/>
      <w:lang w:eastAsia="ja-JP"/>
    </w:rPr>
  </w:style>
  <w:style w:type="paragraph" w:styleId="BodyTextIndent">
    <w:name w:val="Body Text Indent"/>
    <w:basedOn w:val="Normal"/>
    <w:rsid w:val="009013E6"/>
    <w:pPr>
      <w:ind w:left="360" w:hanging="360"/>
    </w:pPr>
    <w:rPr>
      <w:rFonts w:eastAsia="Times New Roman" w:cstheme="minorBidi"/>
      <w:lang w:eastAsia="ja-JP"/>
    </w:rPr>
  </w:style>
  <w:style w:type="paragraph" w:styleId="DocumentMap">
    <w:name w:val="Document Map"/>
    <w:basedOn w:val="Normal"/>
    <w:rsid w:val="009013E6"/>
    <w:pPr>
      <w:shd w:val="clear" w:color="auto" w:fill="000080"/>
    </w:pPr>
    <w:rPr>
      <w:rFonts w:eastAsiaTheme="minorEastAsia" w:cstheme="minorBidi"/>
      <w:lang w:eastAsia="ja-JP"/>
    </w:rPr>
  </w:style>
  <w:style w:type="paragraph" w:styleId="EndnoteText">
    <w:name w:val="endnote text"/>
    <w:basedOn w:val="Normal"/>
    <w:rsid w:val="009D3F9B"/>
    <w:pPr>
      <w:widowControl w:val="0"/>
    </w:pPr>
    <w:rPr>
      <w:rFonts w:eastAsiaTheme="minorEastAsia" w:cstheme="minorBidi"/>
      <w:lang w:val="de-DE" w:eastAsia="ja-JP"/>
    </w:rPr>
  </w:style>
  <w:style w:type="paragraph" w:styleId="Footer">
    <w:name w:val="footer"/>
    <w:basedOn w:val="Normal"/>
    <w:rsid w:val="009013E6"/>
    <w:pPr>
      <w:tabs>
        <w:tab w:val="center" w:pos="4320"/>
        <w:tab w:val="right" w:pos="8640"/>
      </w:tabs>
    </w:pPr>
    <w:rPr>
      <w:rFonts w:eastAsiaTheme="minorEastAsia" w:cstheme="minorBidi"/>
      <w:lang w:eastAsia="ja-JP"/>
    </w:rPr>
  </w:style>
  <w:style w:type="paragraph" w:styleId="Header">
    <w:name w:val="header"/>
    <w:basedOn w:val="Normal"/>
    <w:rsid w:val="009013E6"/>
    <w:pPr>
      <w:tabs>
        <w:tab w:val="center" w:pos="4320"/>
        <w:tab w:val="right" w:pos="8640"/>
      </w:tabs>
    </w:pPr>
    <w:rPr>
      <w:rFonts w:eastAsiaTheme="minorEastAsia" w:cstheme="minorBidi"/>
      <w:lang w:eastAsia="ja-JP"/>
    </w:rPr>
  </w:style>
  <w:style w:type="character" w:styleId="Hyperlink">
    <w:name w:val="Hyperlink"/>
    <w:basedOn w:val="DefaultParagraphFont"/>
    <w:rsid w:val="009D3F9B"/>
    <w:rPr>
      <w:color w:val="0000FF"/>
      <w:u w:val="single"/>
    </w:rPr>
  </w:style>
  <w:style w:type="character" w:styleId="PageNumber">
    <w:name w:val="page number"/>
    <w:basedOn w:val="DefaultParagraphFont"/>
    <w:rsid w:val="009013E6"/>
    <w:rPr>
      <w:rFonts w:ascii="Skia" w:hAnsi="Skia"/>
      <w:i/>
      <w:sz w:val="20"/>
    </w:rPr>
  </w:style>
  <w:style w:type="paragraph" w:styleId="PlainText">
    <w:name w:val="Plain Text"/>
    <w:basedOn w:val="Normal"/>
    <w:rsid w:val="009D3F9B"/>
    <w:rPr>
      <w:rFonts w:ascii="Courier New" w:eastAsia="Times New Roman" w:hAnsi="Courier New" w:cstheme="minorBidi"/>
      <w:lang w:eastAsia="ja-JP"/>
    </w:rPr>
  </w:style>
  <w:style w:type="paragraph" w:customStyle="1" w:styleId="Referece">
    <w:name w:val="Referece"/>
    <w:basedOn w:val="Normal"/>
    <w:rsid w:val="009013E6"/>
    <w:pPr>
      <w:widowControl w:val="0"/>
      <w:tabs>
        <w:tab w:val="left" w:pos="1080"/>
        <w:tab w:val="left" w:pos="1800"/>
        <w:tab w:val="left" w:pos="7560"/>
      </w:tabs>
      <w:spacing w:line="240" w:lineRule="auto"/>
    </w:pPr>
    <w:rPr>
      <w:rFonts w:eastAsia="Times New Roman"/>
    </w:rPr>
  </w:style>
  <w:style w:type="character" w:styleId="HTMLTypewriter">
    <w:name w:val="HTML Typewriter"/>
    <w:basedOn w:val="DefaultParagraphFont"/>
    <w:rsid w:val="009013E6"/>
    <w:rPr>
      <w:rFonts w:ascii="Courier" w:eastAsia="Courier" w:hAnsi="Courier"/>
      <w:sz w:val="20"/>
    </w:rPr>
  </w:style>
  <w:style w:type="table" w:styleId="TableGrid">
    <w:name w:val="Table Grid"/>
    <w:basedOn w:val="TableNormal"/>
    <w:rsid w:val="009013E6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next w:val="Normal"/>
    <w:rsid w:val="009013E6"/>
    <w:rPr>
      <w:rFonts w:eastAsiaTheme="minorEastAsia" w:cstheme="minorBidi"/>
      <w:lang w:eastAsia="ja-JP"/>
    </w:rPr>
  </w:style>
  <w:style w:type="paragraph" w:styleId="z-TopofForm">
    <w:name w:val="HTML Top of Form"/>
    <w:basedOn w:val="Normal"/>
    <w:rsid w:val="009013E6"/>
    <w:pPr>
      <w:tabs>
        <w:tab w:val="left" w:pos="720"/>
        <w:tab w:val="left" w:pos="1440"/>
        <w:tab w:val="left" w:pos="7200"/>
      </w:tabs>
      <w:spacing w:line="240" w:lineRule="auto"/>
    </w:pPr>
    <w:rPr>
      <w:rFonts w:ascii="Times New Roman" w:eastAsia="Times New Roman" w:hAnsi="Times New Roman" w:cstheme="minorBidi"/>
      <w:lang w:val="en-GB" w:eastAsia="ja-JP"/>
    </w:rPr>
  </w:style>
  <w:style w:type="paragraph" w:styleId="NormalWeb">
    <w:name w:val="Normal (Web)"/>
    <w:basedOn w:val="Normal"/>
    <w:uiPriority w:val="99"/>
    <w:rsid w:val="00D20E82"/>
    <w:pPr>
      <w:spacing w:beforeLines="1" w:afterLines="1" w:after="0" w:line="240" w:lineRule="auto"/>
    </w:pPr>
    <w:rPr>
      <w:rFonts w:ascii="Times" w:hAnsi="Time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401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1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127"/>
    <w:rPr>
      <w:rFonts w:ascii="Arial" w:eastAsia="Cambria" w:hAnsi="Arial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3490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</Company>
  <LinksUpToDate>false</LinksUpToDate>
  <CharactersWithSpaces>23343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 Douglas Price</dc:creator>
  <cp:keywords/>
  <dc:description/>
  <cp:lastModifiedBy>doug price</cp:lastModifiedBy>
  <cp:revision>17</cp:revision>
  <dcterms:created xsi:type="dcterms:W3CDTF">2017-08-06T20:24:00Z</dcterms:created>
  <dcterms:modified xsi:type="dcterms:W3CDTF">2019-08-28T09:21:00Z</dcterms:modified>
</cp:coreProperties>
</file>