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3C27E" w14:textId="2B4F3714" w:rsidR="00C11623" w:rsidRPr="00DD5B63" w:rsidRDefault="00E25160" w:rsidP="00FE2003">
      <w:pPr>
        <w:spacing w:after="240" w:line="480" w:lineRule="auto"/>
        <w:jc w:val="both"/>
        <w:rPr>
          <w:sz w:val="32"/>
          <w:szCs w:val="32"/>
          <w:lang w:val="en-US"/>
        </w:rPr>
      </w:pPr>
      <w:r>
        <w:rPr>
          <w:sz w:val="32"/>
          <w:szCs w:val="32"/>
          <w:lang w:val="en-US"/>
        </w:rPr>
        <w:t>Appendix S1.</w:t>
      </w:r>
      <w:r w:rsidR="00C11623" w:rsidRPr="00DD5B63">
        <w:rPr>
          <w:sz w:val="32"/>
          <w:szCs w:val="32"/>
          <w:lang w:val="en-US"/>
        </w:rPr>
        <w:t xml:space="preserve"> Modelling inundation under climate change</w:t>
      </w:r>
    </w:p>
    <w:p w14:paraId="21B830D2" w14:textId="14F14CFC" w:rsidR="21FF7FEB" w:rsidRPr="00DD5B63" w:rsidRDefault="21FF7FEB" w:rsidP="00DD5B63">
      <w:pPr>
        <w:spacing w:line="480" w:lineRule="auto"/>
        <w:jc w:val="both"/>
        <w:rPr>
          <w:b/>
          <w:bCs/>
          <w:lang w:val="en-US"/>
        </w:rPr>
      </w:pPr>
      <w:r w:rsidRPr="00DD5B63">
        <w:rPr>
          <w:b/>
          <w:bCs/>
          <w:lang w:val="en-US"/>
        </w:rPr>
        <w:t>Climate forcing</w:t>
      </w:r>
    </w:p>
    <w:p w14:paraId="2FE8EE66" w14:textId="2A03AEDB" w:rsidR="00C11623" w:rsidRDefault="001525D7" w:rsidP="3841D505">
      <w:pPr>
        <w:spacing w:after="240" w:line="480" w:lineRule="auto"/>
        <w:jc w:val="both"/>
      </w:pPr>
      <w:r w:rsidRPr="3F4F202D">
        <w:rPr>
          <w:lang w:val="en-US"/>
        </w:rPr>
        <w:t xml:space="preserve">To model </w:t>
      </w:r>
      <w:r w:rsidR="00E50FAF" w:rsidRPr="3F4F202D">
        <w:rPr>
          <w:lang w:val="en-US"/>
        </w:rPr>
        <w:t>inundation under climate change</w:t>
      </w:r>
      <w:r w:rsidR="3EC3AD2B" w:rsidRPr="3F4F202D">
        <w:rPr>
          <w:lang w:val="en-US"/>
        </w:rPr>
        <w:t>,</w:t>
      </w:r>
      <w:r w:rsidR="00E50FAF" w:rsidRPr="3F4F202D">
        <w:rPr>
          <w:lang w:val="en-US"/>
        </w:rPr>
        <w:t xml:space="preserve"> we </w:t>
      </w:r>
      <w:r w:rsidR="0FDFC8B6" w:rsidRPr="3F4F202D">
        <w:rPr>
          <w:lang w:val="en-US"/>
        </w:rPr>
        <w:t>drew on</w:t>
      </w:r>
      <w:r w:rsidR="0095451A" w:rsidRPr="3F4F202D">
        <w:rPr>
          <w:lang w:val="en-US"/>
        </w:rPr>
        <w:t xml:space="preserve"> </w:t>
      </w:r>
      <w:r w:rsidR="1BC1E9DD" w:rsidRPr="3F4F202D">
        <w:rPr>
          <w:lang w:val="en-US"/>
        </w:rPr>
        <w:t xml:space="preserve">simulations from </w:t>
      </w:r>
      <w:r w:rsidR="0095451A">
        <w:t>two climate models (HadGEM2-ES and IPSL-CM5A-LR), each using the Representative Concentration Pathway RCP 6.0 for climate forcing</w:t>
      </w:r>
      <w:r w:rsidR="006403BE">
        <w:t>.</w:t>
      </w:r>
      <w:r w:rsidR="00E50FAF" w:rsidRPr="3F4F202D">
        <w:rPr>
          <w:lang w:val="en-US"/>
        </w:rPr>
        <w:t xml:space="preserve"> </w:t>
      </w:r>
      <w:r w:rsidR="00C11623" w:rsidRPr="3F4F202D">
        <w:rPr>
          <w:lang w:val="en-US"/>
        </w:rPr>
        <w:t xml:space="preserve"> The selected climate forcing follows RCP</w:t>
      </w:r>
      <w:r w:rsidR="67109F51" w:rsidRPr="3F4F202D">
        <w:rPr>
          <w:lang w:val="en-US"/>
        </w:rPr>
        <w:t xml:space="preserve"> </w:t>
      </w:r>
      <w:r w:rsidR="00C11623" w:rsidRPr="3F4F202D">
        <w:rPr>
          <w:lang w:val="en-US"/>
        </w:rPr>
        <w:t xml:space="preserve">6.0 as a medium stabilization scenario that corresponds to a long-term trend in global greenhouse gas emissions without explicit mitigation measures to reduce greenhouse gas emissions (Masui et al., 2011).  The continuing rise in emissions lead us to the selection of </w:t>
      </w:r>
      <w:r w:rsidR="67AC001E" w:rsidRPr="3F4F202D">
        <w:rPr>
          <w:lang w:val="en-US"/>
        </w:rPr>
        <w:t xml:space="preserve">the </w:t>
      </w:r>
      <w:r w:rsidR="00C11623" w:rsidRPr="3F4F202D">
        <w:rPr>
          <w:lang w:val="en-US"/>
        </w:rPr>
        <w:t xml:space="preserve">medium stabilization scenario as the large-scale deployment of negative emission technologies (NETs) is still at the beginning (Smith et al., 2016). With regards to future climate change, </w:t>
      </w:r>
      <w:r w:rsidR="00E4278C">
        <w:rPr>
          <w:lang w:val="en-US"/>
        </w:rPr>
        <w:t>under</w:t>
      </w:r>
      <w:r w:rsidR="00C11623" w:rsidRPr="3F4F202D">
        <w:rPr>
          <w:lang w:val="en-US"/>
        </w:rPr>
        <w:t xml:space="preserve"> RCP</w:t>
      </w:r>
      <w:r w:rsidR="04DED3F2" w:rsidRPr="3F4F202D">
        <w:rPr>
          <w:lang w:val="en-US"/>
        </w:rPr>
        <w:t xml:space="preserve"> </w:t>
      </w:r>
      <w:r w:rsidR="00C11623" w:rsidRPr="3F4F202D">
        <w:rPr>
          <w:lang w:val="en-US"/>
        </w:rPr>
        <w:t xml:space="preserve">6.0 the global mean surface temperature is likely to exceed 2°C compared to the average from year 1850 to 1900 </w:t>
      </w:r>
      <w:r w:rsidR="7A5B9128" w:rsidRPr="3F4F202D">
        <w:rPr>
          <w:lang w:val="en-US"/>
        </w:rPr>
        <w:t>yet</w:t>
      </w:r>
      <w:r w:rsidR="00C11623" w:rsidRPr="3F4F202D">
        <w:rPr>
          <w:lang w:val="en-US"/>
        </w:rPr>
        <w:t xml:space="preserve"> unlikely to exceed 4°C. The projected change in global mean surface air temperature was calculated in a likely range between 0.8°C to 1.8°C for the 2050s compared to the reference period 1986-2005 (IPCC, 2013). As temperature increases</w:t>
      </w:r>
      <w:r w:rsidR="62386486" w:rsidRPr="3F4F202D">
        <w:rPr>
          <w:lang w:val="en-US"/>
        </w:rPr>
        <w:t>,</w:t>
      </w:r>
      <w:r w:rsidR="00C11623" w:rsidRPr="3F4F202D">
        <w:rPr>
          <w:lang w:val="en-US"/>
        </w:rPr>
        <w:t xml:space="preserve"> the contrast between dry and wet regions as well as the contrast between wet and dry season</w:t>
      </w:r>
      <w:r w:rsidR="7D6D9D2B" w:rsidRPr="3F4F202D">
        <w:rPr>
          <w:lang w:val="en-US"/>
        </w:rPr>
        <w:t>s</w:t>
      </w:r>
      <w:r w:rsidR="00C11623" w:rsidRPr="3F4F202D">
        <w:rPr>
          <w:lang w:val="en-US"/>
        </w:rPr>
        <w:t xml:space="preserve"> will be more pronounced. Climate change is expected to alter renewable freshwater resources in many regions of the world, some regions get drier, other regions wetter and some experience no considerable changes. In summary, the expected climate change impacts of </w:t>
      </w:r>
      <w:r w:rsidR="00DD5B63" w:rsidRPr="3F4F202D">
        <w:rPr>
          <w:lang w:val="en-US"/>
        </w:rPr>
        <w:t>an</w:t>
      </w:r>
      <w:r w:rsidR="00C11623" w:rsidRPr="3F4F202D">
        <w:rPr>
          <w:lang w:val="en-US"/>
        </w:rPr>
        <w:t xml:space="preserve"> RCP</w:t>
      </w:r>
      <w:r w:rsidR="6AD82EC3" w:rsidRPr="3F4F202D">
        <w:rPr>
          <w:lang w:val="en-US"/>
        </w:rPr>
        <w:t xml:space="preserve"> </w:t>
      </w:r>
      <w:r w:rsidR="00C11623" w:rsidRPr="3F4F202D">
        <w:rPr>
          <w:lang w:val="en-US"/>
        </w:rPr>
        <w:t>6.0 driven climate forcing are likely higher compared to the mitigation pathway (RCP</w:t>
      </w:r>
      <w:r w:rsidR="3984128A" w:rsidRPr="3F4F202D">
        <w:rPr>
          <w:lang w:val="en-US"/>
        </w:rPr>
        <w:t xml:space="preserve"> </w:t>
      </w:r>
      <w:r w:rsidR="00C11623" w:rsidRPr="3F4F202D">
        <w:rPr>
          <w:lang w:val="en-US"/>
        </w:rPr>
        <w:t>2.6).</w:t>
      </w:r>
    </w:p>
    <w:p w14:paraId="133490B3" w14:textId="560826A0" w:rsidR="00C11623" w:rsidRPr="00DD5B63" w:rsidRDefault="3B4E9DA4" w:rsidP="00DD5B63">
      <w:pPr>
        <w:spacing w:line="480" w:lineRule="auto"/>
        <w:jc w:val="both"/>
        <w:rPr>
          <w:b/>
          <w:bCs/>
          <w:lang w:val="en-US"/>
        </w:rPr>
      </w:pPr>
      <w:r w:rsidRPr="00DD5B63">
        <w:rPr>
          <w:b/>
          <w:bCs/>
          <w:lang w:val="en-US"/>
        </w:rPr>
        <w:t>Simulation of river discharge</w:t>
      </w:r>
    </w:p>
    <w:p w14:paraId="361F1837" w14:textId="7BAD3E9C" w:rsidR="00C11623" w:rsidRDefault="00C11623" w:rsidP="3841D505">
      <w:pPr>
        <w:spacing w:after="240" w:line="480" w:lineRule="auto"/>
        <w:jc w:val="both"/>
      </w:pPr>
      <w:r>
        <w:t xml:space="preserve">Most global hydrological models that simulate </w:t>
      </w:r>
      <w:r w:rsidR="6339C00E">
        <w:t xml:space="preserve">river </w:t>
      </w:r>
      <w:r>
        <w:t xml:space="preserve">discharge into the future do not produce spatially explicit inundation estimates. </w:t>
      </w:r>
      <w:r w:rsidR="779E52CF">
        <w:t xml:space="preserve">To address this problem, we developed a new inundation model </w:t>
      </w:r>
      <w:r w:rsidR="3CFD9787">
        <w:t xml:space="preserve">(Anand 2018) </w:t>
      </w:r>
      <w:r w:rsidR="779E52CF">
        <w:t xml:space="preserve">that builds on simulated future river discharge estimates to produce high resolution maps of predicted future changes to annual inundation patterns. </w:t>
      </w:r>
      <w:r w:rsidR="20819B69">
        <w:t xml:space="preserve">As a </w:t>
      </w:r>
      <w:r w:rsidR="20819B69">
        <w:lastRenderedPageBreak/>
        <w:t xml:space="preserve">result, our new approach links the simulated </w:t>
      </w:r>
      <w:r w:rsidR="6665EEB3">
        <w:t xml:space="preserve">river </w:t>
      </w:r>
      <w:r w:rsidR="20819B69">
        <w:t>discharge with their likely change in inundated area.</w:t>
      </w:r>
      <w:r w:rsidR="1B596EA2">
        <w:t xml:space="preserve"> </w:t>
      </w:r>
    </w:p>
    <w:p w14:paraId="45C500A0" w14:textId="53516E0F" w:rsidR="00C11623" w:rsidRDefault="5FFF584F" w:rsidP="3841D505">
      <w:pPr>
        <w:spacing w:after="240" w:line="480" w:lineRule="auto"/>
        <w:jc w:val="both"/>
      </w:pPr>
      <w:r>
        <w:t>River d</w:t>
      </w:r>
      <w:r w:rsidR="00C11623">
        <w:t xml:space="preserve">ischarge </w:t>
      </w:r>
      <w:r w:rsidR="61B22202">
        <w:t xml:space="preserve">estimates </w:t>
      </w:r>
      <w:r w:rsidR="00C11623">
        <w:t xml:space="preserve">from the global integrated water balance model WaterGAP (Döll </w:t>
      </w:r>
      <w:r w:rsidR="00C11623" w:rsidRPr="3F4F202D">
        <w:rPr>
          <w:i/>
          <w:iCs/>
        </w:rPr>
        <w:t>et al</w:t>
      </w:r>
      <w:r w:rsidR="00C11623">
        <w:t xml:space="preserve">. 2003), accounting for anthropogenic water </w:t>
      </w:r>
      <w:r w:rsidR="01BB4268">
        <w:t>abstractions</w:t>
      </w:r>
      <w:r w:rsidR="00C11623">
        <w:t xml:space="preserve">, served as inputs to the new inundation model. Long-term monthly averages for the years 1971-2000 from WaterGAP version 2.2 (Müller Schmied </w:t>
      </w:r>
      <w:r w:rsidR="00C11623" w:rsidRPr="3F4F202D">
        <w:rPr>
          <w:i/>
          <w:iCs/>
        </w:rPr>
        <w:t>et al</w:t>
      </w:r>
      <w:r w:rsidR="00C11623">
        <w:t xml:space="preserve">. 2014) were used as the baseline present-day </w:t>
      </w:r>
      <w:r w:rsidR="0CADFEFF">
        <w:t xml:space="preserve">river </w:t>
      </w:r>
      <w:r w:rsidR="00C11623">
        <w:t>discharge values</w:t>
      </w:r>
      <w:r w:rsidR="7DF6B019">
        <w:t>. These estimates</w:t>
      </w:r>
      <w:r w:rsidR="00C11623">
        <w:t xml:space="preserve"> were spatially downscaled from the</w:t>
      </w:r>
      <w:r w:rsidR="045D467E">
        <w:t>ir</w:t>
      </w:r>
      <w:r w:rsidR="00C11623">
        <w:t xml:space="preserve"> original </w:t>
      </w:r>
      <w:r w:rsidR="1EA43D81">
        <w:t>~50 x 50 km</w:t>
      </w:r>
      <w:r w:rsidR="00C11623">
        <w:t xml:space="preserve"> </w:t>
      </w:r>
      <w:r w:rsidR="293AC4E9">
        <w:t xml:space="preserve">grid cell </w:t>
      </w:r>
      <w:r w:rsidR="00C11623">
        <w:t>resolution</w:t>
      </w:r>
      <w:r w:rsidR="3448C2FF">
        <w:t xml:space="preserve"> </w:t>
      </w:r>
      <w:r w:rsidR="00C11623">
        <w:t xml:space="preserve">to the 500 x 500 m cells of the HydroSHEDS river network (Lehner </w:t>
      </w:r>
      <w:r w:rsidR="00C11623" w:rsidRPr="3F4F202D">
        <w:rPr>
          <w:i/>
          <w:iCs/>
        </w:rPr>
        <w:t>et al</w:t>
      </w:r>
      <w:r w:rsidR="00C11623">
        <w:t xml:space="preserve">. 2008) using geo-statistical techniques (Lehner and Grill 2013). For the simulation of future conditions, average monthly </w:t>
      </w:r>
      <w:r w:rsidR="7D7A67AB">
        <w:t xml:space="preserve">river </w:t>
      </w:r>
      <w:r w:rsidR="00C11623">
        <w:t>discharge changes (in percent) between the present day (1971-2000) and the future scenario of 2050 (2036-2065) were obtained from the WaterGAP</w:t>
      </w:r>
      <w:r w:rsidR="755ECF90">
        <w:t xml:space="preserve"> version </w:t>
      </w:r>
      <w:r w:rsidR="00C11623">
        <w:t xml:space="preserve">3 model at </w:t>
      </w:r>
      <w:r w:rsidR="63AFB916">
        <w:t>~9 x 9 km</w:t>
      </w:r>
      <w:r w:rsidR="00C11623">
        <w:t xml:space="preserve"> </w:t>
      </w:r>
      <w:r w:rsidR="0B32A58C">
        <w:t xml:space="preserve">grid cell </w:t>
      </w:r>
      <w:r w:rsidR="00C11623">
        <w:t xml:space="preserve">resolution (Eisner 2016, Flörke </w:t>
      </w:r>
      <w:r w:rsidR="00C11623" w:rsidRPr="3F4F202D">
        <w:rPr>
          <w:i/>
          <w:iCs/>
        </w:rPr>
        <w:t>et al</w:t>
      </w:r>
      <w:r w:rsidR="00C11623">
        <w:t xml:space="preserve">. 2018) and downscaled to the </w:t>
      </w:r>
      <w:r w:rsidR="4BBD6657">
        <w:t xml:space="preserve">500 x </w:t>
      </w:r>
      <w:r w:rsidR="00C11623">
        <w:t xml:space="preserve">500 m resolution of analysis using similar geo-statistical techniques. These </w:t>
      </w:r>
      <w:r w:rsidR="1079FA68">
        <w:t xml:space="preserve">percent </w:t>
      </w:r>
      <w:r w:rsidR="00C11623">
        <w:t xml:space="preserve">changes were then applied to the present-day </w:t>
      </w:r>
      <w:r w:rsidR="215423B8">
        <w:t xml:space="preserve">river </w:t>
      </w:r>
      <w:r w:rsidR="00C11623">
        <w:t>discharge from WaterGAP</w:t>
      </w:r>
      <w:r w:rsidR="3AE69394">
        <w:t xml:space="preserve"> </w:t>
      </w:r>
      <w:r w:rsidR="00C11623">
        <w:t>2.2</w:t>
      </w:r>
      <w:r w:rsidR="2A70EFB9">
        <w:t>, for which the inundation model was calibrated,</w:t>
      </w:r>
      <w:r w:rsidR="00C11623">
        <w:t xml:space="preserve"> to produce future</w:t>
      </w:r>
      <w:r w:rsidR="4907A1B9">
        <w:t xml:space="preserve"> river</w:t>
      </w:r>
      <w:r w:rsidR="00C11623">
        <w:t xml:space="preserve"> discharge estimates for use in the inundation model.</w:t>
      </w:r>
    </w:p>
    <w:p w14:paraId="46675EBF" w14:textId="75F80731" w:rsidR="6C8B71F5" w:rsidRPr="00DD5B63" w:rsidRDefault="6C8B71F5" w:rsidP="00DD5B63">
      <w:pPr>
        <w:spacing w:line="480" w:lineRule="auto"/>
        <w:jc w:val="both"/>
        <w:rPr>
          <w:b/>
          <w:bCs/>
          <w:lang w:val="en-US"/>
        </w:rPr>
      </w:pPr>
      <w:r w:rsidRPr="00DD5B63">
        <w:rPr>
          <w:b/>
          <w:bCs/>
          <w:lang w:val="en-US"/>
        </w:rPr>
        <w:t xml:space="preserve">Discharge-inundation threshold in </w:t>
      </w:r>
      <w:r w:rsidR="3F6482B6" w:rsidRPr="00DD5B63">
        <w:rPr>
          <w:b/>
          <w:bCs/>
          <w:lang w:val="en-US"/>
        </w:rPr>
        <w:t>‘</w:t>
      </w:r>
      <w:r w:rsidR="00A69651" w:rsidRPr="00DD5B63">
        <w:rPr>
          <w:b/>
          <w:bCs/>
          <w:lang w:val="en-US"/>
        </w:rPr>
        <w:t>f</w:t>
      </w:r>
      <w:r w:rsidR="3F6482B6" w:rsidRPr="00DD5B63">
        <w:rPr>
          <w:b/>
          <w:bCs/>
          <w:lang w:val="en-US"/>
        </w:rPr>
        <w:t>loodsheds’</w:t>
      </w:r>
    </w:p>
    <w:p w14:paraId="31B5E19A" w14:textId="4190CF29" w:rsidR="00C11623" w:rsidRDefault="00C11623" w:rsidP="3841D505">
      <w:pPr>
        <w:spacing w:after="240" w:line="480" w:lineRule="auto"/>
        <w:jc w:val="both"/>
      </w:pPr>
      <w:r>
        <w:t xml:space="preserve">We divided the present-day maximum observed inundated extent from GIEMS-D15 (Fluet-Chouinard </w:t>
      </w:r>
      <w:r w:rsidRPr="3F4F202D">
        <w:rPr>
          <w:i/>
          <w:iCs/>
        </w:rPr>
        <w:t>et al</w:t>
      </w:r>
      <w:r>
        <w:t xml:space="preserve">. 2015) into discrete spatial </w:t>
      </w:r>
      <w:r w:rsidR="451F3900">
        <w:t>zones</w:t>
      </w:r>
      <w:r>
        <w:t xml:space="preserve">, termed ‘floodsheds’, which were delineated </w:t>
      </w:r>
      <w:r w:rsidR="12B50722">
        <w:t>as area</w:t>
      </w:r>
      <w:r w:rsidR="1356275B">
        <w:t>s</w:t>
      </w:r>
      <w:r w:rsidR="12B50722">
        <w:t xml:space="preserve"> </w:t>
      </w:r>
      <w:r w:rsidR="45B0ADB3">
        <w:t xml:space="preserve">that </w:t>
      </w:r>
      <w:r w:rsidR="12B50722">
        <w:t xml:space="preserve">vary coherently </w:t>
      </w:r>
      <w:r w:rsidR="57DD70CE">
        <w:t xml:space="preserve">in their inundation dynamics </w:t>
      </w:r>
      <w:r w:rsidR="12B50722">
        <w:t xml:space="preserve">and thus likely share </w:t>
      </w:r>
      <w:r>
        <w:t>a common source of inundation</w:t>
      </w:r>
      <w:r w:rsidR="371B3345">
        <w:t xml:space="preserve"> (Anand 2018)</w:t>
      </w:r>
      <w:r>
        <w:t xml:space="preserve">. For each floodshed, a representative discharge </w:t>
      </w:r>
      <w:r w:rsidR="418C0424">
        <w:t xml:space="preserve">sampling </w:t>
      </w:r>
      <w:r>
        <w:t>location on the HydroSHEDS river network</w:t>
      </w:r>
      <w:r w:rsidR="3B274A71">
        <w:t xml:space="preserve"> (typically at the </w:t>
      </w:r>
      <w:r w:rsidR="75502A5C">
        <w:t xml:space="preserve">zone’s </w:t>
      </w:r>
      <w:r w:rsidR="3B274A71">
        <w:t>outlet)</w:t>
      </w:r>
      <w:r>
        <w:t xml:space="preserve"> was de</w:t>
      </w:r>
      <w:r w:rsidR="321BBCFF">
        <w:t>termined</w:t>
      </w:r>
      <w:r>
        <w:t xml:space="preserve"> to establish an association between modelled discharge estimates and observed flooding. In each of the floodsheds, the monthly GIEMS-D15 inundation extent </w:t>
      </w:r>
      <w:r w:rsidR="16825600">
        <w:t xml:space="preserve">was </w:t>
      </w:r>
      <w:r>
        <w:t xml:space="preserve">then correlated with </w:t>
      </w:r>
      <w:r>
        <w:lastRenderedPageBreak/>
        <w:t xml:space="preserve">monthly </w:t>
      </w:r>
      <w:r w:rsidR="2E1909E2">
        <w:t xml:space="preserve">river </w:t>
      </w:r>
      <w:r>
        <w:t xml:space="preserve">discharges (1971-2000) to identify local streamflow thresholds that corresponded with observed </w:t>
      </w:r>
      <w:r w:rsidR="429202F2">
        <w:t xml:space="preserve">abrupt changes in the </w:t>
      </w:r>
      <w:r>
        <w:t>inundation and drying regimes. Finally, the floodshed</w:t>
      </w:r>
      <w:r w:rsidR="4BF98DAA">
        <w:t>-threshold</w:t>
      </w:r>
      <w:r>
        <w:t xml:space="preserve"> model was applied to produce monthly maps of inundation for the present day and for both future scenarios, and </w:t>
      </w:r>
      <w:r w:rsidR="5C8FD94B">
        <w:t>three</w:t>
      </w:r>
      <w:r>
        <w:t xml:space="preserve"> environmental predictors </w:t>
      </w:r>
      <w:r w:rsidR="2F99513E">
        <w:t xml:space="preserve">were derived to estimate deviations from the present-day </w:t>
      </w:r>
      <w:r w:rsidR="300F4A46">
        <w:t xml:space="preserve">annual </w:t>
      </w:r>
      <w:r w:rsidR="2F99513E">
        <w:t xml:space="preserve">inundation patterns; </w:t>
      </w:r>
      <w:r>
        <w:t xml:space="preserve">i.e., </w:t>
      </w:r>
      <w:r w:rsidR="17FA56BE">
        <w:t xml:space="preserve">the extent of </w:t>
      </w:r>
      <w:r>
        <w:t xml:space="preserve">permanently inundated areas, </w:t>
      </w:r>
      <w:r w:rsidR="4DE9148E">
        <w:t xml:space="preserve">the extent of </w:t>
      </w:r>
      <w:r>
        <w:t xml:space="preserve">seasonally inundated areas, and the standard deviation of inundation </w:t>
      </w:r>
      <w:r w:rsidR="762D186D">
        <w:t>duration</w:t>
      </w:r>
      <w:r>
        <w:t>; see also Table 1).</w:t>
      </w:r>
    </w:p>
    <w:p w14:paraId="727C695C" w14:textId="2A0474BE" w:rsidR="00C11623" w:rsidRDefault="00C11623" w:rsidP="3F4F202D">
      <w:pPr>
        <w:spacing w:after="240" w:line="480" w:lineRule="auto"/>
        <w:jc w:val="both"/>
        <w:rPr>
          <w:b/>
          <w:bCs/>
          <w:i/>
          <w:iCs/>
        </w:rPr>
      </w:pPr>
      <w:r>
        <w:t xml:space="preserve">We used a threshold approach rather than fitting statistical discharge-inundation relationships to avoid potentially erratic estimates </w:t>
      </w:r>
      <w:r w:rsidR="1BFCA263">
        <w:t xml:space="preserve">over regions </w:t>
      </w:r>
      <w:r>
        <w:t xml:space="preserve">where inundation and discharge do not tightly covary. </w:t>
      </w:r>
      <w:r w:rsidR="35B4AD8F">
        <w:t>In a validation, t</w:t>
      </w:r>
      <w:r>
        <w:t xml:space="preserve">he resulting model was able to </w:t>
      </w:r>
      <w:r w:rsidR="6698975C">
        <w:t xml:space="preserve">correctly </w:t>
      </w:r>
      <w:r>
        <w:t>simulate present-day inundation within one month of the GIEMS-D15 inundation durations (months year-1) for 92% of the flyway area</w:t>
      </w:r>
      <w:r w:rsidR="1CE20D96">
        <w:t xml:space="preserve">, </w:t>
      </w:r>
      <w:r>
        <w:t>demonstrat</w:t>
      </w:r>
      <w:r w:rsidR="70641943">
        <w:t>ing</w:t>
      </w:r>
      <w:r>
        <w:t xml:space="preserve"> </w:t>
      </w:r>
      <w:r w:rsidR="79D4E9CE">
        <w:t xml:space="preserve">its </w:t>
      </w:r>
      <w:r>
        <w:t xml:space="preserve">ability to predict </w:t>
      </w:r>
      <w:r w:rsidR="56315F17">
        <w:t xml:space="preserve">variation in </w:t>
      </w:r>
      <w:r>
        <w:t xml:space="preserve">inundation </w:t>
      </w:r>
      <w:r w:rsidR="3EA52FC9">
        <w:t xml:space="preserve">over </w:t>
      </w:r>
      <w:r w:rsidR="7AFD2A1D">
        <w:t xml:space="preserve">large </w:t>
      </w:r>
      <w:r w:rsidR="3EA52FC9">
        <w:t xml:space="preserve">regions. </w:t>
      </w:r>
      <w:r>
        <w:t xml:space="preserve"> </w:t>
      </w:r>
    </w:p>
    <w:p w14:paraId="001C540A" w14:textId="2913E2B2" w:rsidR="00C11623" w:rsidRPr="00DD5B63" w:rsidRDefault="2BF6DB78" w:rsidP="00DD5B63">
      <w:pPr>
        <w:spacing w:line="480" w:lineRule="auto"/>
        <w:jc w:val="both"/>
        <w:rPr>
          <w:b/>
          <w:bCs/>
          <w:lang w:val="en-US"/>
        </w:rPr>
      </w:pPr>
      <w:r w:rsidRPr="00DD5B63">
        <w:rPr>
          <w:b/>
          <w:bCs/>
          <w:lang w:val="en-US"/>
        </w:rPr>
        <w:t>Limitations</w:t>
      </w:r>
    </w:p>
    <w:p w14:paraId="299CA4DE" w14:textId="31FA7F7C" w:rsidR="00C11623" w:rsidRDefault="2BF6DB78" w:rsidP="3841D505">
      <w:pPr>
        <w:spacing w:after="240" w:line="480" w:lineRule="auto"/>
        <w:jc w:val="both"/>
      </w:pPr>
      <w:r>
        <w:t>T</w:t>
      </w:r>
      <w:r w:rsidR="00C11623">
        <w:t>he floodshed-based inundation model is constrained to the area experiencing annual inundation</w:t>
      </w:r>
      <w:r w:rsidR="652D3408">
        <w:t xml:space="preserve"> under present condition</w:t>
      </w:r>
      <w:r w:rsidR="29E8B4AD">
        <w:t>s</w:t>
      </w:r>
      <w:r w:rsidR="00C11623">
        <w:t xml:space="preserve">. This method thus cannot predict </w:t>
      </w:r>
      <w:r w:rsidR="4ABDCB56">
        <w:t xml:space="preserve">an expansion of </w:t>
      </w:r>
      <w:r w:rsidR="00C11623">
        <w:t>inundation in</w:t>
      </w:r>
      <w:r w:rsidR="18CD09C9">
        <w:t>to</w:t>
      </w:r>
      <w:r w:rsidR="00C11623">
        <w:t xml:space="preserve"> areas </w:t>
      </w:r>
      <w:r w:rsidR="4D0156B9">
        <w:t>that are</w:t>
      </w:r>
      <w:r w:rsidR="00C11623">
        <w:t xml:space="preserve"> currently </w:t>
      </w:r>
      <w:r w:rsidR="7093D4CB">
        <w:t xml:space="preserve">dry </w:t>
      </w:r>
      <w:proofErr w:type="gramStart"/>
      <w:r w:rsidR="7093D4CB">
        <w:t>year round</w:t>
      </w:r>
      <w:proofErr w:type="gramEnd"/>
      <w:r w:rsidR="00C11623">
        <w:t xml:space="preserve">, nor can it predict the loss of permanent inundation (e.g., drying of lakes). Moreover, although WaterGAP </w:t>
      </w:r>
      <w:r w:rsidR="2A195EB8">
        <w:t xml:space="preserve">simulates the effect of </w:t>
      </w:r>
      <w:r w:rsidR="00C11623">
        <w:t xml:space="preserve">anthropogenic water </w:t>
      </w:r>
      <w:r w:rsidR="3A557CA3">
        <w:t xml:space="preserve">abstractions </w:t>
      </w:r>
      <w:r w:rsidR="748BFD15">
        <w:t xml:space="preserve">on its </w:t>
      </w:r>
      <w:r w:rsidR="32887EEA">
        <w:t xml:space="preserve">estimated </w:t>
      </w:r>
      <w:r w:rsidR="748BFD15">
        <w:t>river discharge</w:t>
      </w:r>
      <w:r w:rsidR="00C11623">
        <w:t>, neither GIEMS-D15 nor the floodshed</w:t>
      </w:r>
      <w:r w:rsidR="4D098E80">
        <w:t>-inundation</w:t>
      </w:r>
      <w:r w:rsidR="00C11623">
        <w:t xml:space="preserve"> model explicitly account for infrastructure and landscape modifications in their modelling approaches. In highly modified regions, direct anthropogenic impacts such as the construction of dams or flood protection infrastructure will likely have the largest impact on specific local inundation patterns. Despite the uncertainty arising from future modifications to the hydrological landscape</w:t>
      </w:r>
      <w:r w:rsidR="1E23EC29">
        <w:t>,</w:t>
      </w:r>
      <w:r w:rsidR="00C11623">
        <w:t xml:space="preserve"> which cannot be known at present, we argue that the general </w:t>
      </w:r>
      <w:r w:rsidR="00C11623">
        <w:lastRenderedPageBreak/>
        <w:t>patterns shown in the floodshed</w:t>
      </w:r>
      <w:r w:rsidR="3B9711D1">
        <w:t>-inundation</w:t>
      </w:r>
      <w:r w:rsidR="00C11623">
        <w:t xml:space="preserve"> model can distinguish regional trajectories of inundated habitat</w:t>
      </w:r>
      <w:r w:rsidR="013AB231">
        <w:t>.</w:t>
      </w:r>
    </w:p>
    <w:p w14:paraId="78CA93DC" w14:textId="650DCC65" w:rsidR="006923F1" w:rsidRPr="00DD5B63" w:rsidRDefault="009C20D9" w:rsidP="00DD5B63">
      <w:pPr>
        <w:spacing w:line="480" w:lineRule="auto"/>
        <w:jc w:val="both"/>
        <w:rPr>
          <w:b/>
          <w:bCs/>
          <w:lang w:val="en-US"/>
        </w:rPr>
      </w:pPr>
      <w:r w:rsidRPr="00DD5B63">
        <w:rPr>
          <w:b/>
          <w:bCs/>
          <w:lang w:val="en-US"/>
        </w:rPr>
        <w:t>References</w:t>
      </w:r>
    </w:p>
    <w:p w14:paraId="23224806" w14:textId="77777777" w:rsidR="00507B32" w:rsidRPr="00507B32" w:rsidRDefault="00507B32" w:rsidP="00E76358">
      <w:pPr>
        <w:spacing w:line="480" w:lineRule="auto"/>
      </w:pPr>
      <w:r w:rsidRPr="00E76358">
        <w:t xml:space="preserve">Anand, M. </w:t>
      </w:r>
      <w:r w:rsidRPr="00507B32">
        <w:t xml:space="preserve">(2018). </w:t>
      </w:r>
      <w:r w:rsidRPr="00E76358">
        <w:rPr>
          <w:i/>
          <w:iCs/>
        </w:rPr>
        <w:t>The future of flood-prone areas in Africa and Europe: predicting changing inundation patterns under climate change</w:t>
      </w:r>
      <w:r w:rsidRPr="00E76358">
        <w:t xml:space="preserve">. McGill University, </w:t>
      </w:r>
      <w:r w:rsidRPr="00507B32">
        <w:t>Montreal</w:t>
      </w:r>
      <w:r w:rsidRPr="00E76358">
        <w:t>. doi:https://escholarship.mcgill.ca/concern/theses/xg94hs028</w:t>
      </w:r>
    </w:p>
    <w:p w14:paraId="671C3D89" w14:textId="77777777" w:rsidR="00507B32" w:rsidRPr="00507B32" w:rsidRDefault="00507B32" w:rsidP="00FF7BFD">
      <w:pPr>
        <w:spacing w:line="480" w:lineRule="auto"/>
      </w:pPr>
    </w:p>
    <w:p w14:paraId="53B46E51" w14:textId="1E7AC675" w:rsidR="000243EA" w:rsidRDefault="000243EA" w:rsidP="00FF7BFD">
      <w:pPr>
        <w:spacing w:line="480" w:lineRule="auto"/>
      </w:pPr>
      <w:r w:rsidRPr="00507B32">
        <w:t>Döll, P., Kaspar, F., &amp; Lehner, B. (2003). A global hydrological model for deriving water availability indicators</w:t>
      </w:r>
      <w:r w:rsidRPr="00873DC2">
        <w:t xml:space="preserve">: model tuning and validation. </w:t>
      </w:r>
      <w:r w:rsidRPr="00D51BB4">
        <w:rPr>
          <w:i/>
        </w:rPr>
        <w:t>Journal of Hydrology</w:t>
      </w:r>
      <w:r w:rsidRPr="00873DC2">
        <w:t>, 270</w:t>
      </w:r>
      <w:r>
        <w:t>, 105-</w:t>
      </w:r>
      <w:r w:rsidRPr="00873DC2">
        <w:t>134.</w:t>
      </w:r>
    </w:p>
    <w:p w14:paraId="19FB512F" w14:textId="0E48313A" w:rsidR="000243EA" w:rsidRDefault="000243EA" w:rsidP="00FF7BFD">
      <w:pPr>
        <w:spacing w:line="480" w:lineRule="auto"/>
        <w:jc w:val="both"/>
      </w:pPr>
    </w:p>
    <w:p w14:paraId="075104E5" w14:textId="77777777" w:rsidR="004B7B75" w:rsidRPr="00016B5C" w:rsidRDefault="004B7B75" w:rsidP="00FF7BFD">
      <w:pPr>
        <w:pStyle w:val="CommentText"/>
        <w:spacing w:line="480" w:lineRule="auto"/>
        <w:rPr>
          <w:sz w:val="24"/>
          <w:szCs w:val="24"/>
        </w:rPr>
      </w:pPr>
      <w:r w:rsidRPr="00016B5C">
        <w:rPr>
          <w:sz w:val="24"/>
          <w:szCs w:val="24"/>
        </w:rPr>
        <w:t xml:space="preserve">Eisner, S. (2016). </w:t>
      </w:r>
      <w:r w:rsidRPr="007F168A">
        <w:rPr>
          <w:i/>
          <w:iCs/>
          <w:sz w:val="24"/>
          <w:szCs w:val="24"/>
        </w:rPr>
        <w:t>Comprehensive evaluation of the WaterGAP3 model across climatic, physiographic, and anthropogenic gradients.</w:t>
      </w:r>
      <w:r w:rsidRPr="00016B5C">
        <w:rPr>
          <w:sz w:val="24"/>
          <w:szCs w:val="24"/>
        </w:rPr>
        <w:t xml:space="preserve"> </w:t>
      </w:r>
      <w:r>
        <w:rPr>
          <w:sz w:val="24"/>
          <w:szCs w:val="24"/>
        </w:rPr>
        <w:t>D</w:t>
      </w:r>
      <w:r w:rsidRPr="00016B5C">
        <w:rPr>
          <w:sz w:val="24"/>
          <w:szCs w:val="24"/>
        </w:rPr>
        <w:t>issertatio</w:t>
      </w:r>
      <w:r>
        <w:rPr>
          <w:sz w:val="24"/>
          <w:szCs w:val="24"/>
        </w:rPr>
        <w:t>n.</w:t>
      </w:r>
      <w:r w:rsidRPr="00016B5C">
        <w:rPr>
          <w:sz w:val="24"/>
          <w:szCs w:val="24"/>
        </w:rPr>
        <w:t xml:space="preserve"> KOBRA Dokumentenserver, University of Kassel, Germany, available at: http://nbn-resolving.de/urn:nbn:de:hebis:</w:t>
      </w:r>
    </w:p>
    <w:p w14:paraId="4A357E36" w14:textId="77777777" w:rsidR="004B7B75" w:rsidRDefault="004B7B75" w:rsidP="00FF7BFD">
      <w:pPr>
        <w:spacing w:line="480" w:lineRule="auto"/>
      </w:pPr>
      <w:r>
        <w:t>34-2016031450014</w:t>
      </w:r>
    </w:p>
    <w:p w14:paraId="02953346" w14:textId="42FA3D87" w:rsidR="004B7B75" w:rsidRDefault="004B7B75" w:rsidP="00FF7BFD">
      <w:pPr>
        <w:spacing w:line="480" w:lineRule="auto"/>
        <w:jc w:val="both"/>
      </w:pPr>
    </w:p>
    <w:p w14:paraId="2AA3E175" w14:textId="77777777" w:rsidR="008C2566" w:rsidRDefault="008C2566" w:rsidP="00FF7BFD">
      <w:pPr>
        <w:spacing w:line="480" w:lineRule="auto"/>
      </w:pPr>
      <w:r w:rsidRPr="007F168A">
        <w:t>Flörke, M., Schneider, C., &amp; McDonald, R. I. (2018). Water competition between cities and agriculture driven by climate change and urban growth. </w:t>
      </w:r>
      <w:r w:rsidRPr="007F168A">
        <w:rPr>
          <w:i/>
          <w:iCs/>
        </w:rPr>
        <w:t>Nature Sustainability</w:t>
      </w:r>
      <w:r w:rsidRPr="007F168A">
        <w:t>, 1(1), 51.</w:t>
      </w:r>
    </w:p>
    <w:p w14:paraId="15174155" w14:textId="6B1D2915" w:rsidR="008C2566" w:rsidRDefault="008C2566" w:rsidP="00FF7BFD">
      <w:pPr>
        <w:spacing w:line="480" w:lineRule="auto"/>
        <w:jc w:val="both"/>
      </w:pPr>
    </w:p>
    <w:p w14:paraId="4B552632" w14:textId="77777777" w:rsidR="004A58BD" w:rsidRDefault="004A58BD" w:rsidP="00FF7BFD">
      <w:pPr>
        <w:spacing w:line="480" w:lineRule="auto"/>
      </w:pPr>
      <w:r w:rsidRPr="004A58BD">
        <w:t>Fluet-Chouinard</w:t>
      </w:r>
      <w:r>
        <w:t xml:space="preserve">, E., Lehner, B., Rebelo, L. M., Papa, F., &amp; Hamilton, S. K. (2015). Development of a global inundation map at high spatial resolution from topographic downscaling of </w:t>
      </w:r>
      <w:proofErr w:type="gramStart"/>
      <w:r>
        <w:t>coarse</w:t>
      </w:r>
      <w:proofErr w:type="gramEnd"/>
      <w:r>
        <w:t xml:space="preserve">-scale remote sensing data. </w:t>
      </w:r>
      <w:r>
        <w:rPr>
          <w:i/>
        </w:rPr>
        <w:t>Remote Sensing of Environment</w:t>
      </w:r>
      <w:r>
        <w:t>, 158, 348-361.</w:t>
      </w:r>
    </w:p>
    <w:p w14:paraId="58BDFEFE" w14:textId="77777777" w:rsidR="004A58BD" w:rsidRDefault="004A58BD" w:rsidP="00FF7BFD">
      <w:pPr>
        <w:spacing w:line="480" w:lineRule="auto"/>
        <w:jc w:val="both"/>
      </w:pPr>
    </w:p>
    <w:p w14:paraId="44E90BB7" w14:textId="40A5633A" w:rsidR="00B716B5" w:rsidRDefault="006C5BF3" w:rsidP="00FF7BFD">
      <w:pPr>
        <w:spacing w:line="480" w:lineRule="auto"/>
        <w:jc w:val="both"/>
      </w:pPr>
      <w:r>
        <w:t xml:space="preserve">IPCC, 2013: </w:t>
      </w:r>
      <w:r w:rsidRPr="009E47C0">
        <w:rPr>
          <w:i/>
          <w:iCs/>
        </w:rPr>
        <w:t>Climate Change 2013: The Physical Science Basis. Contribution of Working Group I to the Fifth Assessment Report of the Intergovernmental Panel on Climate Change</w:t>
      </w:r>
      <w:r>
        <w:t xml:space="preserve"> </w:t>
      </w:r>
      <w:r>
        <w:lastRenderedPageBreak/>
        <w:t>[Stocker, T.F., D. Qin, G.-K. Plattner, M. Tignor, S.K. Allen, J. Boschung, A. Nauels, Y. Xia, V. Bex and P.M. Midgley (eds.)]. Cambridge University Press, Cambridge, United Kingdom and New York, NY, USA, 1535 pp.</w:t>
      </w:r>
    </w:p>
    <w:p w14:paraId="23DC7001" w14:textId="5240C5F0" w:rsidR="00C24B79" w:rsidRDefault="00C24B79" w:rsidP="00FF7BFD">
      <w:pPr>
        <w:spacing w:line="480" w:lineRule="auto"/>
        <w:jc w:val="both"/>
      </w:pPr>
    </w:p>
    <w:p w14:paraId="33B268C9" w14:textId="77777777" w:rsidR="00195B43" w:rsidRDefault="00195B43" w:rsidP="00FF7BFD">
      <w:pPr>
        <w:spacing w:line="480" w:lineRule="auto"/>
      </w:pPr>
      <w:r w:rsidRPr="00873DC2">
        <w:t xml:space="preserve">Lehner, B., </w:t>
      </w:r>
      <w:r>
        <w:t xml:space="preserve">&amp; </w:t>
      </w:r>
      <w:r w:rsidRPr="00873DC2">
        <w:t>Grill G. (2013)</w:t>
      </w:r>
      <w:r>
        <w:t>.</w:t>
      </w:r>
      <w:r w:rsidRPr="00873DC2">
        <w:t xml:space="preserve"> Global river hydrography and network routing: baseline data and new approaches to study the world’s large river systems. </w:t>
      </w:r>
      <w:r w:rsidRPr="00D51BB4">
        <w:rPr>
          <w:i/>
        </w:rPr>
        <w:t>Hydrological Processes</w:t>
      </w:r>
      <w:r>
        <w:t>, 27(15),</w:t>
      </w:r>
      <w:r w:rsidRPr="00873DC2">
        <w:t xml:space="preserve"> 2171</w:t>
      </w:r>
      <w:r>
        <w:t>-</w:t>
      </w:r>
      <w:r w:rsidRPr="00873DC2">
        <w:t>2186.</w:t>
      </w:r>
    </w:p>
    <w:p w14:paraId="19F66E9E" w14:textId="77777777" w:rsidR="00195B43" w:rsidRDefault="00195B43" w:rsidP="00FF7BFD">
      <w:pPr>
        <w:spacing w:line="480" w:lineRule="auto"/>
        <w:jc w:val="both"/>
      </w:pPr>
    </w:p>
    <w:p w14:paraId="17960B67" w14:textId="77777777" w:rsidR="00E4511C" w:rsidRDefault="00E4511C" w:rsidP="00FF7BFD">
      <w:pPr>
        <w:spacing w:line="480" w:lineRule="auto"/>
      </w:pPr>
      <w:r w:rsidRPr="00D51BB4">
        <w:t xml:space="preserve">Lehner, B., Verdin, K., </w:t>
      </w:r>
      <w:r>
        <w:t xml:space="preserve">&amp; </w:t>
      </w:r>
      <w:r w:rsidRPr="00D51BB4">
        <w:t>Jarvis, A. (2008)</w:t>
      </w:r>
      <w:r>
        <w:t>.</w:t>
      </w:r>
      <w:r w:rsidRPr="00D51BB4">
        <w:t xml:space="preserve"> New global hydrography derived from spaceborne elevation data. </w:t>
      </w:r>
      <w:r w:rsidRPr="00D51BB4">
        <w:rPr>
          <w:i/>
        </w:rPr>
        <w:t>Eos, Transactions, AGU</w:t>
      </w:r>
      <w:r w:rsidRPr="00D51BB4">
        <w:t>, 89(10)</w:t>
      </w:r>
      <w:r>
        <w:t>,</w:t>
      </w:r>
      <w:r w:rsidRPr="00D51BB4">
        <w:t xml:space="preserve"> 93-94.</w:t>
      </w:r>
    </w:p>
    <w:p w14:paraId="565CCCFF" w14:textId="77777777" w:rsidR="00E4511C" w:rsidRDefault="00E4511C" w:rsidP="00FF7BFD">
      <w:pPr>
        <w:spacing w:line="480" w:lineRule="auto"/>
        <w:jc w:val="both"/>
      </w:pPr>
    </w:p>
    <w:p w14:paraId="55F521A3" w14:textId="7D34C30A" w:rsidR="00B716B5" w:rsidRDefault="00B716B5" w:rsidP="00FF7BFD">
      <w:pPr>
        <w:spacing w:line="480" w:lineRule="auto"/>
        <w:jc w:val="both"/>
      </w:pPr>
      <w:r w:rsidRPr="00B716B5">
        <w:t>Masui, T., Matsumoto, K., Hijioka, Y., Kinoshita, T., Nozawa, T., Ishiwatari, S., ... &amp; Kainuma, M. (2011). An emission pathway for stabilization at 6 Wm− 2 radiative forcing. </w:t>
      </w:r>
      <w:r w:rsidRPr="00B716B5">
        <w:rPr>
          <w:i/>
          <w:iCs/>
        </w:rPr>
        <w:t>Climatic change</w:t>
      </w:r>
      <w:r w:rsidRPr="00B716B5">
        <w:t>, 109(1), 59-76.</w:t>
      </w:r>
    </w:p>
    <w:p w14:paraId="6C2B509D" w14:textId="64D27E42" w:rsidR="00C24B79" w:rsidRDefault="00C24B79" w:rsidP="00FF7BFD">
      <w:pPr>
        <w:spacing w:line="480" w:lineRule="auto"/>
        <w:jc w:val="both"/>
      </w:pPr>
    </w:p>
    <w:p w14:paraId="62AFA2E4" w14:textId="77777777" w:rsidR="00A201C7" w:rsidRDefault="00A201C7" w:rsidP="00FF7BFD">
      <w:pPr>
        <w:spacing w:line="480" w:lineRule="auto"/>
      </w:pPr>
      <w:r w:rsidRPr="00A201C7">
        <w:t>Müller Schmied</w:t>
      </w:r>
      <w:r w:rsidRPr="009E7F63">
        <w:t>, H., Eisner, S., Franz, D., Wattenbach, M., Portmann, F. T., Flörke, M., &amp; Döll, P. (2014). Sensitivity of simulated global-scale freshwater fluxes and storages to input data, hydrological model structure, human water use and calibration. </w:t>
      </w:r>
      <w:r w:rsidRPr="009E7F63">
        <w:rPr>
          <w:i/>
          <w:iCs/>
        </w:rPr>
        <w:t>Hydrology and Earth System Sciences</w:t>
      </w:r>
      <w:r w:rsidRPr="009E7F63">
        <w:t>, 18(9), 3511-3538.</w:t>
      </w:r>
    </w:p>
    <w:p w14:paraId="7A428550" w14:textId="77777777" w:rsidR="00A201C7" w:rsidRDefault="00A201C7" w:rsidP="00FF7BFD">
      <w:pPr>
        <w:spacing w:line="480" w:lineRule="auto"/>
        <w:jc w:val="both"/>
      </w:pPr>
    </w:p>
    <w:p w14:paraId="4EC0743A" w14:textId="77777777" w:rsidR="00CF6CDF" w:rsidRDefault="00CF6CDF" w:rsidP="00FF7BFD">
      <w:pPr>
        <w:spacing w:line="480" w:lineRule="auto"/>
        <w:jc w:val="both"/>
      </w:pPr>
      <w:r>
        <w:t xml:space="preserve">Smith, P.; Davis, S. J.; Creutzig, F.; Fuss, S.; Minx, J.; Gabrielle, B.; et al. (2016): Biophysical and economic limits to negative CO2 emissions. </w:t>
      </w:r>
      <w:r w:rsidRPr="00CF6CDF">
        <w:rPr>
          <w:i/>
          <w:iCs/>
        </w:rPr>
        <w:t>Nature Climate Change</w:t>
      </w:r>
      <w:r>
        <w:t xml:space="preserve"> 6(1)42–50</w:t>
      </w:r>
    </w:p>
    <w:p w14:paraId="5D671C46" w14:textId="77777777" w:rsidR="009C20D9" w:rsidRPr="009C20D9" w:rsidRDefault="009C20D9" w:rsidP="00FF7BFD">
      <w:pPr>
        <w:spacing w:line="480" w:lineRule="auto"/>
        <w:jc w:val="both"/>
      </w:pPr>
    </w:p>
    <w:sectPr w:rsidR="009C20D9" w:rsidRPr="009C20D9" w:rsidSect="00583576">
      <w:pgSz w:w="11900" w:h="16840"/>
      <w:pgMar w:top="1440" w:right="1440" w:bottom="1440" w:left="1440"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623"/>
    <w:rsid w:val="000041A3"/>
    <w:rsid w:val="00022074"/>
    <w:rsid w:val="000243EA"/>
    <w:rsid w:val="00093AD7"/>
    <w:rsid w:val="000A5F22"/>
    <w:rsid w:val="000B5012"/>
    <w:rsid w:val="000E0E12"/>
    <w:rsid w:val="001050B2"/>
    <w:rsid w:val="001100AB"/>
    <w:rsid w:val="00142C6E"/>
    <w:rsid w:val="001525D7"/>
    <w:rsid w:val="00195B43"/>
    <w:rsid w:val="001C643A"/>
    <w:rsid w:val="00227696"/>
    <w:rsid w:val="002349A2"/>
    <w:rsid w:val="002597F4"/>
    <w:rsid w:val="002673A9"/>
    <w:rsid w:val="002A7D07"/>
    <w:rsid w:val="002F2B23"/>
    <w:rsid w:val="002F6CF2"/>
    <w:rsid w:val="0033007E"/>
    <w:rsid w:val="00427532"/>
    <w:rsid w:val="004A58BD"/>
    <w:rsid w:val="004B7B1C"/>
    <w:rsid w:val="004B7B75"/>
    <w:rsid w:val="004C351F"/>
    <w:rsid w:val="004E243C"/>
    <w:rsid w:val="00507B32"/>
    <w:rsid w:val="00512BEB"/>
    <w:rsid w:val="00560B7E"/>
    <w:rsid w:val="005A2B76"/>
    <w:rsid w:val="005A3EB0"/>
    <w:rsid w:val="005B4F6C"/>
    <w:rsid w:val="005C5CD5"/>
    <w:rsid w:val="005F5108"/>
    <w:rsid w:val="006403BE"/>
    <w:rsid w:val="006528BF"/>
    <w:rsid w:val="00674FDB"/>
    <w:rsid w:val="006923F1"/>
    <w:rsid w:val="006A210C"/>
    <w:rsid w:val="006C5BF3"/>
    <w:rsid w:val="00723DE2"/>
    <w:rsid w:val="0075539E"/>
    <w:rsid w:val="007E1F36"/>
    <w:rsid w:val="007F031F"/>
    <w:rsid w:val="00813FC1"/>
    <w:rsid w:val="00832C54"/>
    <w:rsid w:val="00843DB7"/>
    <w:rsid w:val="00863CD4"/>
    <w:rsid w:val="00884D45"/>
    <w:rsid w:val="008914EA"/>
    <w:rsid w:val="008B0B6A"/>
    <w:rsid w:val="008C2566"/>
    <w:rsid w:val="00944F14"/>
    <w:rsid w:val="0095451A"/>
    <w:rsid w:val="00957A9F"/>
    <w:rsid w:val="009C0DD8"/>
    <w:rsid w:val="009C20D9"/>
    <w:rsid w:val="009E47C0"/>
    <w:rsid w:val="009F56CF"/>
    <w:rsid w:val="009F6D45"/>
    <w:rsid w:val="009F713F"/>
    <w:rsid w:val="00A0450C"/>
    <w:rsid w:val="00A201C7"/>
    <w:rsid w:val="00A21602"/>
    <w:rsid w:val="00A54F57"/>
    <w:rsid w:val="00A69651"/>
    <w:rsid w:val="00AF2CFD"/>
    <w:rsid w:val="00B00E21"/>
    <w:rsid w:val="00B06693"/>
    <w:rsid w:val="00B716B5"/>
    <w:rsid w:val="00B82539"/>
    <w:rsid w:val="00C11623"/>
    <w:rsid w:val="00C24B79"/>
    <w:rsid w:val="00C47E6F"/>
    <w:rsid w:val="00C5524C"/>
    <w:rsid w:val="00C74EAD"/>
    <w:rsid w:val="00C9504C"/>
    <w:rsid w:val="00CB65FE"/>
    <w:rsid w:val="00CE4BBA"/>
    <w:rsid w:val="00CF1A09"/>
    <w:rsid w:val="00CF6CDF"/>
    <w:rsid w:val="00D53C18"/>
    <w:rsid w:val="00D659CB"/>
    <w:rsid w:val="00DB3CF8"/>
    <w:rsid w:val="00DD5B63"/>
    <w:rsid w:val="00DE0C5A"/>
    <w:rsid w:val="00E21811"/>
    <w:rsid w:val="00E25160"/>
    <w:rsid w:val="00E2545B"/>
    <w:rsid w:val="00E4278C"/>
    <w:rsid w:val="00E4511C"/>
    <w:rsid w:val="00E50FAF"/>
    <w:rsid w:val="00E76358"/>
    <w:rsid w:val="00EB06CF"/>
    <w:rsid w:val="00EE292E"/>
    <w:rsid w:val="00EF455D"/>
    <w:rsid w:val="00F1555E"/>
    <w:rsid w:val="00F213BD"/>
    <w:rsid w:val="00FD79BF"/>
    <w:rsid w:val="00FE2003"/>
    <w:rsid w:val="00FE76D8"/>
    <w:rsid w:val="00FF7BFD"/>
    <w:rsid w:val="013AB231"/>
    <w:rsid w:val="01BB4268"/>
    <w:rsid w:val="037CB90C"/>
    <w:rsid w:val="045D467E"/>
    <w:rsid w:val="0496E2DE"/>
    <w:rsid w:val="04DED3F2"/>
    <w:rsid w:val="052D5EE1"/>
    <w:rsid w:val="06B459CE"/>
    <w:rsid w:val="073CE6E6"/>
    <w:rsid w:val="09DC1523"/>
    <w:rsid w:val="0B32A58C"/>
    <w:rsid w:val="0C92DBC6"/>
    <w:rsid w:val="0CADFEFF"/>
    <w:rsid w:val="0E6CC988"/>
    <w:rsid w:val="0FDFC8B6"/>
    <w:rsid w:val="1079FA68"/>
    <w:rsid w:val="10B418D3"/>
    <w:rsid w:val="110512AE"/>
    <w:rsid w:val="1153F735"/>
    <w:rsid w:val="11D84064"/>
    <w:rsid w:val="1213F74F"/>
    <w:rsid w:val="12B50722"/>
    <w:rsid w:val="1356275B"/>
    <w:rsid w:val="142B02BC"/>
    <w:rsid w:val="1449C836"/>
    <w:rsid w:val="15369ABD"/>
    <w:rsid w:val="16825600"/>
    <w:rsid w:val="16D26B1E"/>
    <w:rsid w:val="173F6761"/>
    <w:rsid w:val="17D068F6"/>
    <w:rsid w:val="17FA56BE"/>
    <w:rsid w:val="18CD09C9"/>
    <w:rsid w:val="191BD68E"/>
    <w:rsid w:val="19E29E04"/>
    <w:rsid w:val="1A410EC9"/>
    <w:rsid w:val="1B596EA2"/>
    <w:rsid w:val="1BC1E9DD"/>
    <w:rsid w:val="1BFCA263"/>
    <w:rsid w:val="1C4ED743"/>
    <w:rsid w:val="1C95F322"/>
    <w:rsid w:val="1CE20D96"/>
    <w:rsid w:val="1D1A3EC6"/>
    <w:rsid w:val="1E23EC29"/>
    <w:rsid w:val="1E853086"/>
    <w:rsid w:val="1EA43D81"/>
    <w:rsid w:val="1EB60F27"/>
    <w:rsid w:val="20819B69"/>
    <w:rsid w:val="2092101F"/>
    <w:rsid w:val="211351C1"/>
    <w:rsid w:val="215423B8"/>
    <w:rsid w:val="21D4878C"/>
    <w:rsid w:val="21FF7FEB"/>
    <w:rsid w:val="2557DDD3"/>
    <w:rsid w:val="292F9E7D"/>
    <w:rsid w:val="293AC4E9"/>
    <w:rsid w:val="29E8B4AD"/>
    <w:rsid w:val="2A195EB8"/>
    <w:rsid w:val="2A70EFB9"/>
    <w:rsid w:val="2B5FE232"/>
    <w:rsid w:val="2B6D195F"/>
    <w:rsid w:val="2BF6DB78"/>
    <w:rsid w:val="2DB8E36D"/>
    <w:rsid w:val="2E1909E2"/>
    <w:rsid w:val="2F99513E"/>
    <w:rsid w:val="300F4A46"/>
    <w:rsid w:val="309C33C1"/>
    <w:rsid w:val="319BF6DC"/>
    <w:rsid w:val="321BBCFF"/>
    <w:rsid w:val="32887EEA"/>
    <w:rsid w:val="3307B82C"/>
    <w:rsid w:val="3372D868"/>
    <w:rsid w:val="33A3D996"/>
    <w:rsid w:val="3448C2FF"/>
    <w:rsid w:val="346903D3"/>
    <w:rsid w:val="35B4AD8F"/>
    <w:rsid w:val="3678B605"/>
    <w:rsid w:val="371B3345"/>
    <w:rsid w:val="374E1C2C"/>
    <w:rsid w:val="38242A12"/>
    <w:rsid w:val="3841D505"/>
    <w:rsid w:val="3984128A"/>
    <w:rsid w:val="3A557CA3"/>
    <w:rsid w:val="3AE69394"/>
    <w:rsid w:val="3B274A71"/>
    <w:rsid w:val="3B29B0C5"/>
    <w:rsid w:val="3B4E9DA4"/>
    <w:rsid w:val="3B9711D1"/>
    <w:rsid w:val="3C6C2832"/>
    <w:rsid w:val="3CFD9787"/>
    <w:rsid w:val="3EA52FC9"/>
    <w:rsid w:val="3EC3AD2B"/>
    <w:rsid w:val="3F4F202D"/>
    <w:rsid w:val="3F6482B6"/>
    <w:rsid w:val="3FF0F5C3"/>
    <w:rsid w:val="40CD36CA"/>
    <w:rsid w:val="418C0424"/>
    <w:rsid w:val="42571732"/>
    <w:rsid w:val="429202F2"/>
    <w:rsid w:val="429B28A0"/>
    <w:rsid w:val="451391BC"/>
    <w:rsid w:val="451F3900"/>
    <w:rsid w:val="45B0ADB3"/>
    <w:rsid w:val="45C455FE"/>
    <w:rsid w:val="46AF621D"/>
    <w:rsid w:val="48636FF6"/>
    <w:rsid w:val="4907A1B9"/>
    <w:rsid w:val="4ABDCB56"/>
    <w:rsid w:val="4B15D6FD"/>
    <w:rsid w:val="4BBD6657"/>
    <w:rsid w:val="4BF98DAA"/>
    <w:rsid w:val="4C01AC6A"/>
    <w:rsid w:val="4C06A498"/>
    <w:rsid w:val="4D0156B9"/>
    <w:rsid w:val="4D098E80"/>
    <w:rsid w:val="4DE9148E"/>
    <w:rsid w:val="4E0A790E"/>
    <w:rsid w:val="4E6CEA6D"/>
    <w:rsid w:val="4E76E7AD"/>
    <w:rsid w:val="4F394D2C"/>
    <w:rsid w:val="50BE61F1"/>
    <w:rsid w:val="514C5947"/>
    <w:rsid w:val="5295E0EA"/>
    <w:rsid w:val="53F4ABBF"/>
    <w:rsid w:val="56315F17"/>
    <w:rsid w:val="56CF458A"/>
    <w:rsid w:val="56F28E01"/>
    <w:rsid w:val="57B948DA"/>
    <w:rsid w:val="57DD70CE"/>
    <w:rsid w:val="59971AD2"/>
    <w:rsid w:val="5BDE559D"/>
    <w:rsid w:val="5C7391A0"/>
    <w:rsid w:val="5C8FD94B"/>
    <w:rsid w:val="5FFF584F"/>
    <w:rsid w:val="60578763"/>
    <w:rsid w:val="614702C3"/>
    <w:rsid w:val="61B22202"/>
    <w:rsid w:val="62386486"/>
    <w:rsid w:val="6275D6E1"/>
    <w:rsid w:val="6339C00E"/>
    <w:rsid w:val="63AFB916"/>
    <w:rsid w:val="64686FB1"/>
    <w:rsid w:val="652D3408"/>
    <w:rsid w:val="65A22264"/>
    <w:rsid w:val="6665EEB3"/>
    <w:rsid w:val="66667FC5"/>
    <w:rsid w:val="6698975C"/>
    <w:rsid w:val="67109F51"/>
    <w:rsid w:val="67AC001E"/>
    <w:rsid w:val="6910B508"/>
    <w:rsid w:val="6AD82EC3"/>
    <w:rsid w:val="6AEDE509"/>
    <w:rsid w:val="6BE904AC"/>
    <w:rsid w:val="6C4EA43F"/>
    <w:rsid w:val="6C8B71F5"/>
    <w:rsid w:val="6D911BAC"/>
    <w:rsid w:val="6F4C0921"/>
    <w:rsid w:val="70641943"/>
    <w:rsid w:val="7093D4CB"/>
    <w:rsid w:val="72648CCF"/>
    <w:rsid w:val="731F2B9B"/>
    <w:rsid w:val="74005D30"/>
    <w:rsid w:val="748BFD15"/>
    <w:rsid w:val="752E6D63"/>
    <w:rsid w:val="75502A5C"/>
    <w:rsid w:val="755ECF90"/>
    <w:rsid w:val="762D186D"/>
    <w:rsid w:val="76755274"/>
    <w:rsid w:val="76D04D00"/>
    <w:rsid w:val="779E52CF"/>
    <w:rsid w:val="78D70EEC"/>
    <w:rsid w:val="79D4E9CE"/>
    <w:rsid w:val="7A5B9128"/>
    <w:rsid w:val="7A925142"/>
    <w:rsid w:val="7AE5B35E"/>
    <w:rsid w:val="7AFD2A1D"/>
    <w:rsid w:val="7C4F3714"/>
    <w:rsid w:val="7D2D9A12"/>
    <w:rsid w:val="7D6D9D2B"/>
    <w:rsid w:val="7D7A67AB"/>
    <w:rsid w:val="7DF6B019"/>
    <w:rsid w:val="7EA947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A1F34"/>
  <w15:chartTrackingRefBased/>
  <w15:docId w15:val="{CBA978E7-B6DB-DD4F-BAA2-5BCD00E3E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6B5"/>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C1162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1811"/>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E21811"/>
    <w:rPr>
      <w:rFonts w:ascii="Times New Roman" w:hAnsi="Times New Roman" w:cs="Times New Roman"/>
      <w:sz w:val="18"/>
      <w:szCs w:val="18"/>
    </w:rPr>
  </w:style>
  <w:style w:type="paragraph" w:customStyle="1" w:styleId="EndNoteBibliography">
    <w:name w:val="EndNote Bibliography"/>
    <w:basedOn w:val="Normal"/>
    <w:link w:val="EndNoteBibliographyChar"/>
    <w:rsid w:val="002F6CF2"/>
    <w:rPr>
      <w:rFonts w:ascii="Calibri" w:eastAsiaTheme="minorEastAsia" w:hAnsi="Calibri" w:cs="Calibri"/>
      <w:lang w:eastAsia="en-US"/>
    </w:rPr>
  </w:style>
  <w:style w:type="character" w:customStyle="1" w:styleId="EndNoteBibliographyChar">
    <w:name w:val="EndNote Bibliography Char"/>
    <w:basedOn w:val="DefaultParagraphFont"/>
    <w:link w:val="EndNoteBibliography"/>
    <w:rsid w:val="002F6CF2"/>
    <w:rPr>
      <w:rFonts w:ascii="Calibri" w:eastAsiaTheme="minorEastAsia" w:hAnsi="Calibri" w:cs="Calibri"/>
      <w:lang w:val="en-US"/>
    </w:rPr>
  </w:style>
  <w:style w:type="paragraph" w:customStyle="1" w:styleId="EndNoteBibliographyTitle">
    <w:name w:val="EndNote Bibliography Title"/>
    <w:basedOn w:val="Normal"/>
    <w:link w:val="EndNoteBibliographyTitleChar"/>
    <w:rsid w:val="002F6CF2"/>
    <w:pPr>
      <w:jc w:val="center"/>
    </w:pPr>
    <w:rPr>
      <w:rFonts w:ascii="Calibri" w:eastAsiaTheme="minorEastAsia" w:hAnsi="Calibri" w:cs="Calibri"/>
      <w:lang w:eastAsia="en-US"/>
    </w:rPr>
  </w:style>
  <w:style w:type="character" w:customStyle="1" w:styleId="EndNoteBibliographyTitleChar">
    <w:name w:val="EndNote Bibliography Title Char"/>
    <w:basedOn w:val="DefaultParagraphFont"/>
    <w:link w:val="EndNoteBibliographyTitle"/>
    <w:rsid w:val="002F6CF2"/>
    <w:rPr>
      <w:rFonts w:ascii="Calibri" w:eastAsiaTheme="minorEastAsia" w:hAnsi="Calibri" w:cs="Calibri"/>
      <w:lang w:val="en-US"/>
    </w:rPr>
  </w:style>
  <w:style w:type="paragraph" w:styleId="CommentText">
    <w:name w:val="annotation text"/>
    <w:basedOn w:val="Normal"/>
    <w:link w:val="CommentTextChar"/>
    <w:uiPriority w:val="99"/>
    <w:unhideWhenUsed/>
    <w:rsid w:val="00C11623"/>
    <w:rPr>
      <w:sz w:val="20"/>
      <w:szCs w:val="20"/>
    </w:rPr>
  </w:style>
  <w:style w:type="character" w:customStyle="1" w:styleId="CommentTextChar">
    <w:name w:val="Comment Text Char"/>
    <w:basedOn w:val="DefaultParagraphFont"/>
    <w:link w:val="CommentText"/>
    <w:uiPriority w:val="99"/>
    <w:rsid w:val="00C11623"/>
    <w:rPr>
      <w:rFonts w:ascii="Times New Roman" w:eastAsia="Times New Roman" w:hAnsi="Times New Roman" w:cs="Times New Roman"/>
      <w:sz w:val="20"/>
      <w:szCs w:val="20"/>
      <w:lang w:eastAsia="en-GB"/>
    </w:rPr>
  </w:style>
  <w:style w:type="character" w:styleId="CommentReference">
    <w:name w:val="annotation reference"/>
    <w:basedOn w:val="DefaultParagraphFont"/>
    <w:uiPriority w:val="99"/>
    <w:semiHidden/>
    <w:unhideWhenUsed/>
    <w:rsid w:val="00C11623"/>
    <w:rPr>
      <w:sz w:val="16"/>
      <w:szCs w:val="16"/>
    </w:rPr>
  </w:style>
  <w:style w:type="character" w:styleId="LineNumber">
    <w:name w:val="line number"/>
    <w:basedOn w:val="DefaultParagraphFont"/>
    <w:uiPriority w:val="99"/>
    <w:semiHidden/>
    <w:unhideWhenUsed/>
    <w:rsid w:val="00C11623"/>
  </w:style>
  <w:style w:type="character" w:customStyle="1" w:styleId="Heading1Char">
    <w:name w:val="Heading 1 Char"/>
    <w:basedOn w:val="DefaultParagraphFont"/>
    <w:link w:val="Heading1"/>
    <w:uiPriority w:val="9"/>
    <w:rsid w:val="00C11623"/>
    <w:rPr>
      <w:rFonts w:asciiTheme="majorHAnsi" w:eastAsiaTheme="majorEastAsia" w:hAnsiTheme="majorHAnsi" w:cstheme="majorBidi"/>
      <w:color w:val="2F5496" w:themeColor="accent1" w:themeShade="BF"/>
      <w:sz w:val="32"/>
      <w:szCs w:val="32"/>
      <w:lang w:eastAsia="en-GB"/>
    </w:rPr>
  </w:style>
  <w:style w:type="paragraph" w:styleId="CommentSubject">
    <w:name w:val="annotation subject"/>
    <w:basedOn w:val="CommentText"/>
    <w:next w:val="CommentText"/>
    <w:link w:val="CommentSubjectChar"/>
    <w:uiPriority w:val="99"/>
    <w:semiHidden/>
    <w:unhideWhenUsed/>
    <w:rsid w:val="005F5108"/>
    <w:rPr>
      <w:b/>
      <w:bCs/>
    </w:rPr>
  </w:style>
  <w:style w:type="character" w:customStyle="1" w:styleId="CommentSubjectChar">
    <w:name w:val="Comment Subject Char"/>
    <w:basedOn w:val="CommentTextChar"/>
    <w:link w:val="CommentSubject"/>
    <w:uiPriority w:val="99"/>
    <w:semiHidden/>
    <w:rsid w:val="005F5108"/>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39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1287</Words>
  <Characters>7339</Characters>
  <Application>Microsoft Office Word</Application>
  <DocSecurity>0</DocSecurity>
  <Lines>61</Lines>
  <Paragraphs>17</Paragraphs>
  <ScaleCrop>false</ScaleCrop>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Nagy, Szabolcs</dc:creator>
  <cp:keywords/>
  <dc:description/>
  <cp:lastModifiedBy>David Mallon</cp:lastModifiedBy>
  <cp:revision>37</cp:revision>
  <dcterms:created xsi:type="dcterms:W3CDTF">2020-10-23T07:24:00Z</dcterms:created>
  <dcterms:modified xsi:type="dcterms:W3CDTF">2021-03-28T17:19:00Z</dcterms:modified>
</cp:coreProperties>
</file>