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44C9FA" w14:textId="1C7AFFD1" w:rsidR="00C51092" w:rsidRDefault="00E606E8" w:rsidP="0072191F">
      <w:pPr>
        <w:jc w:val="center"/>
      </w:pPr>
      <w:r>
        <w:rPr>
          <w:noProof/>
        </w:rPr>
        <w:drawing>
          <wp:inline distT="0" distB="0" distL="0" distR="0" wp14:anchorId="35B4AFD2" wp14:editId="622252A5">
            <wp:extent cx="4041775" cy="3702050"/>
            <wp:effectExtent l="0" t="0" r="0" b="0"/>
            <wp:docPr id="1" name="Chart 1">
              <a:extLst xmlns:a="http://schemas.openxmlformats.org/drawingml/2006/main">
                <a:ext uri="{FF2B5EF4-FFF2-40B4-BE49-F238E27FC236}">
                  <a16:creationId xmlns:a16="http://schemas.microsoft.com/office/drawing/2014/main" id="{66D27316-8676-4001-BF50-22B6EEB0D1F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14:paraId="153A0FB3" w14:textId="05D40652" w:rsidR="00296716" w:rsidRDefault="00296716">
      <w:r w:rsidRPr="00296716">
        <w:rPr>
          <w:b/>
          <w:bCs/>
        </w:rPr>
        <w:t>Figure S2. The relative chronology of the set of fox dietary</w:t>
      </w:r>
      <w:r w:rsidR="00821D1B">
        <w:rPr>
          <w:b/>
          <w:bCs/>
        </w:rPr>
        <w:t xml:space="preserve"> samples </w:t>
      </w:r>
      <w:r w:rsidRPr="00296716">
        <w:rPr>
          <w:b/>
          <w:bCs/>
        </w:rPr>
        <w:t xml:space="preserve">and cat dietary </w:t>
      </w:r>
      <w:r w:rsidR="00BA365A">
        <w:rPr>
          <w:b/>
          <w:bCs/>
        </w:rPr>
        <w:t>samples across the collated studies</w:t>
      </w:r>
      <w:r w:rsidRPr="00296716">
        <w:rPr>
          <w:b/>
          <w:bCs/>
        </w:rPr>
        <w:t xml:space="preserve"> considered in this paper</w:t>
      </w:r>
      <w:r>
        <w:t>.</w:t>
      </w:r>
    </w:p>
    <w:p w14:paraId="4C1DEA0A" w14:textId="32A84E96" w:rsidR="00296716" w:rsidRDefault="00296716"/>
    <w:p w14:paraId="7DDB98DF" w14:textId="6C848EAE" w:rsidR="00296716" w:rsidRDefault="00296716"/>
    <w:p w14:paraId="678B0E1D" w14:textId="67D2BA0D" w:rsidR="00296716" w:rsidRPr="00296716" w:rsidRDefault="00296716">
      <w:r>
        <w:t xml:space="preserve">Ideally, the </w:t>
      </w:r>
      <w:r w:rsidR="0058479F">
        <w:t>number and timing</w:t>
      </w:r>
      <w:r>
        <w:t xml:space="preserve"> of fox and cat dietary </w:t>
      </w:r>
      <w:r w:rsidR="00423D67">
        <w:t>samples</w:t>
      </w:r>
      <w:r>
        <w:t xml:space="preserve"> considered in this paper should be matched as closely as possible. However, driven largely by concerns about fox predation on lambs </w:t>
      </w:r>
      <w:r>
        <w:fldChar w:fldCharType="begin">
          <w:fldData xml:space="preserve">PEVuZE5vdGU+PENpdGU+PEF1dGhvcj5Sb3dsZXk8L0F1dGhvcj48WWVhcj4xOTcwPC9ZZWFyPjxS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</w:fldData>
        </w:fldChar>
      </w:r>
      <w:r>
        <w:instrText xml:space="preserve"> ADDIN EN.CITE </w:instrText>
      </w:r>
      <w:r>
        <w:fldChar w:fldCharType="begin">
          <w:fldData xml:space="preserve">PEVuZE5vdGU+PENpdGU+PEF1dGhvcj5Sb3dsZXk8L0F1dGhvcj48WWVhcj4xOTcwPC9ZZWFyPjxS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</w:fldData>
        </w:fldChar>
      </w:r>
      <w:r>
        <w:instrText xml:space="preserve"> ADDIN EN.CITE.DATA </w:instrText>
      </w:r>
      <w:r>
        <w:fldChar w:fldCharType="end"/>
      </w:r>
      <w:r>
        <w:fldChar w:fldCharType="separate"/>
      </w:r>
      <w:r>
        <w:rPr>
          <w:noProof/>
        </w:rPr>
        <w:t>(e.g., Turner 1964; Moore</w:t>
      </w:r>
      <w:r w:rsidRPr="00296716">
        <w:rPr>
          <w:i/>
          <w:noProof/>
        </w:rPr>
        <w:t xml:space="preserve"> et al.</w:t>
      </w:r>
      <w:r>
        <w:rPr>
          <w:noProof/>
        </w:rPr>
        <w:t xml:space="preserve"> 1966; Dennis 1969; Rowley 1970)</w:t>
      </w:r>
      <w:r>
        <w:fldChar w:fldCharType="end"/>
      </w:r>
      <w:r>
        <w:t xml:space="preserve">, Australian studies of fox diet started earlier than comparable studies of the diet of cats. Figure S2 shows the cumulative percentage over time in the numbers of fox and of cat dietary samples considered in our study. Although both cat and fox dietary studies considered here span at least a 40-year period, the cumulative percentage of samples shows a significantly different temporal pattern (Kolmogorov-Smirnov test, D=0.277, p&lt;0.001). It is possible that this may affect our comparisons between the two predators as the period considered spans episodes of at least intermittently effective control of rabbit, </w:t>
      </w:r>
      <w:r>
        <w:rPr>
          <w:i/>
          <w:iCs/>
        </w:rPr>
        <w:t>Oryctolagus cuniculus</w:t>
      </w:r>
      <w:r>
        <w:t xml:space="preserve">, a staple food for both predators, in much of their range </w:t>
      </w:r>
      <w:r>
        <w:fldChar w:fldCharType="begin"/>
      </w:r>
      <w:r>
        <w:instrText xml:space="preserve"> ADDIN EN.CITE &lt;EndNote&gt;&lt;Cite&gt;&lt;Author&gt;Pech&lt;/Author&gt;&lt;Year&gt;1998&lt;/Year&gt;&lt;RecNum&gt;6016&lt;/RecNum&gt;&lt;DisplayText&gt;(Pech and Hood 1998)&lt;/DisplayText&gt;&lt;record&gt;&lt;rec-number&gt;6016&lt;/rec-number&gt;&lt;foreign-keys&gt;&lt;key app="EN" db-id="vx2v0p9du0a0fqesasxpe5d000waeerwr5z5" timestamp="1614825471"&gt;6016&lt;/key&gt;&lt;/foreign-keys&gt;&lt;ref-type name="Journal Article"&gt;17&lt;/ref-type&gt;&lt;contributors&gt;&lt;authors&gt;&lt;author&gt;Pech, R.P.&lt;/author&gt;&lt;author&gt;Hood, G.M. &lt;/author&gt;&lt;/authors&gt;&lt;/contributors&gt;&lt;titles&gt;&lt;title&gt;Foxes, rabbits, alternative prey and rabbit calicivirus disease: consequences of a new biological control agent for an outbreaking species in Australia&lt;/title&gt;&lt;secondary-title&gt;Journal of Applied Ecology&lt;/secondary-title&gt;&lt;/titles&gt;&lt;periodical&gt;&lt;full-title&gt;Journal of Applied Ecology&lt;/full-title&gt;&lt;/periodical&gt;&lt;pages&gt;434-453&lt;/pages&gt;&lt;volume&gt;35&lt;/volume&gt;&lt;dates&gt;&lt;year&gt;1998&lt;/year&gt;&lt;/dates&gt;&lt;urls&gt;&lt;/urls&gt;&lt;/record&gt;&lt;/Cite&gt;&lt;/EndNote&gt;</w:instrText>
      </w:r>
      <w:r>
        <w:fldChar w:fldCharType="separate"/>
      </w:r>
      <w:r>
        <w:rPr>
          <w:noProof/>
        </w:rPr>
        <w:t>(Pech and Hood 1998)</w:t>
      </w:r>
      <w:r>
        <w:fldChar w:fldCharType="end"/>
      </w:r>
      <w:r>
        <w:t xml:space="preserve">. However, a recent assessment (using a similar dataset to that we use here) of the diet of Australian foxes found that although the frequency of occurrence of rabbits in fox diet has declined over time, and the frequency of occurrence of some native mammal groups has correspondingly increased, there has been no significant change in the frequency of occurrence of birds </w:t>
      </w:r>
      <w:r w:rsidR="009C511C">
        <w:t xml:space="preserve">in fox dietary samples </w:t>
      </w:r>
      <w:r>
        <w:t xml:space="preserve">over this period </w:t>
      </w:r>
      <w:r>
        <w:fldChar w:fldCharType="begin"/>
      </w:r>
      <w:r>
        <w:instrText xml:space="preserve"> ADDIN EN.CITE &lt;EndNote&gt;&lt;Cite&gt;&lt;Author&gt;Fleming&lt;/Author&gt;&lt;Year&gt;in press&lt;/Year&gt;&lt;RecNum&gt;5988&lt;/RecNum&gt;&lt;DisplayText&gt;(Fleming&lt;style face="italic"&gt; et al.&lt;/style&gt; in press)&lt;/DisplayText&gt;&lt;record&gt;&lt;rec-number&gt;5988&lt;/rec-number&gt;&lt;foreign-keys&gt;&lt;key app="EN" db-id="vx2v0p9du0a0fqesasxpe5d000waeerwr5z5" timestamp="1609887893"&gt;5988&lt;/key&gt;&lt;/foreign-keys&gt;&lt;ref-type name="Journal Article"&gt;17&lt;/ref-type&gt;&lt;contributors&gt;&lt;authors&gt;&lt;author&gt;Fleming, P.A.&lt;/author&gt;&lt;author&gt;Crawford, H.M.&lt;/author&gt;&lt;author&gt;Stobo-Wilson, A.M.&lt;/author&gt;&lt;author&gt;Dundas, S.J.&lt;/author&gt;&lt;author&gt;Dawson, S.J.&lt;/author&gt;&lt;author&gt;Stuart, J.-M.D.&lt;/author&gt;&lt;author&gt;O&amp;apos;Connor, J.&lt;/author&gt;&lt;author&gt;Speed, J.&lt;/author&gt;&lt;author&gt;Gentle, M.&lt;/author&gt;&lt;author&gt;Riley, J.&lt;/author&gt;&lt;author&gt;Turpin, J.M.&lt;/author&gt;&lt;author&gt;Thompson, E.&lt;/author&gt;&lt;author&gt;Ritchie, E.G.&lt;/author&gt;&lt;author&gt;Palmer, R.&lt;/author&gt;&lt;author&gt;Newsome, T.M.&lt;/author&gt;&lt;author&gt;Dickman, C.R.&lt;/author&gt;&lt;author&gt;Saunders, G.&lt;/author&gt;&lt;author&gt;Woinarski, J.C.Z.&lt;/author&gt;&lt;/authors&gt;&lt;/contributors&gt;&lt;titles&gt;&lt;title&gt;&lt;style face="normal" font="default" size="100%"&gt;The diet of the introduced red fox &lt;/style&gt;&lt;style face="italic" font="default" size="100%"&gt;Vulpes vulpes&lt;/style&gt;&lt;style face="normal" font="default" size="100%"&gt; in Australia: analysis of temporal and spatial patterns&lt;/style&gt;&lt;/title&gt;&lt;secondary-title&gt;Mammal Revew&lt;/secondary-title&gt;&lt;/titles&gt;&lt;periodical&gt;&lt;full-title&gt;Mammal Revew&lt;/full-title&gt;&lt;/periodical&gt;&lt;dates&gt;&lt;year&gt;in press&lt;/year&gt;&lt;/dates&gt;&lt;urls&gt;&lt;/urls&gt;&lt;/record&gt;&lt;/Cite&gt;&lt;/EndNote&gt;</w:instrText>
      </w:r>
      <w:r>
        <w:fldChar w:fldCharType="separate"/>
      </w:r>
      <w:r>
        <w:rPr>
          <w:noProof/>
        </w:rPr>
        <w:t>(Fleming</w:t>
      </w:r>
      <w:r w:rsidRPr="00296716">
        <w:rPr>
          <w:i/>
          <w:noProof/>
        </w:rPr>
        <w:t xml:space="preserve"> et al.</w:t>
      </w:r>
      <w:r>
        <w:rPr>
          <w:noProof/>
        </w:rPr>
        <w:t xml:space="preserve"> in press)</w:t>
      </w:r>
      <w:r>
        <w:fldChar w:fldCharType="end"/>
      </w:r>
      <w:r w:rsidR="009C511C">
        <w:t>.</w:t>
      </w:r>
    </w:p>
    <w:p w14:paraId="6894ADA8" w14:textId="4FCBED75" w:rsidR="00296716" w:rsidRDefault="00296716"/>
    <w:p w14:paraId="5D618CA6" w14:textId="025DB2C5" w:rsidR="00296716" w:rsidRDefault="00296716"/>
    <w:p w14:paraId="5F9FE9B6" w14:textId="7DA1FC08" w:rsidR="00296716" w:rsidRPr="00296716" w:rsidRDefault="00296716">
      <w:pPr>
        <w:rPr>
          <w:b/>
          <w:bCs/>
        </w:rPr>
      </w:pPr>
      <w:r>
        <w:rPr>
          <w:b/>
          <w:bCs/>
        </w:rPr>
        <w:t>References</w:t>
      </w:r>
    </w:p>
    <w:p w14:paraId="67ACD6C8" w14:textId="77777777" w:rsidR="00296716" w:rsidRDefault="00296716"/>
    <w:p w14:paraId="70126A85" w14:textId="77777777" w:rsidR="00296716" w:rsidRPr="00296716" w:rsidRDefault="00296716" w:rsidP="00296716">
      <w:pPr>
        <w:pStyle w:val="EndNoteBibliography"/>
        <w:ind w:left="720" w:hanging="720"/>
      </w:pPr>
      <w:r>
        <w:fldChar w:fldCharType="begin"/>
      </w:r>
      <w:r>
        <w:instrText xml:space="preserve"> ADDIN EN.REFLIST </w:instrText>
      </w:r>
      <w:r>
        <w:fldChar w:fldCharType="separate"/>
      </w:r>
      <w:r w:rsidRPr="00296716">
        <w:t xml:space="preserve">Dennis SM (1969) Predators and perinatal mortality of lambs in Western Australia. </w:t>
      </w:r>
      <w:r w:rsidRPr="00296716">
        <w:rPr>
          <w:i/>
        </w:rPr>
        <w:t xml:space="preserve">Australian Veterinary Journal </w:t>
      </w:r>
      <w:r w:rsidRPr="00296716">
        <w:rPr>
          <w:b/>
        </w:rPr>
        <w:t>45</w:t>
      </w:r>
      <w:r w:rsidRPr="00296716">
        <w:t>, 6-9.</w:t>
      </w:r>
    </w:p>
    <w:p w14:paraId="273F9B65" w14:textId="77777777" w:rsidR="00296716" w:rsidRPr="00296716" w:rsidRDefault="00296716" w:rsidP="00296716">
      <w:pPr>
        <w:pStyle w:val="EndNoteBibliography"/>
        <w:ind w:left="720" w:hanging="720"/>
      </w:pPr>
      <w:r w:rsidRPr="00296716">
        <w:lastRenderedPageBreak/>
        <w:t xml:space="preserve">Fleming PA, Crawford HM, Stobo-Wilson AM, Dundas SJ, Dawson SJ, Stuart J-MD, O'Connor J, Speed J, Gentle M, Riley J, Turpin JM, Thompson E, Ritchie EG, Palmer R, Newsome TM, Dickman CR, Saunders G, Woinarski JCZ (in press) The diet of the introduced red fox </w:t>
      </w:r>
      <w:r w:rsidRPr="00296716">
        <w:rPr>
          <w:i/>
        </w:rPr>
        <w:t>Vulpes vulpes</w:t>
      </w:r>
      <w:r w:rsidRPr="00296716">
        <w:t xml:space="preserve"> in Australia: analysis of temporal and spatial patterns. </w:t>
      </w:r>
      <w:r w:rsidRPr="00296716">
        <w:rPr>
          <w:i/>
        </w:rPr>
        <w:t>Mammal Revew</w:t>
      </w:r>
      <w:r w:rsidRPr="00296716">
        <w:t>.</w:t>
      </w:r>
    </w:p>
    <w:p w14:paraId="16B9D7B4" w14:textId="77777777" w:rsidR="00296716" w:rsidRPr="00296716" w:rsidRDefault="00296716" w:rsidP="00296716">
      <w:pPr>
        <w:pStyle w:val="EndNoteBibliography"/>
        <w:ind w:left="720" w:hanging="720"/>
      </w:pPr>
      <w:r w:rsidRPr="00296716">
        <w:t xml:space="preserve">Moore RW, McDonald IM, Messenger JJ (1966) Fox predation as a cause of lamb mortality. </w:t>
      </w:r>
      <w:r w:rsidRPr="00296716">
        <w:rPr>
          <w:i/>
        </w:rPr>
        <w:t xml:space="preserve">Proceedings of the Australian Society of Animal Production </w:t>
      </w:r>
      <w:r w:rsidRPr="00296716">
        <w:rPr>
          <w:b/>
        </w:rPr>
        <w:t>6</w:t>
      </w:r>
      <w:r w:rsidRPr="00296716">
        <w:t>, 157-160.</w:t>
      </w:r>
    </w:p>
    <w:p w14:paraId="392D8CE8" w14:textId="77777777" w:rsidR="00296716" w:rsidRPr="00296716" w:rsidRDefault="00296716" w:rsidP="00296716">
      <w:pPr>
        <w:pStyle w:val="EndNoteBibliography"/>
        <w:ind w:left="720" w:hanging="720"/>
      </w:pPr>
      <w:r w:rsidRPr="00296716">
        <w:t xml:space="preserve">Pech RP, Hood GM (1998) Foxes, rabbits, alternative prey and rabbit calicivirus disease: consequences of a new biological control agent for an outbreaking species in Australia. </w:t>
      </w:r>
      <w:r w:rsidRPr="00296716">
        <w:rPr>
          <w:i/>
        </w:rPr>
        <w:t xml:space="preserve">Journal of Applied Ecology </w:t>
      </w:r>
      <w:r w:rsidRPr="00296716">
        <w:rPr>
          <w:b/>
        </w:rPr>
        <w:t>35</w:t>
      </w:r>
      <w:r w:rsidRPr="00296716">
        <w:t>, 434-453.</w:t>
      </w:r>
    </w:p>
    <w:p w14:paraId="02C90D47" w14:textId="77777777" w:rsidR="00296716" w:rsidRPr="00296716" w:rsidRDefault="00296716" w:rsidP="00296716">
      <w:pPr>
        <w:pStyle w:val="EndNoteBibliography"/>
        <w:ind w:left="720" w:hanging="720"/>
      </w:pPr>
      <w:r w:rsidRPr="00296716">
        <w:t xml:space="preserve">Rowley I (1970) Lamb predation in Australia: incidence, predisposing conditions, and the identification of wounds. </w:t>
      </w:r>
      <w:r w:rsidRPr="00296716">
        <w:rPr>
          <w:i/>
        </w:rPr>
        <w:t xml:space="preserve">CSIRO Wildlife Research </w:t>
      </w:r>
      <w:r w:rsidRPr="00296716">
        <w:rPr>
          <w:b/>
        </w:rPr>
        <w:t>15</w:t>
      </w:r>
      <w:r w:rsidRPr="00296716">
        <w:t>, 79-123.</w:t>
      </w:r>
    </w:p>
    <w:p w14:paraId="79A12B52" w14:textId="77777777" w:rsidR="00296716" w:rsidRPr="00296716" w:rsidRDefault="00296716" w:rsidP="00296716">
      <w:pPr>
        <w:pStyle w:val="EndNoteBibliography"/>
        <w:ind w:left="720" w:hanging="720"/>
      </w:pPr>
      <w:r w:rsidRPr="00296716">
        <w:t xml:space="preserve">Turner AJ (1964) A survey of neo-natal lamb losses in a Western District sheep flock. </w:t>
      </w:r>
      <w:r w:rsidRPr="00296716">
        <w:rPr>
          <w:i/>
        </w:rPr>
        <w:t xml:space="preserve">Victorian Veterinary Proceedings </w:t>
      </w:r>
      <w:r w:rsidRPr="00296716">
        <w:rPr>
          <w:b/>
        </w:rPr>
        <w:t>23</w:t>
      </w:r>
      <w:r w:rsidRPr="00296716">
        <w:t>, 439-444.</w:t>
      </w:r>
    </w:p>
    <w:p w14:paraId="3462AA2A" w14:textId="2690BAC9" w:rsidR="00296716" w:rsidRDefault="00296716">
      <w:r>
        <w:fldChar w:fldCharType="end"/>
      </w:r>
    </w:p>
    <w:sectPr w:rsidR="0029671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cdu-csiro&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x2v0p9du0a0fqesasxpe5d000waeerwr5z5&quot;&gt;My EndNote Library-Converted&lt;record-ids&gt;&lt;item&gt;5802&lt;/item&gt;&lt;item&gt;5804&lt;/item&gt;&lt;item&gt;5807&lt;/item&gt;&lt;item&gt;5929&lt;/item&gt;&lt;item&gt;5988&lt;/item&gt;&lt;item&gt;6016&lt;/item&gt;&lt;/record-ids&gt;&lt;/item&gt;&lt;/Libraries&gt;"/>
  </w:docVars>
  <w:rsids>
    <w:rsidRoot w:val="00296716"/>
    <w:rsid w:val="00080334"/>
    <w:rsid w:val="00296716"/>
    <w:rsid w:val="00423D67"/>
    <w:rsid w:val="0058479F"/>
    <w:rsid w:val="0072191F"/>
    <w:rsid w:val="00802A38"/>
    <w:rsid w:val="00821D1B"/>
    <w:rsid w:val="009C511C"/>
    <w:rsid w:val="00A95BEF"/>
    <w:rsid w:val="00B73E46"/>
    <w:rsid w:val="00BA365A"/>
    <w:rsid w:val="00C51092"/>
    <w:rsid w:val="00E606E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29B56"/>
  <w15:chartTrackingRefBased/>
  <w15:docId w15:val="{D048353C-92F7-4973-83C2-B111B5022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29671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96716"/>
    <w:rPr>
      <w:rFonts w:ascii="Calibri" w:hAnsi="Calibri" w:cs="Calibri"/>
      <w:noProof/>
      <w:lang w:val="en-US"/>
    </w:rPr>
  </w:style>
  <w:style w:type="paragraph" w:customStyle="1" w:styleId="EndNoteBibliography">
    <w:name w:val="EndNote Bibliography"/>
    <w:basedOn w:val="Normal"/>
    <w:link w:val="EndNoteBibliographyChar"/>
    <w:rsid w:val="00296716"/>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296716"/>
    <w:rPr>
      <w:rFonts w:ascii="Calibri" w:hAnsi="Calibri" w:cs="Calibri"/>
      <w:noProof/>
      <w:lang w:val="en-US"/>
    </w:rPr>
  </w:style>
  <w:style w:type="paragraph" w:styleId="BalloonText">
    <w:name w:val="Balloon Text"/>
    <w:basedOn w:val="Normal"/>
    <w:link w:val="BalloonTextChar"/>
    <w:uiPriority w:val="99"/>
    <w:semiHidden/>
    <w:unhideWhenUsed/>
    <w:rsid w:val="0072191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191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oleObject" Target="https://csiroau-my.sharepoint.com/personal/sto286_csiro_au/Documents/Documents/NESP-CDU/Bird%20traits%20manuscript/cat_fox_diet_samples_date.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871597256156021"/>
          <c:y val="5.0573389864728445E-2"/>
          <c:w val="0.77496697287839023"/>
          <c:h val="0.80324911309163283"/>
        </c:manualLayout>
      </c:layout>
      <c:scatterChart>
        <c:scatterStyle val="lineMarker"/>
        <c:varyColors val="0"/>
        <c:ser>
          <c:idx val="1"/>
          <c:order val="0"/>
          <c:tx>
            <c:strRef>
              <c:f>'both compared'!$C$1</c:f>
              <c:strCache>
                <c:ptCount val="1"/>
                <c:pt idx="0">
                  <c:v>Fox</c:v>
                </c:pt>
              </c:strCache>
            </c:strRef>
          </c:tx>
          <c:spPr>
            <a:ln w="19050" cap="rnd">
              <a:solidFill>
                <a:schemeClr val="tx1"/>
              </a:solidFill>
              <a:round/>
            </a:ln>
            <a:effectLst/>
          </c:spPr>
          <c:marker>
            <c:symbol val="none"/>
          </c:marker>
          <c:xVal>
            <c:numRef>
              <c:f>'both compared'!$A$2:$A$62</c:f>
              <c:numCache>
                <c:formatCode>0</c:formatCode>
                <c:ptCount val="61"/>
                <c:pt idx="0">
                  <c:v>1960</c:v>
                </c:pt>
                <c:pt idx="1">
                  <c:v>1961</c:v>
                </c:pt>
                <c:pt idx="2">
                  <c:v>1962</c:v>
                </c:pt>
                <c:pt idx="3">
                  <c:v>1963</c:v>
                </c:pt>
                <c:pt idx="4">
                  <c:v>1964</c:v>
                </c:pt>
                <c:pt idx="5">
                  <c:v>1965</c:v>
                </c:pt>
                <c:pt idx="6">
                  <c:v>1966</c:v>
                </c:pt>
                <c:pt idx="7">
                  <c:v>1967</c:v>
                </c:pt>
                <c:pt idx="8">
                  <c:v>1968</c:v>
                </c:pt>
                <c:pt idx="9">
                  <c:v>1969</c:v>
                </c:pt>
                <c:pt idx="10">
                  <c:v>1970</c:v>
                </c:pt>
                <c:pt idx="11">
                  <c:v>1971</c:v>
                </c:pt>
                <c:pt idx="12">
                  <c:v>1972</c:v>
                </c:pt>
                <c:pt idx="13">
                  <c:v>1973</c:v>
                </c:pt>
                <c:pt idx="14">
                  <c:v>1974</c:v>
                </c:pt>
                <c:pt idx="15">
                  <c:v>1975</c:v>
                </c:pt>
                <c:pt idx="16">
                  <c:v>1976</c:v>
                </c:pt>
                <c:pt idx="17">
                  <c:v>1977</c:v>
                </c:pt>
                <c:pt idx="18">
                  <c:v>1978</c:v>
                </c:pt>
                <c:pt idx="19">
                  <c:v>1979</c:v>
                </c:pt>
                <c:pt idx="20">
                  <c:v>1980</c:v>
                </c:pt>
                <c:pt idx="21">
                  <c:v>1981</c:v>
                </c:pt>
                <c:pt idx="22">
                  <c:v>1982</c:v>
                </c:pt>
                <c:pt idx="23">
                  <c:v>1983</c:v>
                </c:pt>
                <c:pt idx="24">
                  <c:v>1984</c:v>
                </c:pt>
                <c:pt idx="25">
                  <c:v>1985</c:v>
                </c:pt>
                <c:pt idx="26">
                  <c:v>1986</c:v>
                </c:pt>
                <c:pt idx="27">
                  <c:v>1987</c:v>
                </c:pt>
                <c:pt idx="28">
                  <c:v>1988</c:v>
                </c:pt>
                <c:pt idx="29">
                  <c:v>1989</c:v>
                </c:pt>
                <c:pt idx="30">
                  <c:v>1990</c:v>
                </c:pt>
                <c:pt idx="31">
                  <c:v>1991</c:v>
                </c:pt>
                <c:pt idx="32">
                  <c:v>1992</c:v>
                </c:pt>
                <c:pt idx="33">
                  <c:v>1993</c:v>
                </c:pt>
                <c:pt idx="34">
                  <c:v>1994</c:v>
                </c:pt>
                <c:pt idx="35">
                  <c:v>1995</c:v>
                </c:pt>
                <c:pt idx="36">
                  <c:v>1996</c:v>
                </c:pt>
                <c:pt idx="37">
                  <c:v>1997</c:v>
                </c:pt>
                <c:pt idx="38">
                  <c:v>1998</c:v>
                </c:pt>
                <c:pt idx="39">
                  <c:v>1999</c:v>
                </c:pt>
                <c:pt idx="40">
                  <c:v>2000</c:v>
                </c:pt>
                <c:pt idx="41">
                  <c:v>2001</c:v>
                </c:pt>
                <c:pt idx="42">
                  <c:v>2002</c:v>
                </c:pt>
                <c:pt idx="43">
                  <c:v>2003</c:v>
                </c:pt>
                <c:pt idx="44">
                  <c:v>2004</c:v>
                </c:pt>
                <c:pt idx="45">
                  <c:v>2005</c:v>
                </c:pt>
                <c:pt idx="46">
                  <c:v>2006</c:v>
                </c:pt>
                <c:pt idx="47">
                  <c:v>2007</c:v>
                </c:pt>
                <c:pt idx="48">
                  <c:v>2008</c:v>
                </c:pt>
                <c:pt idx="49">
                  <c:v>2009</c:v>
                </c:pt>
                <c:pt idx="50">
                  <c:v>2010</c:v>
                </c:pt>
                <c:pt idx="51">
                  <c:v>2011</c:v>
                </c:pt>
                <c:pt idx="52">
                  <c:v>2012</c:v>
                </c:pt>
                <c:pt idx="53">
                  <c:v>2013</c:v>
                </c:pt>
                <c:pt idx="54">
                  <c:v>2014</c:v>
                </c:pt>
                <c:pt idx="55">
                  <c:v>2015</c:v>
                </c:pt>
                <c:pt idx="56">
                  <c:v>2016</c:v>
                </c:pt>
                <c:pt idx="57">
                  <c:v>2017</c:v>
                </c:pt>
                <c:pt idx="58">
                  <c:v>2018</c:v>
                </c:pt>
                <c:pt idx="59">
                  <c:v>2019</c:v>
                </c:pt>
                <c:pt idx="60">
                  <c:v>2020</c:v>
                </c:pt>
              </c:numCache>
            </c:numRef>
          </c:xVal>
          <c:yVal>
            <c:numRef>
              <c:f>'both compared'!$C$2:$C$62</c:f>
              <c:numCache>
                <c:formatCode>0.0</c:formatCode>
                <c:ptCount val="61"/>
                <c:pt idx="0">
                  <c:v>0</c:v>
                </c:pt>
                <c:pt idx="1">
                  <c:v>0</c:v>
                </c:pt>
                <c:pt idx="2">
                  <c:v>0.81278098092504636</c:v>
                </c:pt>
                <c:pt idx="3">
                  <c:v>0.81278098092504636</c:v>
                </c:pt>
                <c:pt idx="4">
                  <c:v>0.81278098092504636</c:v>
                </c:pt>
                <c:pt idx="5">
                  <c:v>0.81278098092504636</c:v>
                </c:pt>
                <c:pt idx="6">
                  <c:v>0.81278098092504636</c:v>
                </c:pt>
                <c:pt idx="7">
                  <c:v>0.81278098092504636</c:v>
                </c:pt>
                <c:pt idx="8">
                  <c:v>0.81278098092504636</c:v>
                </c:pt>
                <c:pt idx="9">
                  <c:v>0.81278098092504636</c:v>
                </c:pt>
                <c:pt idx="10">
                  <c:v>0.81278098092504636</c:v>
                </c:pt>
                <c:pt idx="11">
                  <c:v>1.8566965533006528</c:v>
                </c:pt>
                <c:pt idx="12">
                  <c:v>1.8566965533006528</c:v>
                </c:pt>
                <c:pt idx="13">
                  <c:v>4.3026593177719645</c:v>
                </c:pt>
                <c:pt idx="14">
                  <c:v>4.5541134337456501</c:v>
                </c:pt>
                <c:pt idx="15">
                  <c:v>9.3495212212034247</c:v>
                </c:pt>
                <c:pt idx="16">
                  <c:v>9.3495212212034247</c:v>
                </c:pt>
                <c:pt idx="17">
                  <c:v>9.3495212212034247</c:v>
                </c:pt>
                <c:pt idx="18">
                  <c:v>11.483071296131671</c:v>
                </c:pt>
                <c:pt idx="19">
                  <c:v>11.483071296131671</c:v>
                </c:pt>
                <c:pt idx="20">
                  <c:v>11.483071296131671</c:v>
                </c:pt>
                <c:pt idx="21">
                  <c:v>14.426862411419572</c:v>
                </c:pt>
                <c:pt idx="22">
                  <c:v>16.207360747758504</c:v>
                </c:pt>
                <c:pt idx="23">
                  <c:v>16.207360747758504</c:v>
                </c:pt>
                <c:pt idx="24">
                  <c:v>18.739681491453101</c:v>
                </c:pt>
                <c:pt idx="25">
                  <c:v>23.222676589367808</c:v>
                </c:pt>
                <c:pt idx="26">
                  <c:v>23.222676589367808</c:v>
                </c:pt>
                <c:pt idx="27">
                  <c:v>23.28871504406797</c:v>
                </c:pt>
                <c:pt idx="28">
                  <c:v>25.556881968961925</c:v>
                </c:pt>
                <c:pt idx="29">
                  <c:v>25.556881968961925</c:v>
                </c:pt>
                <c:pt idx="30">
                  <c:v>27.11386553554647</c:v>
                </c:pt>
                <c:pt idx="31">
                  <c:v>27.665032638236266</c:v>
                </c:pt>
                <c:pt idx="32">
                  <c:v>30.71296131670519</c:v>
                </c:pt>
                <c:pt idx="33">
                  <c:v>31.27174824109116</c:v>
                </c:pt>
                <c:pt idx="34">
                  <c:v>31.90419344187346</c:v>
                </c:pt>
                <c:pt idx="35">
                  <c:v>36.140814304945266</c:v>
                </c:pt>
                <c:pt idx="36">
                  <c:v>42.170633207182952</c:v>
                </c:pt>
                <c:pt idx="37">
                  <c:v>42.170633207182952</c:v>
                </c:pt>
                <c:pt idx="38">
                  <c:v>44.111147799141499</c:v>
                </c:pt>
                <c:pt idx="39">
                  <c:v>45.188082598867183</c:v>
                </c:pt>
                <c:pt idx="40">
                  <c:v>47.697543877473265</c:v>
                </c:pt>
                <c:pt idx="41">
                  <c:v>48.134413654720483</c:v>
                </c:pt>
                <c:pt idx="42">
                  <c:v>48.652561530060197</c:v>
                </c:pt>
                <c:pt idx="43">
                  <c:v>48.891315943206926</c:v>
                </c:pt>
                <c:pt idx="44">
                  <c:v>50.184145690990832</c:v>
                </c:pt>
                <c:pt idx="45">
                  <c:v>50.819130832338523</c:v>
                </c:pt>
                <c:pt idx="46">
                  <c:v>52.38627416118463</c:v>
                </c:pt>
                <c:pt idx="47">
                  <c:v>52.431993091361662</c:v>
                </c:pt>
                <c:pt idx="48">
                  <c:v>55.561199867923094</c:v>
                </c:pt>
                <c:pt idx="49">
                  <c:v>55.561199867923094</c:v>
                </c:pt>
                <c:pt idx="50">
                  <c:v>58.482131518122479</c:v>
                </c:pt>
                <c:pt idx="51">
                  <c:v>60.016255619618498</c:v>
                </c:pt>
                <c:pt idx="52">
                  <c:v>60.161032231845773</c:v>
                </c:pt>
                <c:pt idx="53">
                  <c:v>60.161032231845773</c:v>
                </c:pt>
                <c:pt idx="54">
                  <c:v>60.496304386477355</c:v>
                </c:pt>
                <c:pt idx="55">
                  <c:v>89.581163800767058</c:v>
                </c:pt>
                <c:pt idx="56">
                  <c:v>90.175509893068508</c:v>
                </c:pt>
                <c:pt idx="57">
                  <c:v>92.751009626374739</c:v>
                </c:pt>
                <c:pt idx="58">
                  <c:v>93.393614589418604</c:v>
                </c:pt>
                <c:pt idx="59">
                  <c:v>96.380584694318159</c:v>
                </c:pt>
                <c:pt idx="60">
                  <c:v>100</c:v>
                </c:pt>
              </c:numCache>
            </c:numRef>
          </c:yVal>
          <c:smooth val="0"/>
          <c:extLst>
            <c:ext xmlns:c16="http://schemas.microsoft.com/office/drawing/2014/chart" uri="{C3380CC4-5D6E-409C-BE32-E72D297353CC}">
              <c16:uniqueId val="{00000000-C383-4E37-ABE9-D65ACF43D340}"/>
            </c:ext>
          </c:extLst>
        </c:ser>
        <c:ser>
          <c:idx val="0"/>
          <c:order val="1"/>
          <c:tx>
            <c:strRef>
              <c:f>'both compared'!$B$1</c:f>
              <c:strCache>
                <c:ptCount val="1"/>
                <c:pt idx="0">
                  <c:v>Cat</c:v>
                </c:pt>
              </c:strCache>
            </c:strRef>
          </c:tx>
          <c:spPr>
            <a:ln w="19050" cap="rnd">
              <a:solidFill>
                <a:schemeClr val="bg1">
                  <a:lumMod val="50000"/>
                </a:schemeClr>
              </a:solidFill>
              <a:round/>
            </a:ln>
            <a:effectLst/>
          </c:spPr>
          <c:marker>
            <c:symbol val="none"/>
          </c:marker>
          <c:xVal>
            <c:numRef>
              <c:f>'both compared'!$A$2:$A$62</c:f>
              <c:numCache>
                <c:formatCode>0</c:formatCode>
                <c:ptCount val="61"/>
                <c:pt idx="0">
                  <c:v>1960</c:v>
                </c:pt>
                <c:pt idx="1">
                  <c:v>1961</c:v>
                </c:pt>
                <c:pt idx="2">
                  <c:v>1962</c:v>
                </c:pt>
                <c:pt idx="3">
                  <c:v>1963</c:v>
                </c:pt>
                <c:pt idx="4">
                  <c:v>1964</c:v>
                </c:pt>
                <c:pt idx="5">
                  <c:v>1965</c:v>
                </c:pt>
                <c:pt idx="6">
                  <c:v>1966</c:v>
                </c:pt>
                <c:pt idx="7">
                  <c:v>1967</c:v>
                </c:pt>
                <c:pt idx="8">
                  <c:v>1968</c:v>
                </c:pt>
                <c:pt idx="9">
                  <c:v>1969</c:v>
                </c:pt>
                <c:pt idx="10">
                  <c:v>1970</c:v>
                </c:pt>
                <c:pt idx="11">
                  <c:v>1971</c:v>
                </c:pt>
                <c:pt idx="12">
                  <c:v>1972</c:v>
                </c:pt>
                <c:pt idx="13">
                  <c:v>1973</c:v>
                </c:pt>
                <c:pt idx="14">
                  <c:v>1974</c:v>
                </c:pt>
                <c:pt idx="15">
                  <c:v>1975</c:v>
                </c:pt>
                <c:pt idx="16">
                  <c:v>1976</c:v>
                </c:pt>
                <c:pt idx="17">
                  <c:v>1977</c:v>
                </c:pt>
                <c:pt idx="18">
                  <c:v>1978</c:v>
                </c:pt>
                <c:pt idx="19">
                  <c:v>1979</c:v>
                </c:pt>
                <c:pt idx="20">
                  <c:v>1980</c:v>
                </c:pt>
                <c:pt idx="21">
                  <c:v>1981</c:v>
                </c:pt>
                <c:pt idx="22">
                  <c:v>1982</c:v>
                </c:pt>
                <c:pt idx="23">
                  <c:v>1983</c:v>
                </c:pt>
                <c:pt idx="24">
                  <c:v>1984</c:v>
                </c:pt>
                <c:pt idx="25">
                  <c:v>1985</c:v>
                </c:pt>
                <c:pt idx="26">
                  <c:v>1986</c:v>
                </c:pt>
                <c:pt idx="27">
                  <c:v>1987</c:v>
                </c:pt>
                <c:pt idx="28">
                  <c:v>1988</c:v>
                </c:pt>
                <c:pt idx="29">
                  <c:v>1989</c:v>
                </c:pt>
                <c:pt idx="30">
                  <c:v>1990</c:v>
                </c:pt>
                <c:pt idx="31">
                  <c:v>1991</c:v>
                </c:pt>
                <c:pt idx="32">
                  <c:v>1992</c:v>
                </c:pt>
                <c:pt idx="33">
                  <c:v>1993</c:v>
                </c:pt>
                <c:pt idx="34">
                  <c:v>1994</c:v>
                </c:pt>
                <c:pt idx="35">
                  <c:v>1995</c:v>
                </c:pt>
                <c:pt idx="36">
                  <c:v>1996</c:v>
                </c:pt>
                <c:pt idx="37">
                  <c:v>1997</c:v>
                </c:pt>
                <c:pt idx="38">
                  <c:v>1998</c:v>
                </c:pt>
                <c:pt idx="39">
                  <c:v>1999</c:v>
                </c:pt>
                <c:pt idx="40">
                  <c:v>2000</c:v>
                </c:pt>
                <c:pt idx="41">
                  <c:v>2001</c:v>
                </c:pt>
                <c:pt idx="42">
                  <c:v>2002</c:v>
                </c:pt>
                <c:pt idx="43">
                  <c:v>2003</c:v>
                </c:pt>
                <c:pt idx="44">
                  <c:v>2004</c:v>
                </c:pt>
                <c:pt idx="45">
                  <c:v>2005</c:v>
                </c:pt>
                <c:pt idx="46">
                  <c:v>2006</c:v>
                </c:pt>
                <c:pt idx="47">
                  <c:v>2007</c:v>
                </c:pt>
                <c:pt idx="48">
                  <c:v>2008</c:v>
                </c:pt>
                <c:pt idx="49">
                  <c:v>2009</c:v>
                </c:pt>
                <c:pt idx="50">
                  <c:v>2010</c:v>
                </c:pt>
                <c:pt idx="51">
                  <c:v>2011</c:v>
                </c:pt>
                <c:pt idx="52">
                  <c:v>2012</c:v>
                </c:pt>
                <c:pt idx="53">
                  <c:v>2013</c:v>
                </c:pt>
                <c:pt idx="54">
                  <c:v>2014</c:v>
                </c:pt>
                <c:pt idx="55">
                  <c:v>2015</c:v>
                </c:pt>
                <c:pt idx="56">
                  <c:v>2016</c:v>
                </c:pt>
                <c:pt idx="57">
                  <c:v>2017</c:v>
                </c:pt>
                <c:pt idx="58">
                  <c:v>2018</c:v>
                </c:pt>
                <c:pt idx="59">
                  <c:v>2019</c:v>
                </c:pt>
                <c:pt idx="60">
                  <c:v>2020</c:v>
                </c:pt>
              </c:numCache>
            </c:numRef>
          </c:xVal>
          <c:yVal>
            <c:numRef>
              <c:f>'both compared'!$B$2:$B$62</c:f>
              <c:numCache>
                <c:formatCode>0.0</c:formatCode>
                <c:ptCount val="61"/>
                <c:pt idx="0">
                  <c:v>0</c:v>
                </c:pt>
                <c:pt idx="1">
                  <c:v>0</c:v>
                </c:pt>
                <c:pt idx="2">
                  <c:v>0</c:v>
                </c:pt>
                <c:pt idx="3">
                  <c:v>0</c:v>
                </c:pt>
                <c:pt idx="4">
                  <c:v>0</c:v>
                </c:pt>
                <c:pt idx="5">
                  <c:v>0</c:v>
                </c:pt>
                <c:pt idx="6">
                  <c:v>0</c:v>
                </c:pt>
                <c:pt idx="7">
                  <c:v>0</c:v>
                </c:pt>
                <c:pt idx="8">
                  <c:v>0</c:v>
                </c:pt>
                <c:pt idx="9">
                  <c:v>0</c:v>
                </c:pt>
                <c:pt idx="10">
                  <c:v>0</c:v>
                </c:pt>
                <c:pt idx="11">
                  <c:v>0</c:v>
                </c:pt>
                <c:pt idx="12">
                  <c:v>1.2656976169287055</c:v>
                </c:pt>
                <c:pt idx="13">
                  <c:v>1.2656976169287055</c:v>
                </c:pt>
                <c:pt idx="14">
                  <c:v>1.2656976169287055</c:v>
                </c:pt>
                <c:pt idx="15">
                  <c:v>1.2656976169287055</c:v>
                </c:pt>
                <c:pt idx="16">
                  <c:v>1.4041332937802828</c:v>
                </c:pt>
                <c:pt idx="17">
                  <c:v>9.2850786116879256</c:v>
                </c:pt>
                <c:pt idx="18">
                  <c:v>9.4927321269652918</c:v>
                </c:pt>
                <c:pt idx="19">
                  <c:v>9.4927321269652918</c:v>
                </c:pt>
                <c:pt idx="20">
                  <c:v>9.7498269554039361</c:v>
                </c:pt>
                <c:pt idx="21">
                  <c:v>12.844853159299911</c:v>
                </c:pt>
                <c:pt idx="22">
                  <c:v>12.844853159299911</c:v>
                </c:pt>
                <c:pt idx="23">
                  <c:v>13.062394937209532</c:v>
                </c:pt>
                <c:pt idx="24">
                  <c:v>13.537031543557797</c:v>
                </c:pt>
                <c:pt idx="25">
                  <c:v>13.537031543557797</c:v>
                </c:pt>
                <c:pt idx="26">
                  <c:v>13.537031543557797</c:v>
                </c:pt>
                <c:pt idx="27">
                  <c:v>13.675467220409374</c:v>
                </c:pt>
                <c:pt idx="28">
                  <c:v>14.782952635221992</c:v>
                </c:pt>
                <c:pt idx="29">
                  <c:v>14.782952635221992</c:v>
                </c:pt>
                <c:pt idx="30">
                  <c:v>14.782952635221992</c:v>
                </c:pt>
                <c:pt idx="31">
                  <c:v>15.959655888460398</c:v>
                </c:pt>
                <c:pt idx="32">
                  <c:v>17.017699990111737</c:v>
                </c:pt>
                <c:pt idx="33">
                  <c:v>17.017699990111737</c:v>
                </c:pt>
                <c:pt idx="34">
                  <c:v>18.431721546524276</c:v>
                </c:pt>
                <c:pt idx="35">
                  <c:v>25.66992979333531</c:v>
                </c:pt>
                <c:pt idx="36">
                  <c:v>39.810145357460691</c:v>
                </c:pt>
                <c:pt idx="37">
                  <c:v>46.702264412142789</c:v>
                </c:pt>
                <c:pt idx="38">
                  <c:v>47.493325422723224</c:v>
                </c:pt>
                <c:pt idx="39">
                  <c:v>58.231978641352711</c:v>
                </c:pt>
                <c:pt idx="40">
                  <c:v>58.231978641352711</c:v>
                </c:pt>
                <c:pt idx="41">
                  <c:v>63.49253436171265</c:v>
                </c:pt>
                <c:pt idx="42">
                  <c:v>69.257391476317608</c:v>
                </c:pt>
                <c:pt idx="43">
                  <c:v>71.017502224859086</c:v>
                </c:pt>
                <c:pt idx="44">
                  <c:v>71.017502224859086</c:v>
                </c:pt>
                <c:pt idx="45">
                  <c:v>78.512805300108766</c:v>
                </c:pt>
                <c:pt idx="46">
                  <c:v>78.680905764857116</c:v>
                </c:pt>
                <c:pt idx="47">
                  <c:v>79.501631563334328</c:v>
                </c:pt>
                <c:pt idx="48">
                  <c:v>80.480569563927617</c:v>
                </c:pt>
                <c:pt idx="49">
                  <c:v>80.480569563927617</c:v>
                </c:pt>
                <c:pt idx="50">
                  <c:v>81.271630574508052</c:v>
                </c:pt>
                <c:pt idx="51">
                  <c:v>83.644813606249386</c:v>
                </c:pt>
                <c:pt idx="52">
                  <c:v>86.35419756748739</c:v>
                </c:pt>
                <c:pt idx="53">
                  <c:v>87.224364679125884</c:v>
                </c:pt>
                <c:pt idx="54">
                  <c:v>87.827548699693466</c:v>
                </c:pt>
                <c:pt idx="55">
                  <c:v>91.031345792544244</c:v>
                </c:pt>
                <c:pt idx="56">
                  <c:v>95.303075249678628</c:v>
                </c:pt>
                <c:pt idx="57">
                  <c:v>95.837041431820424</c:v>
                </c:pt>
                <c:pt idx="58">
                  <c:v>100</c:v>
                </c:pt>
                <c:pt idx="59">
                  <c:v>100</c:v>
                </c:pt>
                <c:pt idx="60">
                  <c:v>100</c:v>
                </c:pt>
              </c:numCache>
            </c:numRef>
          </c:yVal>
          <c:smooth val="0"/>
          <c:extLst>
            <c:ext xmlns:c16="http://schemas.microsoft.com/office/drawing/2014/chart" uri="{C3380CC4-5D6E-409C-BE32-E72D297353CC}">
              <c16:uniqueId val="{00000001-C383-4E37-ABE9-D65ACF43D340}"/>
            </c:ext>
          </c:extLst>
        </c:ser>
        <c:dLbls>
          <c:showLegendKey val="0"/>
          <c:showVal val="0"/>
          <c:showCatName val="0"/>
          <c:showSerName val="0"/>
          <c:showPercent val="0"/>
          <c:showBubbleSize val="0"/>
        </c:dLbls>
        <c:axId val="255103439"/>
        <c:axId val="55272079"/>
      </c:scatterChart>
      <c:valAx>
        <c:axId val="255103439"/>
        <c:scaling>
          <c:orientation val="minMax"/>
          <c:max val="2020"/>
          <c:min val="1960"/>
        </c:scaling>
        <c:delete val="0"/>
        <c:axPos val="b"/>
        <c:title>
          <c:tx>
            <c:rich>
              <a:bodyPr rot="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r>
                  <a:rPr lang="en-AU" sz="1200">
                    <a:solidFill>
                      <a:sysClr val="windowText" lastClr="000000"/>
                    </a:solidFill>
                  </a:rPr>
                  <a:t>Year of study</a:t>
                </a:r>
              </a:p>
            </c:rich>
          </c:tx>
          <c:layout>
            <c:manualLayout>
              <c:xMode val="edge"/>
              <c:yMode val="edge"/>
              <c:x val="0.44475385195860728"/>
              <c:y val="0.93042831184563468"/>
            </c:manualLayout>
          </c:layout>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en-US"/>
            </a:p>
          </c:txPr>
        </c:title>
        <c:numFmt formatCode="0" sourceLinked="1"/>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en-US"/>
          </a:p>
        </c:txPr>
        <c:crossAx val="55272079"/>
        <c:crosses val="autoZero"/>
        <c:crossBetween val="midCat"/>
        <c:majorUnit val="10"/>
      </c:valAx>
      <c:valAx>
        <c:axId val="55272079"/>
        <c:scaling>
          <c:orientation val="minMax"/>
          <c:max val="100"/>
        </c:scaling>
        <c:delete val="0"/>
        <c:axPos val="l"/>
        <c:title>
          <c:tx>
            <c:rich>
              <a:bodyPr rot="-540000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r>
                  <a:rPr lang="en-AU" sz="1200">
                    <a:solidFill>
                      <a:sysClr val="windowText" lastClr="000000"/>
                    </a:solidFill>
                  </a:rPr>
                  <a:t>Cumalative</a:t>
                </a:r>
                <a:r>
                  <a:rPr lang="en-AU" sz="1200" baseline="0">
                    <a:solidFill>
                      <a:sysClr val="windowText" lastClr="000000"/>
                    </a:solidFill>
                  </a:rPr>
                  <a:t> percentage of dietary samples (%)</a:t>
                </a:r>
                <a:endParaRPr lang="en-AU" sz="1200">
                  <a:solidFill>
                    <a:sysClr val="windowText" lastClr="000000"/>
                  </a:solidFill>
                </a:endParaRPr>
              </a:p>
            </c:rich>
          </c:tx>
          <c:layout>
            <c:manualLayout>
              <c:xMode val="edge"/>
              <c:yMode val="edge"/>
              <c:x val="1.2568735271013355E-2"/>
              <c:y val="7.4120554827730584E-2"/>
            </c:manualLayout>
          </c:layout>
          <c:overlay val="0"/>
          <c:spPr>
            <a:noFill/>
            <a:ln>
              <a:noFill/>
            </a:ln>
            <a:effectLst/>
          </c:spPr>
          <c:txPr>
            <a:bodyPr rot="-540000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en-US"/>
            </a:p>
          </c:txPr>
        </c:title>
        <c:numFmt formatCode="0" sourceLinked="0"/>
        <c:majorTickMark val="in"/>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en-US"/>
          </a:p>
        </c:txPr>
        <c:crossAx val="255103439"/>
        <c:crosses val="autoZero"/>
        <c:crossBetween val="midCat"/>
        <c:majorUnit val="20"/>
      </c:valAx>
      <c:spPr>
        <a:noFill/>
        <a:ln>
          <a:solidFill>
            <a:schemeClr val="tx1"/>
          </a:solidFill>
        </a:ln>
        <a:effectLst/>
      </c:spPr>
    </c:plotArea>
    <c:legend>
      <c:legendPos val="r"/>
      <c:layout>
        <c:manualLayout>
          <c:xMode val="edge"/>
          <c:yMode val="edge"/>
          <c:x val="0.20338867016622922"/>
          <c:y val="7.4652230971128636E-2"/>
          <c:w val="0.14780857420316568"/>
          <c:h val="0.150209108476825"/>
        </c:manualLayout>
      </c:layout>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761</Words>
  <Characters>4338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Zichy-Woinarski</dc:creator>
  <cp:keywords/>
  <dc:description/>
  <cp:lastModifiedBy>Stobo-Wilson, Alyson (L&amp;W, Darwin)</cp:lastModifiedBy>
  <cp:revision>10</cp:revision>
  <dcterms:created xsi:type="dcterms:W3CDTF">2021-03-05T06:04:00Z</dcterms:created>
  <dcterms:modified xsi:type="dcterms:W3CDTF">2021-03-08T00:13:00Z</dcterms:modified>
</cp:coreProperties>
</file>