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D08" w14:textId="470DE004" w:rsidR="00955BBA" w:rsidRPr="00A6389B" w:rsidRDefault="00A6389B">
      <w:pPr>
        <w:spacing w:line="480" w:lineRule="auto"/>
        <w:rPr>
          <w:rFonts w:ascii="Times New Roman" w:hAnsi="Times New Roman"/>
          <w:b/>
          <w:bCs/>
          <w:sz w:val="32"/>
          <w:szCs w:val="28"/>
        </w:rPr>
      </w:pPr>
      <w:r w:rsidRPr="00A6389B">
        <w:rPr>
          <w:rFonts w:ascii="Times New Roman" w:hAnsi="Times New Roman"/>
          <w:b/>
          <w:bCs/>
          <w:sz w:val="32"/>
          <w:szCs w:val="28"/>
        </w:rPr>
        <w:t xml:space="preserve">Supplementary </w:t>
      </w:r>
      <w:r>
        <w:rPr>
          <w:rFonts w:ascii="Times New Roman" w:hAnsi="Times New Roman"/>
          <w:b/>
          <w:bCs/>
          <w:sz w:val="32"/>
          <w:szCs w:val="28"/>
        </w:rPr>
        <w:t>M</w:t>
      </w:r>
      <w:r w:rsidRPr="00A6389B">
        <w:rPr>
          <w:rFonts w:ascii="Times New Roman" w:hAnsi="Times New Roman"/>
          <w:b/>
          <w:bCs/>
          <w:sz w:val="32"/>
          <w:szCs w:val="28"/>
        </w:rPr>
        <w:t>aterial</w:t>
      </w:r>
    </w:p>
    <w:p w14:paraId="52485E65" w14:textId="77777777" w:rsidR="00A6389B" w:rsidRDefault="00A6389B">
      <w:pPr>
        <w:spacing w:line="480" w:lineRule="auto"/>
        <w:rPr>
          <w:rFonts w:ascii="Times New Roman" w:hAnsi="Times New Roman"/>
          <w:b/>
          <w:bCs/>
        </w:rPr>
      </w:pPr>
    </w:p>
    <w:p w14:paraId="03C00AD8" w14:textId="209A15F0" w:rsidR="00955BBA" w:rsidRPr="00A6389B" w:rsidRDefault="00A6389B">
      <w:pPr>
        <w:spacing w:line="480" w:lineRule="auto"/>
        <w:rPr>
          <w:sz w:val="30"/>
          <w:szCs w:val="30"/>
        </w:rPr>
      </w:pPr>
      <w:r w:rsidRPr="00A6389B">
        <w:rPr>
          <w:rFonts w:ascii="Times New Roman" w:hAnsi="Times New Roman"/>
          <w:sz w:val="36"/>
          <w:szCs w:val="30"/>
        </w:rPr>
        <w:t>Current status of the Critically Endangered Black-winged Trumpeter (</w:t>
      </w:r>
      <w:r w:rsidRPr="00A6389B">
        <w:rPr>
          <w:rFonts w:ascii="Times New Roman" w:hAnsi="Times New Roman"/>
          <w:i/>
          <w:iCs/>
          <w:sz w:val="36"/>
          <w:szCs w:val="30"/>
        </w:rPr>
        <w:t>Psophia obscura</w:t>
      </w:r>
      <w:r w:rsidRPr="00A6389B">
        <w:rPr>
          <w:rFonts w:ascii="Times New Roman" w:hAnsi="Times New Roman"/>
          <w:sz w:val="36"/>
          <w:szCs w:val="30"/>
        </w:rPr>
        <w:t>) in one of its last strongholds</w:t>
      </w:r>
    </w:p>
    <w:p w14:paraId="796CB943" w14:textId="43C5BA98" w:rsidR="00955BBA" w:rsidRDefault="00A6389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ELILDO A.R. CARVALHO JR, ELOÍSA N. MENDONÇA, ALEXANDRE M. C. LOPES and TORBJØRN HAUGAASEN</w:t>
      </w:r>
    </w:p>
    <w:p w14:paraId="49865CC2" w14:textId="77777777" w:rsidR="00A6389B" w:rsidRDefault="00A6389B">
      <w:pPr>
        <w:spacing w:line="480" w:lineRule="auto"/>
        <w:rPr>
          <w:rFonts w:ascii="Times New Roman" w:hAnsi="Times New Roman"/>
        </w:rPr>
      </w:pPr>
    </w:p>
    <w:p w14:paraId="6F5D115C" w14:textId="3971458F" w:rsidR="00A6389B" w:rsidRPr="00A6389B" w:rsidRDefault="00A6389B">
      <w:pPr>
        <w:spacing w:line="480" w:lineRule="auto"/>
        <w:rPr>
          <w:rFonts w:ascii="Times New Roman" w:hAnsi="Times New Roman"/>
          <w:b/>
          <w:bCs/>
          <w:sz w:val="28"/>
          <w:szCs w:val="26"/>
        </w:rPr>
      </w:pPr>
      <w:r w:rsidRPr="00A6389B">
        <w:rPr>
          <w:rFonts w:ascii="Times New Roman" w:hAnsi="Times New Roman"/>
          <w:b/>
          <w:bCs/>
          <w:sz w:val="28"/>
          <w:szCs w:val="26"/>
        </w:rPr>
        <w:t>Contents</w:t>
      </w:r>
    </w:p>
    <w:p w14:paraId="7E1CDE31" w14:textId="6FA0C84D" w:rsidR="00955BBA" w:rsidRDefault="00A6389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S1. Summary </w:t>
      </w:r>
      <w:r>
        <w:rPr>
          <w:rFonts w:ascii="Times New Roman" w:hAnsi="Times New Roman"/>
        </w:rPr>
        <w:t xml:space="preserve">information about camera-trap sampling at Gurupi Biological Reserve. </w:t>
      </w:r>
    </w:p>
    <w:p w14:paraId="6A9BBA5B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Figure S1. Posterior distribution of beta coefficients repre</w:t>
      </w:r>
      <w:r>
        <w:rPr>
          <w:rFonts w:ascii="Times New Roman" w:hAnsi="Times New Roman"/>
        </w:rPr>
        <w:t>senting the effects of covariates on Black-winged Trumpeter occupancy probabilities.</w:t>
      </w:r>
    </w:p>
    <w:p w14:paraId="57C15D36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Figure S2. Mean an</w:t>
      </w:r>
      <w:r>
        <w:rPr>
          <w:rFonts w:ascii="Times New Roman" w:hAnsi="Times New Roman"/>
        </w:rPr>
        <w:t>d 95% posterior credible interval for between-year growth rate (λ) for Black-winged Trumpeter a</w:t>
      </w:r>
      <w:r>
        <w:rPr>
          <w:rFonts w:ascii="Times New Roman" w:hAnsi="Times New Roman"/>
        </w:rPr>
        <w:t>t Gurupi Biological Reserve, 2016-2020.</w:t>
      </w:r>
    </w:p>
    <w:p w14:paraId="1D397B4B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Figure S3. A cam</w:t>
      </w:r>
      <w:r>
        <w:rPr>
          <w:rFonts w:ascii="Times New Roman" w:hAnsi="Times New Roman"/>
        </w:rPr>
        <w:t xml:space="preserve">era-trap record of a </w:t>
      </w:r>
      <w:r>
        <w:rPr>
          <w:rFonts w:ascii="Times New Roman" w:hAnsi="Times New Roman"/>
          <w:i/>
          <w:iCs/>
        </w:rPr>
        <w:t>Psophia obscura</w:t>
      </w:r>
      <w:r>
        <w:rPr>
          <w:rFonts w:ascii="Times New Roman" w:hAnsi="Times New Roman"/>
        </w:rPr>
        <w:t xml:space="preserve"> group at Gurupi Biological Reserve.</w:t>
      </w:r>
      <w:r>
        <w:br w:type="page"/>
      </w:r>
    </w:p>
    <w:p w14:paraId="413BAE68" w14:textId="77777777" w:rsidR="00955BBA" w:rsidRDefault="00A6389B">
      <w:pPr>
        <w:spacing w:line="480" w:lineRule="auto"/>
      </w:pPr>
      <w:r>
        <w:rPr>
          <w:rFonts w:ascii="Times New Roman" w:hAnsi="Times New Roman"/>
        </w:rPr>
        <w:lastRenderedPageBreak/>
        <w:t>Table S1. Summary information about camera-trap sampling at Gurupi Biological Reserve. Mean effort is the mean number of days cameras were operational in a given year. Total effort i</w:t>
      </w:r>
      <w:r>
        <w:rPr>
          <w:rFonts w:ascii="Times New Roman" w:hAnsi="Times New Roman"/>
        </w:rPr>
        <w:t>s the sum of the effort in days of all individual cameras in a given year. Photos is the number of Black-winged Trumpeter photos obtained in a given year. Detection events is the number of independent (&gt;60 minute- interval) detections of Black-winged Trump</w:t>
      </w:r>
      <w:r>
        <w:rPr>
          <w:rFonts w:ascii="Times New Roman" w:hAnsi="Times New Roman"/>
        </w:rPr>
        <w:t>eter obtained in a given year.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7"/>
        <w:gridCol w:w="1608"/>
        <w:gridCol w:w="1604"/>
      </w:tblGrid>
      <w:tr w:rsidR="00955BBA" w14:paraId="0F9EC384" w14:textId="77777777"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 w14:paraId="299EB488" w14:textId="77777777" w:rsidR="00955BBA" w:rsidRDefault="00A6389B">
            <w:pPr>
              <w:pStyle w:val="TableContents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 w14:paraId="48809CB3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N. sites</w:t>
            </w:r>
          </w:p>
        </w:tc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 w14:paraId="090849F6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Mean effort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 w14:paraId="1E0A080F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Total effort</w:t>
            </w:r>
          </w:p>
        </w:tc>
        <w:tc>
          <w:tcPr>
            <w:tcW w:w="1608" w:type="dxa"/>
            <w:tcBorders>
              <w:top w:val="single" w:sz="6" w:space="0" w:color="000000"/>
              <w:bottom w:val="single" w:sz="6" w:space="0" w:color="000000"/>
            </w:tcBorders>
          </w:tcPr>
          <w:p w14:paraId="01E3E8F1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Photos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 w14:paraId="1F6C0F96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Detection events</w:t>
            </w:r>
          </w:p>
        </w:tc>
      </w:tr>
      <w:tr w:rsidR="00955BBA" w14:paraId="0EC27E77" w14:textId="77777777">
        <w:tc>
          <w:tcPr>
            <w:tcW w:w="1606" w:type="dxa"/>
          </w:tcPr>
          <w:p w14:paraId="58BF5726" w14:textId="77777777" w:rsidR="00955BBA" w:rsidRDefault="00A6389B">
            <w:pPr>
              <w:pStyle w:val="TableContents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06" w:type="dxa"/>
          </w:tcPr>
          <w:p w14:paraId="3F7F2F7C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06" w:type="dxa"/>
          </w:tcPr>
          <w:p w14:paraId="0D4D8A5B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07" w:type="dxa"/>
          </w:tcPr>
          <w:p w14:paraId="72C18485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1710</w:t>
            </w:r>
          </w:p>
        </w:tc>
        <w:tc>
          <w:tcPr>
            <w:tcW w:w="1608" w:type="dxa"/>
          </w:tcPr>
          <w:p w14:paraId="0505DCC1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604" w:type="dxa"/>
          </w:tcPr>
          <w:p w14:paraId="4CF28419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955BBA" w14:paraId="4491329B" w14:textId="77777777">
        <w:tc>
          <w:tcPr>
            <w:tcW w:w="1606" w:type="dxa"/>
          </w:tcPr>
          <w:p w14:paraId="567A445D" w14:textId="77777777" w:rsidR="00955BBA" w:rsidRDefault="00A6389B">
            <w:pPr>
              <w:pStyle w:val="TableContents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6" w:type="dxa"/>
          </w:tcPr>
          <w:p w14:paraId="2B9D9946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06" w:type="dxa"/>
          </w:tcPr>
          <w:p w14:paraId="580DE513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07" w:type="dxa"/>
          </w:tcPr>
          <w:p w14:paraId="2819F128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1770</w:t>
            </w:r>
          </w:p>
        </w:tc>
        <w:tc>
          <w:tcPr>
            <w:tcW w:w="1608" w:type="dxa"/>
          </w:tcPr>
          <w:p w14:paraId="06454A8D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604" w:type="dxa"/>
          </w:tcPr>
          <w:p w14:paraId="2B49AD7C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55BBA" w14:paraId="562649DD" w14:textId="77777777">
        <w:tc>
          <w:tcPr>
            <w:tcW w:w="1606" w:type="dxa"/>
          </w:tcPr>
          <w:p w14:paraId="114F45DE" w14:textId="77777777" w:rsidR="00955BBA" w:rsidRDefault="00A6389B">
            <w:pPr>
              <w:pStyle w:val="TableContents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06" w:type="dxa"/>
          </w:tcPr>
          <w:p w14:paraId="29381C28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06" w:type="dxa"/>
          </w:tcPr>
          <w:p w14:paraId="689D0172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07" w:type="dxa"/>
          </w:tcPr>
          <w:p w14:paraId="6A4D673A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1710</w:t>
            </w:r>
          </w:p>
        </w:tc>
        <w:tc>
          <w:tcPr>
            <w:tcW w:w="1608" w:type="dxa"/>
          </w:tcPr>
          <w:p w14:paraId="367DFCBB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1604" w:type="dxa"/>
          </w:tcPr>
          <w:p w14:paraId="1A55518D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955BBA" w14:paraId="33866EB5" w14:textId="77777777">
        <w:tc>
          <w:tcPr>
            <w:tcW w:w="1606" w:type="dxa"/>
          </w:tcPr>
          <w:p w14:paraId="15EC939B" w14:textId="77777777" w:rsidR="00955BBA" w:rsidRDefault="00A6389B">
            <w:pPr>
              <w:pStyle w:val="TableContents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606" w:type="dxa"/>
          </w:tcPr>
          <w:p w14:paraId="2FE75F80" w14:textId="77777777" w:rsidR="00955BBA" w:rsidRDefault="00A6389B">
            <w:pPr>
              <w:pStyle w:val="TableContents"/>
              <w:spacing w:line="480" w:lineRule="auto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606" w:type="dxa"/>
          </w:tcPr>
          <w:p w14:paraId="5A478232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07" w:type="dxa"/>
          </w:tcPr>
          <w:p w14:paraId="045AAA0F" w14:textId="77777777" w:rsidR="00955BBA" w:rsidRDefault="00A6389B">
            <w:pPr>
              <w:pStyle w:val="TableContents"/>
              <w:spacing w:line="480" w:lineRule="auto"/>
              <w:jc w:val="center"/>
            </w:pPr>
            <w:r>
              <w:rPr>
                <w:color w:val="000000"/>
              </w:rPr>
              <w:t>1727</w:t>
            </w:r>
          </w:p>
        </w:tc>
        <w:tc>
          <w:tcPr>
            <w:tcW w:w="1608" w:type="dxa"/>
          </w:tcPr>
          <w:p w14:paraId="253AB886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604" w:type="dxa"/>
          </w:tcPr>
          <w:p w14:paraId="58C5B390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955BBA" w14:paraId="2D5ABB38" w14:textId="77777777">
        <w:tc>
          <w:tcPr>
            <w:tcW w:w="1606" w:type="dxa"/>
            <w:tcBorders>
              <w:bottom w:val="single" w:sz="6" w:space="0" w:color="000000"/>
            </w:tcBorders>
          </w:tcPr>
          <w:p w14:paraId="4751F5F6" w14:textId="77777777" w:rsidR="00955BBA" w:rsidRDefault="00A6389B">
            <w:pPr>
              <w:pStyle w:val="TableContents"/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2E55C0E6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2AD60BED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14:paraId="70944ACD" w14:textId="77777777" w:rsidR="00955BBA" w:rsidRDefault="00A6389B">
            <w:pPr>
              <w:pStyle w:val="TableContents"/>
              <w:spacing w:line="480" w:lineRule="auto"/>
              <w:jc w:val="center"/>
            </w:pPr>
            <w:r>
              <w:rPr>
                <w:color w:val="000000"/>
              </w:rPr>
              <w:t>1757</w:t>
            </w: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14:paraId="04069429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 w14:paraId="0B6E9BC6" w14:textId="77777777" w:rsidR="00955BBA" w:rsidRDefault="00A6389B">
            <w:pPr>
              <w:pStyle w:val="TableContents"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14:paraId="0CCD2758" w14:textId="77777777" w:rsidR="00955BBA" w:rsidRDefault="00955BBA">
      <w:pPr>
        <w:spacing w:line="480" w:lineRule="auto"/>
        <w:rPr>
          <w:rFonts w:ascii="Times New Roman" w:hAnsi="Times New Roman"/>
        </w:rPr>
      </w:pPr>
    </w:p>
    <w:p w14:paraId="356AFFD6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br w:type="page"/>
      </w:r>
    </w:p>
    <w:p w14:paraId="64E5764D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46D8B1FC" wp14:editId="0230E021">
            <wp:extent cx="6120130" cy="8159750"/>
            <wp:effectExtent l="0" t="0" r="0" b="0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65B4" w14:textId="77777777" w:rsidR="00955BBA" w:rsidRDefault="00A6389B">
      <w:pPr>
        <w:spacing w:line="480" w:lineRule="auto"/>
      </w:pPr>
      <w:r>
        <w:rPr>
          <w:rFonts w:ascii="Times New Roman" w:hAnsi="Times New Roman"/>
        </w:rPr>
        <w:t xml:space="preserve">Figure S1. Posterior </w:t>
      </w:r>
      <w:r>
        <w:rPr>
          <w:rFonts w:ascii="Times New Roman" w:hAnsi="Times New Roman"/>
        </w:rPr>
        <w:t>distribution of beta coefficients representing the effects of covariates on Black-winged Trumpeter occupancy probabilities.</w:t>
      </w:r>
    </w:p>
    <w:p w14:paraId="41627C4A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br w:type="page"/>
      </w:r>
    </w:p>
    <w:p w14:paraId="7A46EAD0" w14:textId="77777777" w:rsidR="00955BBA" w:rsidRDefault="00955BBA">
      <w:pPr>
        <w:spacing w:line="480" w:lineRule="auto"/>
        <w:rPr>
          <w:rFonts w:ascii="Times New Roman" w:hAnsi="Times New Roman"/>
        </w:rPr>
      </w:pPr>
    </w:p>
    <w:p w14:paraId="0DAB15CB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812F25C" wp14:editId="79E878E1">
            <wp:extent cx="6120130" cy="4589780"/>
            <wp:effectExtent l="0" t="0" r="0" b="0"/>
            <wp:docPr id="2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B355" w14:textId="77777777" w:rsidR="00955BBA" w:rsidRDefault="00A6389B">
      <w:pPr>
        <w:spacing w:line="480" w:lineRule="auto"/>
      </w:pPr>
      <w:r>
        <w:rPr>
          <w:rFonts w:ascii="Times New Roman" w:hAnsi="Times New Roman"/>
        </w:rPr>
        <w:t>Figure S2. Mean an</w:t>
      </w:r>
      <w:r>
        <w:rPr>
          <w:rFonts w:ascii="Times New Roman" w:hAnsi="Times New Roman"/>
        </w:rPr>
        <w:t>d 95% posterior credible interval for between-year growth rate (λ) for Black-winged Trumpeter a</w:t>
      </w:r>
      <w:r>
        <w:rPr>
          <w:rFonts w:ascii="Times New Roman" w:hAnsi="Times New Roman"/>
        </w:rPr>
        <w:t>t Gurupi Biolo</w:t>
      </w:r>
      <w:r>
        <w:rPr>
          <w:rFonts w:ascii="Times New Roman" w:hAnsi="Times New Roman"/>
        </w:rPr>
        <w:t>gical Reserve, 2016-2020.</w:t>
      </w:r>
    </w:p>
    <w:p w14:paraId="133FB2A0" w14:textId="77777777" w:rsidR="00955BBA" w:rsidRDefault="00955BBA">
      <w:pPr>
        <w:spacing w:line="480" w:lineRule="auto"/>
        <w:rPr>
          <w:rFonts w:ascii="Times New Roman" w:hAnsi="Times New Roman"/>
        </w:rPr>
      </w:pPr>
    </w:p>
    <w:p w14:paraId="0DB46996" w14:textId="77777777" w:rsidR="00955BBA" w:rsidRDefault="00A6389B">
      <w:pPr>
        <w:spacing w:line="480" w:lineRule="auto"/>
        <w:rPr>
          <w:rFonts w:ascii="Times New Roman" w:hAnsi="Times New Roman"/>
        </w:rPr>
      </w:pPr>
      <w:r>
        <w:br w:type="page"/>
      </w:r>
    </w:p>
    <w:p w14:paraId="5D436194" w14:textId="77777777" w:rsidR="00955BBA" w:rsidRDefault="00955BBA">
      <w:pPr>
        <w:spacing w:line="480" w:lineRule="auto"/>
        <w:rPr>
          <w:rFonts w:ascii="Times New Roman" w:hAnsi="Times New Roman"/>
        </w:rPr>
      </w:pPr>
    </w:p>
    <w:p w14:paraId="7D034C8B" w14:textId="77777777" w:rsidR="00955BBA" w:rsidRDefault="00A6389B">
      <w:pPr>
        <w:spacing w:line="480" w:lineRule="auto"/>
      </w:pPr>
      <w:r>
        <w:rPr>
          <w:noProof/>
        </w:rPr>
        <w:drawing>
          <wp:inline distT="0" distB="0" distL="0" distR="0" wp14:anchorId="66724F30" wp14:editId="4A54E397">
            <wp:extent cx="6120130" cy="458978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7247" w14:textId="77777777" w:rsidR="00955BBA" w:rsidRDefault="00A6389B">
      <w:pPr>
        <w:spacing w:line="480" w:lineRule="auto"/>
      </w:pPr>
      <w:r>
        <w:rPr>
          <w:rFonts w:ascii="Times New Roman" w:hAnsi="Times New Roman"/>
        </w:rPr>
        <w:t xml:space="preserve">Figure S3. A camera-trap record of a </w:t>
      </w:r>
      <w:r>
        <w:rPr>
          <w:rFonts w:ascii="Times New Roman" w:hAnsi="Times New Roman"/>
          <w:i/>
          <w:iCs/>
        </w:rPr>
        <w:t>Psophia obscura</w:t>
      </w:r>
      <w:r>
        <w:rPr>
          <w:rFonts w:ascii="Times New Roman" w:hAnsi="Times New Roman"/>
        </w:rPr>
        <w:t xml:space="preserve"> group at Gurupi Biological Reserve.</w:t>
      </w:r>
    </w:p>
    <w:sectPr w:rsidR="00955BB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BBA"/>
    <w:rsid w:val="00955BBA"/>
    <w:rsid w:val="00A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5B2C"/>
  <w15:docId w15:val="{99AE19EC-C387-437B-A527-C975AE9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David Mallon</cp:lastModifiedBy>
  <cp:revision>7</cp:revision>
  <dcterms:created xsi:type="dcterms:W3CDTF">2021-10-20T10:59:00Z</dcterms:created>
  <dcterms:modified xsi:type="dcterms:W3CDTF">2022-05-22T10:08:00Z</dcterms:modified>
  <dc:language>en-GB</dc:language>
</cp:coreProperties>
</file>