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D26CF" w14:textId="77777777" w:rsidR="00DE5ACF" w:rsidRPr="003B015D" w:rsidRDefault="00DE5ACF" w:rsidP="00DE5ACF">
      <w:pPr>
        <w:spacing w:line="480" w:lineRule="auto"/>
        <w:rPr>
          <w:rFonts w:ascii="Times New Roman" w:hAnsi="Times New Roman" w:cs="Times New Roman"/>
          <w:b/>
          <w:bCs/>
        </w:rPr>
      </w:pPr>
      <w:bookmarkStart w:id="0" w:name="_GoBack"/>
      <w:bookmarkEnd w:id="0"/>
      <w:r>
        <w:rPr>
          <w:rFonts w:ascii="Times New Roman" w:hAnsi="Times New Roman" w:cs="Times New Roman"/>
          <w:b/>
          <w:bCs/>
        </w:rPr>
        <w:t xml:space="preserve">SUPPLEMENTARY MATERIALS </w:t>
      </w:r>
    </w:p>
    <w:p w14:paraId="69668F5D" w14:textId="77777777" w:rsidR="00DE5ACF" w:rsidRPr="00EE2EA5" w:rsidRDefault="00DE5ACF" w:rsidP="00DE5ACF">
      <w:pPr>
        <w:spacing w:line="480" w:lineRule="auto"/>
        <w:rPr>
          <w:rFonts w:ascii="Times New Roman" w:hAnsi="Times New Roman" w:cs="Times New Roman"/>
        </w:rPr>
      </w:pPr>
      <w:r w:rsidRPr="00EE2EA5">
        <w:rPr>
          <w:rFonts w:ascii="Times New Roman" w:hAnsi="Times New Roman" w:cs="Times New Roman"/>
        </w:rPr>
        <w:t xml:space="preserve">S1.1 </w:t>
      </w:r>
      <w:r>
        <w:rPr>
          <w:rFonts w:ascii="Times New Roman" w:hAnsi="Times New Roman" w:cs="Times New Roman"/>
        </w:rPr>
        <w:t xml:space="preserve">- </w:t>
      </w:r>
      <w:r w:rsidRPr="00EE2EA5">
        <w:rPr>
          <w:rFonts w:ascii="Times New Roman" w:hAnsi="Times New Roman" w:cs="Times New Roman"/>
        </w:rPr>
        <w:t>Methods</w:t>
      </w:r>
    </w:p>
    <w:p w14:paraId="1E96DD85" w14:textId="77777777" w:rsidR="00DE5ACF" w:rsidRDefault="00DE5ACF" w:rsidP="00DE5ACF">
      <w:pPr>
        <w:pStyle w:val="NormalWeb"/>
        <w:spacing w:line="480" w:lineRule="auto"/>
        <w:jc w:val="both"/>
        <w:rPr>
          <w:color w:val="000000"/>
          <w:sz w:val="22"/>
          <w:szCs w:val="22"/>
        </w:rPr>
      </w:pPr>
      <w:r w:rsidRPr="00EE2EA5">
        <w:rPr>
          <w:color w:val="000000"/>
          <w:sz w:val="22"/>
          <w:szCs w:val="22"/>
        </w:rPr>
        <w:t>To explore relationship between the number of lethal equivalents (LE) and the mean stochastic growth rate the LE was increased in increments of 1.25, starting from 0 to 12.5 based on Frankham’s (2010) recommendation that the Vortex 10 default value of 6.29 underestimates the deleterious consequences of inbreeding and should be doubled. The total genetic load that is due to recessive lethal alleles was left at the default value of 50% (Miller &amp; Lacy 2005). The proportion of residents/non-migrants was set to 15% as this was an intermediate value between the 11% and 17% residents making up some populations reported in German and Swiss populations respectively (</w:t>
      </w:r>
      <w:proofErr w:type="spellStart"/>
      <w:r w:rsidRPr="00EE2EA5">
        <w:rPr>
          <w:color w:val="000000"/>
          <w:sz w:val="22"/>
          <w:szCs w:val="22"/>
        </w:rPr>
        <w:t>Rotics</w:t>
      </w:r>
      <w:proofErr w:type="spellEnd"/>
      <w:r w:rsidRPr="00EE2EA5">
        <w:rPr>
          <w:color w:val="000000"/>
          <w:sz w:val="22"/>
          <w:szCs w:val="22"/>
        </w:rPr>
        <w:t xml:space="preserve"> </w:t>
      </w:r>
      <w:r w:rsidRPr="00970ADB">
        <w:rPr>
          <w:i/>
          <w:color w:val="000000"/>
          <w:sz w:val="22"/>
          <w:szCs w:val="22"/>
        </w:rPr>
        <w:t>et al.</w:t>
      </w:r>
      <w:r w:rsidRPr="00EE2EA5">
        <w:rPr>
          <w:color w:val="000000"/>
          <w:sz w:val="22"/>
          <w:szCs w:val="22"/>
        </w:rPr>
        <w:t xml:space="preserve">, 2017; Schaub </w:t>
      </w:r>
      <w:r w:rsidRPr="00970ADB">
        <w:rPr>
          <w:i/>
          <w:color w:val="000000"/>
          <w:sz w:val="22"/>
          <w:szCs w:val="22"/>
        </w:rPr>
        <w:t>et al.</w:t>
      </w:r>
      <w:r w:rsidRPr="00EE2EA5">
        <w:rPr>
          <w:color w:val="000000"/>
          <w:sz w:val="22"/>
          <w:szCs w:val="22"/>
        </w:rPr>
        <w:t>, 2004). Furthermore, when exploring the impact of non-migratory birds on population growth rate, 15% resulted in a small positive growth rate which we believe would better demonstrate the impact of increasing the number of lethal equivalents within the population. These models were run for 100 years as the long-lived nature of the white stork would mean that genetic impacts may not be visible in the short term.</w:t>
      </w:r>
    </w:p>
    <w:p w14:paraId="1CBCFF06" w14:textId="77777777" w:rsidR="00DE5ACF" w:rsidRDefault="00DE5ACF" w:rsidP="00DE5ACF">
      <w:pPr>
        <w:spacing w:line="360" w:lineRule="auto"/>
        <w:rPr>
          <w:rFonts w:ascii="Times New Roman" w:hAnsi="Times New Roman" w:cs="Times New Roman"/>
        </w:rPr>
      </w:pPr>
      <w:r>
        <w:rPr>
          <w:rFonts w:ascii="Times New Roman" w:hAnsi="Times New Roman" w:cs="Times New Roman"/>
        </w:rPr>
        <w:t>S1.2 - Results</w:t>
      </w:r>
    </w:p>
    <w:tbl>
      <w:tblPr>
        <w:tblStyle w:val="TableGrid"/>
        <w:tblW w:w="8930"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1267"/>
        <w:gridCol w:w="1993"/>
        <w:gridCol w:w="1843"/>
        <w:gridCol w:w="1984"/>
      </w:tblGrid>
      <w:tr w:rsidR="00DE5ACF" w:rsidRPr="00EE2EA5" w14:paraId="523973BD" w14:textId="77777777" w:rsidTr="0031074B">
        <w:trPr>
          <w:jc w:val="right"/>
        </w:trPr>
        <w:tc>
          <w:tcPr>
            <w:tcW w:w="8930" w:type="dxa"/>
            <w:gridSpan w:val="5"/>
            <w:tcBorders>
              <w:bottom w:val="single" w:sz="12" w:space="0" w:color="auto"/>
            </w:tcBorders>
          </w:tcPr>
          <w:p w14:paraId="19905C81" w14:textId="77777777" w:rsidR="00DE5ACF" w:rsidRPr="002F3500" w:rsidRDefault="00DE5ACF" w:rsidP="0031074B">
            <w:pPr>
              <w:rPr>
                <w:rFonts w:ascii="Times New Roman" w:hAnsi="Times New Roman" w:cs="Times New Roman"/>
                <w:sz w:val="20"/>
                <w:szCs w:val="20"/>
              </w:rPr>
            </w:pPr>
            <w:r w:rsidRPr="002F3500">
              <w:rPr>
                <w:rFonts w:ascii="Times New Roman" w:hAnsi="Times New Roman" w:cs="Times New Roman"/>
                <w:sz w:val="20"/>
                <w:szCs w:val="20"/>
              </w:rPr>
              <w:t xml:space="preserve">Table </w:t>
            </w:r>
            <w:r>
              <w:rPr>
                <w:rFonts w:ascii="Times New Roman" w:hAnsi="Times New Roman" w:cs="Times New Roman"/>
                <w:sz w:val="20"/>
                <w:szCs w:val="20"/>
              </w:rPr>
              <w:t>S1</w:t>
            </w:r>
            <w:r w:rsidRPr="002F3500">
              <w:rPr>
                <w:rFonts w:ascii="Times New Roman" w:hAnsi="Times New Roman" w:cs="Times New Roman"/>
                <w:sz w:val="20"/>
                <w:szCs w:val="20"/>
              </w:rPr>
              <w:t xml:space="preserve">: Population viability model results from </w:t>
            </w:r>
            <w:r w:rsidRPr="002F3500">
              <w:rPr>
                <w:rFonts w:ascii="Times New Roman" w:hAnsi="Times New Roman" w:cs="Times New Roman"/>
                <w:i/>
                <w:iCs/>
                <w:sz w:val="20"/>
                <w:szCs w:val="20"/>
              </w:rPr>
              <w:t xml:space="preserve">Vortex10 </w:t>
            </w:r>
            <w:r w:rsidRPr="002F3500">
              <w:rPr>
                <w:rFonts w:ascii="Times New Roman" w:hAnsi="Times New Roman" w:cs="Times New Roman"/>
                <w:sz w:val="20"/>
                <w:szCs w:val="20"/>
              </w:rPr>
              <w:t>modelling different numbers of lethal equivalent in the British white stork (</w:t>
            </w:r>
            <w:proofErr w:type="spellStart"/>
            <w:r w:rsidRPr="002F3500">
              <w:rPr>
                <w:rFonts w:ascii="Times New Roman" w:hAnsi="Times New Roman" w:cs="Times New Roman"/>
                <w:i/>
                <w:iCs/>
                <w:sz w:val="20"/>
                <w:szCs w:val="20"/>
              </w:rPr>
              <w:t>Ciconia</w:t>
            </w:r>
            <w:proofErr w:type="spellEnd"/>
            <w:r w:rsidRPr="002F3500">
              <w:rPr>
                <w:rFonts w:ascii="Times New Roman" w:hAnsi="Times New Roman" w:cs="Times New Roman"/>
                <w:i/>
                <w:iCs/>
                <w:sz w:val="20"/>
                <w:szCs w:val="20"/>
              </w:rPr>
              <w:t xml:space="preserve"> </w:t>
            </w:r>
            <w:proofErr w:type="spellStart"/>
            <w:r w:rsidRPr="002F3500">
              <w:rPr>
                <w:rFonts w:ascii="Times New Roman" w:hAnsi="Times New Roman" w:cs="Times New Roman"/>
                <w:i/>
                <w:iCs/>
                <w:sz w:val="20"/>
                <w:szCs w:val="20"/>
              </w:rPr>
              <w:t>ciconia</w:t>
            </w:r>
            <w:proofErr w:type="spellEnd"/>
            <w:r w:rsidRPr="002F3500">
              <w:rPr>
                <w:rFonts w:ascii="Times New Roman" w:hAnsi="Times New Roman" w:cs="Times New Roman"/>
                <w:i/>
                <w:iCs/>
                <w:sz w:val="20"/>
                <w:szCs w:val="20"/>
              </w:rPr>
              <w:t>)</w:t>
            </w:r>
            <w:r w:rsidRPr="002F3500">
              <w:rPr>
                <w:rFonts w:ascii="Times New Roman" w:hAnsi="Times New Roman" w:cs="Times New Roman"/>
                <w:sz w:val="20"/>
                <w:szCs w:val="20"/>
              </w:rPr>
              <w:t xml:space="preserve">. </w:t>
            </w:r>
            <w:r w:rsidRPr="003B015D">
              <w:rPr>
                <w:rFonts w:ascii="Times New Roman" w:hAnsi="Times New Roman" w:cs="Times New Roman"/>
                <w:sz w:val="20"/>
                <w:szCs w:val="20"/>
              </w:rPr>
              <w:t xml:space="preserve">Det. r </w:t>
            </w:r>
            <w:r>
              <w:rPr>
                <w:rFonts w:ascii="Times New Roman" w:hAnsi="Times New Roman" w:cs="Times New Roman"/>
                <w:sz w:val="20"/>
                <w:szCs w:val="20"/>
              </w:rPr>
              <w:t>=</w:t>
            </w:r>
            <w:r w:rsidRPr="003B015D">
              <w:rPr>
                <w:rFonts w:ascii="Times New Roman" w:hAnsi="Times New Roman" w:cs="Times New Roman"/>
                <w:sz w:val="20"/>
                <w:szCs w:val="20"/>
              </w:rPr>
              <w:t xml:space="preserve"> deterministic growth rate. Stoch. r </w:t>
            </w:r>
            <w:r>
              <w:rPr>
                <w:rFonts w:ascii="Times New Roman" w:hAnsi="Times New Roman" w:cs="Times New Roman"/>
                <w:sz w:val="20"/>
                <w:szCs w:val="20"/>
              </w:rPr>
              <w:t>= s</w:t>
            </w:r>
            <w:r w:rsidRPr="003B015D">
              <w:rPr>
                <w:rFonts w:ascii="Times New Roman" w:hAnsi="Times New Roman" w:cs="Times New Roman"/>
                <w:sz w:val="20"/>
                <w:szCs w:val="20"/>
              </w:rPr>
              <w:t>tochastic growth rate</w:t>
            </w:r>
            <w:r>
              <w:rPr>
                <w:rFonts w:ascii="Times New Roman" w:hAnsi="Times New Roman" w:cs="Times New Roman"/>
                <w:sz w:val="20"/>
                <w:szCs w:val="20"/>
              </w:rPr>
              <w:t xml:space="preserve">. </w:t>
            </w:r>
            <w:r w:rsidRPr="003B015D">
              <w:rPr>
                <w:rFonts w:ascii="Times New Roman" w:hAnsi="Times New Roman" w:cs="Times New Roman"/>
                <w:sz w:val="20"/>
                <w:szCs w:val="20"/>
              </w:rPr>
              <w:t xml:space="preserve"> Exc. supp. </w:t>
            </w:r>
            <w:r>
              <w:rPr>
                <w:rFonts w:ascii="Times New Roman" w:hAnsi="Times New Roman" w:cs="Times New Roman"/>
                <w:sz w:val="20"/>
                <w:szCs w:val="20"/>
              </w:rPr>
              <w:t>y</w:t>
            </w:r>
            <w:r w:rsidRPr="003B015D">
              <w:rPr>
                <w:rFonts w:ascii="Times New Roman" w:hAnsi="Times New Roman" w:cs="Times New Roman"/>
                <w:sz w:val="20"/>
                <w:szCs w:val="20"/>
              </w:rPr>
              <w:t>ears = excluding years where population supplementation occurred</w:t>
            </w:r>
            <w:r w:rsidRPr="002F3500">
              <w:rPr>
                <w:rFonts w:ascii="Times New Roman" w:hAnsi="Times New Roman" w:cs="Times New Roman"/>
                <w:sz w:val="20"/>
                <w:szCs w:val="20"/>
              </w:rPr>
              <w:t>. N = population size. PE = probability of extinction of the population in 100 years.  SE = standard error</w:t>
            </w:r>
          </w:p>
        </w:tc>
      </w:tr>
      <w:tr w:rsidR="00DE5ACF" w:rsidRPr="00EE2EA5" w14:paraId="36985CC7" w14:textId="77777777" w:rsidTr="0031074B">
        <w:trPr>
          <w:jc w:val="right"/>
        </w:trPr>
        <w:tc>
          <w:tcPr>
            <w:tcW w:w="1843" w:type="dxa"/>
            <w:tcBorders>
              <w:top w:val="single" w:sz="12" w:space="0" w:color="auto"/>
            </w:tcBorders>
          </w:tcPr>
          <w:p w14:paraId="011A0051" w14:textId="77777777" w:rsidR="00DE5ACF" w:rsidRPr="002F3500" w:rsidRDefault="00DE5ACF" w:rsidP="0031074B">
            <w:pPr>
              <w:spacing w:line="360" w:lineRule="auto"/>
              <w:rPr>
                <w:rFonts w:ascii="Times New Roman" w:hAnsi="Times New Roman" w:cs="Times New Roman"/>
                <w:sz w:val="20"/>
                <w:szCs w:val="20"/>
              </w:rPr>
            </w:pPr>
            <w:r w:rsidRPr="002F3500">
              <w:rPr>
                <w:rFonts w:ascii="Times New Roman" w:hAnsi="Times New Roman" w:cs="Times New Roman"/>
                <w:sz w:val="20"/>
                <w:szCs w:val="20"/>
              </w:rPr>
              <w:t>Lethal Equivalent</w:t>
            </w:r>
          </w:p>
        </w:tc>
        <w:tc>
          <w:tcPr>
            <w:tcW w:w="1267" w:type="dxa"/>
            <w:tcBorders>
              <w:top w:val="single" w:sz="12" w:space="0" w:color="auto"/>
            </w:tcBorders>
          </w:tcPr>
          <w:p w14:paraId="5D8AD10E" w14:textId="77777777" w:rsidR="00DE5ACF" w:rsidRPr="002F3500" w:rsidRDefault="00DE5ACF" w:rsidP="0031074B">
            <w:pPr>
              <w:spacing w:line="360" w:lineRule="auto"/>
              <w:rPr>
                <w:rFonts w:ascii="Times New Roman" w:hAnsi="Times New Roman" w:cs="Times New Roman"/>
                <w:sz w:val="20"/>
                <w:szCs w:val="20"/>
              </w:rPr>
            </w:pPr>
            <w:r w:rsidRPr="002F3500">
              <w:rPr>
                <w:rFonts w:ascii="Times New Roman" w:hAnsi="Times New Roman" w:cs="Times New Roman"/>
                <w:sz w:val="20"/>
                <w:szCs w:val="20"/>
              </w:rPr>
              <w:t>Det. r</w:t>
            </w:r>
          </w:p>
        </w:tc>
        <w:tc>
          <w:tcPr>
            <w:tcW w:w="1993" w:type="dxa"/>
            <w:tcBorders>
              <w:top w:val="single" w:sz="12" w:space="0" w:color="auto"/>
            </w:tcBorders>
          </w:tcPr>
          <w:p w14:paraId="3182F7AE" w14:textId="77777777" w:rsidR="00DE5ACF" w:rsidRPr="002F3500" w:rsidRDefault="00DE5ACF" w:rsidP="0031074B">
            <w:pPr>
              <w:spacing w:line="360" w:lineRule="auto"/>
              <w:rPr>
                <w:rFonts w:ascii="Times New Roman" w:hAnsi="Times New Roman" w:cs="Times New Roman"/>
                <w:sz w:val="20"/>
                <w:szCs w:val="20"/>
              </w:rPr>
            </w:pPr>
            <w:r w:rsidRPr="002F3500">
              <w:rPr>
                <w:rFonts w:ascii="Times New Roman" w:hAnsi="Times New Roman" w:cs="Times New Roman"/>
                <w:sz w:val="20"/>
                <w:szCs w:val="20"/>
              </w:rPr>
              <w:t xml:space="preserve">Stoch. </w:t>
            </w:r>
            <w:r>
              <w:rPr>
                <w:rFonts w:ascii="Times New Roman" w:hAnsi="Times New Roman" w:cs="Times New Roman"/>
                <w:sz w:val="20"/>
                <w:szCs w:val="20"/>
              </w:rPr>
              <w:t>r</w:t>
            </w:r>
          </w:p>
        </w:tc>
        <w:tc>
          <w:tcPr>
            <w:tcW w:w="1843" w:type="dxa"/>
            <w:tcBorders>
              <w:top w:val="single" w:sz="12" w:space="0" w:color="auto"/>
            </w:tcBorders>
          </w:tcPr>
          <w:p w14:paraId="08649B3E" w14:textId="77777777" w:rsidR="00DE5ACF" w:rsidRPr="002F3500" w:rsidRDefault="00DE5ACF" w:rsidP="0031074B">
            <w:pPr>
              <w:spacing w:line="360" w:lineRule="auto"/>
              <w:rPr>
                <w:rFonts w:ascii="Times New Roman" w:hAnsi="Times New Roman" w:cs="Times New Roman"/>
                <w:sz w:val="20"/>
                <w:szCs w:val="20"/>
              </w:rPr>
            </w:pPr>
            <w:r w:rsidRPr="002F3500">
              <w:rPr>
                <w:rFonts w:ascii="Times New Roman" w:hAnsi="Times New Roman" w:cs="Times New Roman"/>
                <w:sz w:val="20"/>
                <w:szCs w:val="20"/>
              </w:rPr>
              <w:t>N (extent) after 100 years ± SE</w:t>
            </w:r>
          </w:p>
        </w:tc>
        <w:tc>
          <w:tcPr>
            <w:tcW w:w="1984" w:type="dxa"/>
            <w:tcBorders>
              <w:top w:val="single" w:sz="12" w:space="0" w:color="auto"/>
            </w:tcBorders>
          </w:tcPr>
          <w:p w14:paraId="16A44283" w14:textId="77777777" w:rsidR="00DE5ACF" w:rsidRPr="002F3500" w:rsidRDefault="00DE5ACF" w:rsidP="0031074B">
            <w:pPr>
              <w:spacing w:line="360" w:lineRule="auto"/>
              <w:rPr>
                <w:rFonts w:ascii="Times New Roman" w:hAnsi="Times New Roman" w:cs="Times New Roman"/>
                <w:sz w:val="20"/>
                <w:szCs w:val="20"/>
              </w:rPr>
            </w:pPr>
            <w:r w:rsidRPr="002F3500">
              <w:rPr>
                <w:rFonts w:ascii="Times New Roman" w:hAnsi="Times New Roman" w:cs="Times New Roman"/>
                <w:sz w:val="20"/>
                <w:szCs w:val="20"/>
              </w:rPr>
              <w:t>PE (%)</w:t>
            </w:r>
          </w:p>
        </w:tc>
      </w:tr>
      <w:tr w:rsidR="00DE5ACF" w:rsidRPr="00EE2EA5" w14:paraId="5C9AED2C" w14:textId="77777777" w:rsidTr="0031074B">
        <w:trPr>
          <w:trHeight w:val="313"/>
          <w:jc w:val="right"/>
        </w:trPr>
        <w:tc>
          <w:tcPr>
            <w:tcW w:w="1843" w:type="dxa"/>
            <w:noWrap/>
            <w:hideMark/>
          </w:tcPr>
          <w:p w14:paraId="0E2C192F"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w:t>
            </w:r>
          </w:p>
        </w:tc>
        <w:tc>
          <w:tcPr>
            <w:tcW w:w="1267" w:type="dxa"/>
          </w:tcPr>
          <w:p w14:paraId="4CCEE03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tcPr>
          <w:p w14:paraId="377C640A" w14:textId="77777777" w:rsidR="00DE5ACF" w:rsidRPr="002F3500" w:rsidRDefault="00DE5ACF" w:rsidP="0031074B">
            <w:pPr>
              <w:spacing w:line="360" w:lineRule="auto"/>
              <w:jc w:val="center"/>
              <w:rPr>
                <w:rFonts w:ascii="Times New Roman" w:hAnsi="Times New Roman" w:cs="Times New Roman"/>
                <w:color w:val="000000"/>
                <w:sz w:val="20"/>
                <w:szCs w:val="20"/>
              </w:rPr>
            </w:pPr>
            <w:r w:rsidRPr="002F3500">
              <w:rPr>
                <w:rFonts w:ascii="Times New Roman" w:hAnsi="Times New Roman" w:cs="Times New Roman"/>
                <w:color w:val="000000"/>
                <w:sz w:val="20"/>
                <w:szCs w:val="20"/>
              </w:rPr>
              <w:t>0.0099</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0.0003</w:t>
            </w:r>
          </w:p>
        </w:tc>
        <w:tc>
          <w:tcPr>
            <w:tcW w:w="1843" w:type="dxa"/>
          </w:tcPr>
          <w:p w14:paraId="3A16A71B" w14:textId="77777777" w:rsidR="00DE5ACF" w:rsidRPr="002F3500" w:rsidRDefault="00DE5ACF" w:rsidP="0031074B">
            <w:pPr>
              <w:spacing w:line="360" w:lineRule="auto"/>
              <w:jc w:val="right"/>
              <w:rPr>
                <w:rFonts w:ascii="Times New Roman" w:hAnsi="Times New Roman" w:cs="Times New Roman"/>
                <w:color w:val="000000"/>
                <w:sz w:val="20"/>
                <w:szCs w:val="20"/>
              </w:rPr>
            </w:pPr>
            <w:r w:rsidRPr="002F3500">
              <w:rPr>
                <w:rFonts w:ascii="Times New Roman" w:hAnsi="Times New Roman" w:cs="Times New Roman"/>
                <w:color w:val="000000"/>
                <w:sz w:val="20"/>
                <w:szCs w:val="20"/>
              </w:rPr>
              <w:t>719.56</w:t>
            </w:r>
            <w:r w:rsidRPr="002F3500">
              <w:rPr>
                <w:rFonts w:ascii="Times New Roman" w:hAnsi="Times New Roman" w:cs="Times New Roman"/>
                <w:sz w:val="20"/>
                <w:szCs w:val="20"/>
              </w:rPr>
              <w:t>±25.53</w:t>
            </w:r>
          </w:p>
        </w:tc>
        <w:tc>
          <w:tcPr>
            <w:tcW w:w="1984" w:type="dxa"/>
          </w:tcPr>
          <w:p w14:paraId="121577A0"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0.9</w:t>
            </w:r>
          </w:p>
        </w:tc>
      </w:tr>
      <w:tr w:rsidR="00DE5ACF" w:rsidRPr="00EE2EA5" w14:paraId="77E4A8C7" w14:textId="77777777" w:rsidTr="0031074B">
        <w:trPr>
          <w:trHeight w:val="290"/>
          <w:jc w:val="right"/>
        </w:trPr>
        <w:tc>
          <w:tcPr>
            <w:tcW w:w="1843" w:type="dxa"/>
            <w:noWrap/>
            <w:hideMark/>
          </w:tcPr>
          <w:p w14:paraId="3E8985BB"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1.25</w:t>
            </w:r>
          </w:p>
        </w:tc>
        <w:tc>
          <w:tcPr>
            <w:tcW w:w="1267" w:type="dxa"/>
          </w:tcPr>
          <w:p w14:paraId="3CDC1B1E"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630932FA"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0.0065</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0.0003</w:t>
            </w:r>
          </w:p>
        </w:tc>
        <w:tc>
          <w:tcPr>
            <w:tcW w:w="1843" w:type="dxa"/>
          </w:tcPr>
          <w:p w14:paraId="72F57BEE"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583.25</w:t>
            </w:r>
            <w:r w:rsidRPr="002F3500">
              <w:rPr>
                <w:rFonts w:ascii="Times New Roman" w:hAnsi="Times New Roman" w:cs="Times New Roman"/>
                <w:sz w:val="20"/>
                <w:szCs w:val="20"/>
              </w:rPr>
              <w:t>±24.16</w:t>
            </w:r>
          </w:p>
        </w:tc>
        <w:tc>
          <w:tcPr>
            <w:tcW w:w="1984" w:type="dxa"/>
          </w:tcPr>
          <w:p w14:paraId="4EA054DE"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w:t>
            </w:r>
          </w:p>
        </w:tc>
      </w:tr>
      <w:tr w:rsidR="00DE5ACF" w:rsidRPr="00EE2EA5" w14:paraId="1C2E322B" w14:textId="77777777" w:rsidTr="0031074B">
        <w:trPr>
          <w:trHeight w:val="290"/>
          <w:jc w:val="right"/>
        </w:trPr>
        <w:tc>
          <w:tcPr>
            <w:tcW w:w="1843" w:type="dxa"/>
            <w:noWrap/>
            <w:hideMark/>
          </w:tcPr>
          <w:p w14:paraId="1A2BDC39"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2.5</w:t>
            </w:r>
          </w:p>
        </w:tc>
        <w:tc>
          <w:tcPr>
            <w:tcW w:w="1267" w:type="dxa"/>
          </w:tcPr>
          <w:p w14:paraId="1FAC28FC"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2AAD20D1"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0.0037</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0.0003</w:t>
            </w:r>
          </w:p>
        </w:tc>
        <w:tc>
          <w:tcPr>
            <w:tcW w:w="1843" w:type="dxa"/>
          </w:tcPr>
          <w:p w14:paraId="4ED0C08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482.44</w:t>
            </w:r>
            <w:r w:rsidRPr="002F3500">
              <w:rPr>
                <w:rFonts w:ascii="Times New Roman" w:hAnsi="Times New Roman" w:cs="Times New Roman"/>
                <w:sz w:val="20"/>
                <w:szCs w:val="20"/>
              </w:rPr>
              <w:t>±19.00</w:t>
            </w:r>
          </w:p>
        </w:tc>
        <w:tc>
          <w:tcPr>
            <w:tcW w:w="1984" w:type="dxa"/>
          </w:tcPr>
          <w:p w14:paraId="3976C34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2.2</w:t>
            </w:r>
          </w:p>
        </w:tc>
      </w:tr>
      <w:tr w:rsidR="00DE5ACF" w:rsidRPr="00EE2EA5" w14:paraId="77FDB08D" w14:textId="77777777" w:rsidTr="0031074B">
        <w:trPr>
          <w:trHeight w:val="290"/>
          <w:jc w:val="right"/>
        </w:trPr>
        <w:tc>
          <w:tcPr>
            <w:tcW w:w="1843" w:type="dxa"/>
            <w:noWrap/>
            <w:hideMark/>
          </w:tcPr>
          <w:p w14:paraId="33475804"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3.75</w:t>
            </w:r>
          </w:p>
        </w:tc>
        <w:tc>
          <w:tcPr>
            <w:tcW w:w="1267" w:type="dxa"/>
          </w:tcPr>
          <w:p w14:paraId="5308545D"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0199557F"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0.0009</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0.0003</w:t>
            </w:r>
          </w:p>
        </w:tc>
        <w:tc>
          <w:tcPr>
            <w:tcW w:w="1843" w:type="dxa"/>
          </w:tcPr>
          <w:p w14:paraId="72719737"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407.18</w:t>
            </w:r>
            <w:r w:rsidRPr="002F3500">
              <w:rPr>
                <w:rFonts w:ascii="Times New Roman" w:hAnsi="Times New Roman" w:cs="Times New Roman"/>
                <w:sz w:val="20"/>
                <w:szCs w:val="20"/>
              </w:rPr>
              <w:t>±16.88</w:t>
            </w:r>
          </w:p>
        </w:tc>
        <w:tc>
          <w:tcPr>
            <w:tcW w:w="1984" w:type="dxa"/>
          </w:tcPr>
          <w:p w14:paraId="0AC30E0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4.1</w:t>
            </w:r>
          </w:p>
        </w:tc>
      </w:tr>
      <w:tr w:rsidR="00DE5ACF" w:rsidRPr="00EE2EA5" w14:paraId="76D4603E" w14:textId="77777777" w:rsidTr="0031074B">
        <w:trPr>
          <w:trHeight w:val="290"/>
          <w:jc w:val="right"/>
        </w:trPr>
        <w:tc>
          <w:tcPr>
            <w:tcW w:w="1843" w:type="dxa"/>
            <w:noWrap/>
            <w:hideMark/>
          </w:tcPr>
          <w:p w14:paraId="5A6B102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5</w:t>
            </w:r>
          </w:p>
        </w:tc>
        <w:tc>
          <w:tcPr>
            <w:tcW w:w="1267" w:type="dxa"/>
          </w:tcPr>
          <w:p w14:paraId="5857769E"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2E6E6C0F"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-0.0016</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0.0003</w:t>
            </w:r>
          </w:p>
        </w:tc>
        <w:tc>
          <w:tcPr>
            <w:tcW w:w="1843" w:type="dxa"/>
          </w:tcPr>
          <w:p w14:paraId="5D343B10"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340.97</w:t>
            </w:r>
            <w:r w:rsidRPr="002F3500">
              <w:rPr>
                <w:rFonts w:ascii="Times New Roman" w:hAnsi="Times New Roman" w:cs="Times New Roman"/>
                <w:sz w:val="20"/>
                <w:szCs w:val="20"/>
              </w:rPr>
              <w:t>±14.03</w:t>
            </w:r>
          </w:p>
        </w:tc>
        <w:tc>
          <w:tcPr>
            <w:tcW w:w="1984" w:type="dxa"/>
          </w:tcPr>
          <w:p w14:paraId="37CAB6D2"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5.9</w:t>
            </w:r>
          </w:p>
        </w:tc>
      </w:tr>
      <w:tr w:rsidR="00DE5ACF" w:rsidRPr="00EE2EA5" w14:paraId="6B712D3E" w14:textId="77777777" w:rsidTr="0031074B">
        <w:trPr>
          <w:trHeight w:val="290"/>
          <w:jc w:val="right"/>
        </w:trPr>
        <w:tc>
          <w:tcPr>
            <w:tcW w:w="1843" w:type="dxa"/>
            <w:noWrap/>
            <w:hideMark/>
          </w:tcPr>
          <w:p w14:paraId="4C7D0F14"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6.25</w:t>
            </w:r>
          </w:p>
        </w:tc>
        <w:tc>
          <w:tcPr>
            <w:tcW w:w="1267" w:type="dxa"/>
          </w:tcPr>
          <w:p w14:paraId="74B8431C"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5BF38900"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-0.0051</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0.0003</w:t>
            </w:r>
          </w:p>
        </w:tc>
        <w:tc>
          <w:tcPr>
            <w:tcW w:w="1843" w:type="dxa"/>
          </w:tcPr>
          <w:p w14:paraId="28DB9A58"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269.16</w:t>
            </w:r>
            <w:r w:rsidRPr="002F3500">
              <w:rPr>
                <w:rFonts w:ascii="Times New Roman" w:hAnsi="Times New Roman" w:cs="Times New Roman"/>
                <w:sz w:val="20"/>
                <w:szCs w:val="20"/>
              </w:rPr>
              <w:t>±12.41</w:t>
            </w:r>
          </w:p>
        </w:tc>
        <w:tc>
          <w:tcPr>
            <w:tcW w:w="1984" w:type="dxa"/>
          </w:tcPr>
          <w:p w14:paraId="0BBCF78A"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8.3</w:t>
            </w:r>
          </w:p>
        </w:tc>
      </w:tr>
      <w:tr w:rsidR="00DE5ACF" w:rsidRPr="00EE2EA5" w14:paraId="7D7485F8" w14:textId="77777777" w:rsidTr="0031074B">
        <w:trPr>
          <w:trHeight w:val="290"/>
          <w:jc w:val="right"/>
        </w:trPr>
        <w:tc>
          <w:tcPr>
            <w:tcW w:w="1843" w:type="dxa"/>
            <w:noWrap/>
            <w:hideMark/>
          </w:tcPr>
          <w:p w14:paraId="6FE181A1"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7.5</w:t>
            </w:r>
          </w:p>
        </w:tc>
        <w:tc>
          <w:tcPr>
            <w:tcW w:w="1267" w:type="dxa"/>
          </w:tcPr>
          <w:p w14:paraId="3937031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0E7E37BD"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-0.0078</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0.0004</w:t>
            </w:r>
          </w:p>
        </w:tc>
        <w:tc>
          <w:tcPr>
            <w:tcW w:w="1843" w:type="dxa"/>
          </w:tcPr>
          <w:p w14:paraId="1B2D11D9"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250.32</w:t>
            </w:r>
            <w:r w:rsidRPr="002F3500">
              <w:rPr>
                <w:rFonts w:ascii="Times New Roman" w:hAnsi="Times New Roman" w:cs="Times New Roman"/>
                <w:sz w:val="20"/>
                <w:szCs w:val="20"/>
              </w:rPr>
              <w:t>±12.75</w:t>
            </w:r>
          </w:p>
        </w:tc>
        <w:tc>
          <w:tcPr>
            <w:tcW w:w="1984" w:type="dxa"/>
          </w:tcPr>
          <w:p w14:paraId="2B12708C"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11.7</w:t>
            </w:r>
          </w:p>
        </w:tc>
      </w:tr>
      <w:tr w:rsidR="00DE5ACF" w:rsidRPr="00EE2EA5" w14:paraId="635257EC" w14:textId="77777777" w:rsidTr="0031074B">
        <w:trPr>
          <w:trHeight w:val="290"/>
          <w:jc w:val="right"/>
        </w:trPr>
        <w:tc>
          <w:tcPr>
            <w:tcW w:w="1843" w:type="dxa"/>
            <w:noWrap/>
            <w:hideMark/>
          </w:tcPr>
          <w:p w14:paraId="7A44767F"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8.75</w:t>
            </w:r>
          </w:p>
        </w:tc>
        <w:tc>
          <w:tcPr>
            <w:tcW w:w="1267" w:type="dxa"/>
          </w:tcPr>
          <w:p w14:paraId="2F82ECA2"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4CBCDE7D"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-0.0105</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0.0004</w:t>
            </w:r>
          </w:p>
        </w:tc>
        <w:tc>
          <w:tcPr>
            <w:tcW w:w="1843" w:type="dxa"/>
          </w:tcPr>
          <w:p w14:paraId="04B040DF"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210.45</w:t>
            </w:r>
            <w:r w:rsidRPr="002F3500">
              <w:rPr>
                <w:rFonts w:ascii="Times New Roman" w:hAnsi="Times New Roman" w:cs="Times New Roman"/>
                <w:sz w:val="20"/>
                <w:szCs w:val="20"/>
              </w:rPr>
              <w:t>±10.73</w:t>
            </w:r>
          </w:p>
        </w:tc>
        <w:tc>
          <w:tcPr>
            <w:tcW w:w="1984" w:type="dxa"/>
          </w:tcPr>
          <w:p w14:paraId="78B56E38"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14.9</w:t>
            </w:r>
          </w:p>
        </w:tc>
      </w:tr>
      <w:tr w:rsidR="00DE5ACF" w:rsidRPr="00EE2EA5" w14:paraId="0F555A84" w14:textId="77777777" w:rsidTr="0031074B">
        <w:trPr>
          <w:trHeight w:val="290"/>
          <w:jc w:val="right"/>
        </w:trPr>
        <w:tc>
          <w:tcPr>
            <w:tcW w:w="1843" w:type="dxa"/>
            <w:noWrap/>
            <w:hideMark/>
          </w:tcPr>
          <w:p w14:paraId="6903E30E"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10</w:t>
            </w:r>
          </w:p>
        </w:tc>
        <w:tc>
          <w:tcPr>
            <w:tcW w:w="1267" w:type="dxa"/>
          </w:tcPr>
          <w:p w14:paraId="552A869F"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5B7B693D"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-0.0136</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0.0004</w:t>
            </w:r>
          </w:p>
        </w:tc>
        <w:tc>
          <w:tcPr>
            <w:tcW w:w="1843" w:type="dxa"/>
          </w:tcPr>
          <w:p w14:paraId="28811D15"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191.76</w:t>
            </w:r>
            <w:r w:rsidRPr="002F3500">
              <w:rPr>
                <w:rFonts w:ascii="Times New Roman" w:hAnsi="Times New Roman" w:cs="Times New Roman"/>
                <w:sz w:val="20"/>
                <w:szCs w:val="20"/>
              </w:rPr>
              <w:t>±11.25</w:t>
            </w:r>
          </w:p>
        </w:tc>
        <w:tc>
          <w:tcPr>
            <w:tcW w:w="1984" w:type="dxa"/>
          </w:tcPr>
          <w:p w14:paraId="7C4572E3"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17.7</w:t>
            </w:r>
          </w:p>
        </w:tc>
      </w:tr>
      <w:tr w:rsidR="00DE5ACF" w:rsidRPr="00EE2EA5" w14:paraId="0231D891" w14:textId="77777777" w:rsidTr="0031074B">
        <w:trPr>
          <w:trHeight w:val="290"/>
          <w:jc w:val="right"/>
        </w:trPr>
        <w:tc>
          <w:tcPr>
            <w:tcW w:w="1843" w:type="dxa"/>
            <w:noWrap/>
            <w:hideMark/>
          </w:tcPr>
          <w:p w14:paraId="587E2ABB"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11.25</w:t>
            </w:r>
          </w:p>
        </w:tc>
        <w:tc>
          <w:tcPr>
            <w:tcW w:w="1267" w:type="dxa"/>
          </w:tcPr>
          <w:p w14:paraId="7B3A2B49"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vAlign w:val="center"/>
          </w:tcPr>
          <w:p w14:paraId="019B8A2E"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-0.0153</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0.0004</w:t>
            </w:r>
          </w:p>
        </w:tc>
        <w:tc>
          <w:tcPr>
            <w:tcW w:w="1843" w:type="dxa"/>
          </w:tcPr>
          <w:p w14:paraId="4710C786"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168.37</w:t>
            </w:r>
            <w:r w:rsidRPr="002F3500">
              <w:rPr>
                <w:rFonts w:ascii="Times New Roman" w:hAnsi="Times New Roman" w:cs="Times New Roman"/>
                <w:sz w:val="20"/>
                <w:szCs w:val="20"/>
              </w:rPr>
              <w:t>±11.36</w:t>
            </w:r>
          </w:p>
        </w:tc>
        <w:tc>
          <w:tcPr>
            <w:tcW w:w="1984" w:type="dxa"/>
          </w:tcPr>
          <w:p w14:paraId="69C33E17"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20.1</w:t>
            </w:r>
          </w:p>
        </w:tc>
      </w:tr>
      <w:tr w:rsidR="00DE5ACF" w:rsidRPr="00EE2EA5" w14:paraId="3BDE0A61" w14:textId="77777777" w:rsidTr="0031074B">
        <w:trPr>
          <w:trHeight w:val="290"/>
          <w:jc w:val="right"/>
        </w:trPr>
        <w:tc>
          <w:tcPr>
            <w:tcW w:w="1843" w:type="dxa"/>
            <w:tcBorders>
              <w:bottom w:val="single" w:sz="12" w:space="0" w:color="auto"/>
            </w:tcBorders>
            <w:noWrap/>
            <w:hideMark/>
          </w:tcPr>
          <w:p w14:paraId="4D4DEED8"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12.5</w:t>
            </w:r>
          </w:p>
        </w:tc>
        <w:tc>
          <w:tcPr>
            <w:tcW w:w="1267" w:type="dxa"/>
            <w:tcBorders>
              <w:bottom w:val="single" w:sz="12" w:space="0" w:color="auto"/>
            </w:tcBorders>
          </w:tcPr>
          <w:p w14:paraId="41D0A8D7"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0.0211</w:t>
            </w:r>
          </w:p>
        </w:tc>
        <w:tc>
          <w:tcPr>
            <w:tcW w:w="1993" w:type="dxa"/>
            <w:tcBorders>
              <w:bottom w:val="single" w:sz="12" w:space="0" w:color="auto"/>
            </w:tcBorders>
            <w:vAlign w:val="center"/>
          </w:tcPr>
          <w:p w14:paraId="7CEA1ED0" w14:textId="77777777" w:rsidR="00DE5ACF" w:rsidRPr="002F3500" w:rsidRDefault="00DE5ACF" w:rsidP="0031074B">
            <w:pPr>
              <w:spacing w:line="360" w:lineRule="auto"/>
              <w:jc w:val="center"/>
              <w:rPr>
                <w:rFonts w:ascii="Times New Roman" w:eastAsia="Times New Roman" w:hAnsi="Times New Roman" w:cs="Times New Roman"/>
                <w:color w:val="000000"/>
                <w:sz w:val="20"/>
                <w:szCs w:val="20"/>
                <w:lang w:eastAsia="en-GB"/>
              </w:rPr>
            </w:pPr>
            <w:r w:rsidRPr="002F3500">
              <w:rPr>
                <w:rFonts w:ascii="Times New Roman" w:hAnsi="Times New Roman" w:cs="Times New Roman"/>
                <w:color w:val="000000"/>
                <w:sz w:val="20"/>
                <w:szCs w:val="20"/>
              </w:rPr>
              <w:t>-0.0178</w:t>
            </w:r>
            <w:r w:rsidRPr="002F3500">
              <w:rPr>
                <w:rFonts w:ascii="Times New Roman" w:hAnsi="Times New Roman" w:cs="Times New Roman"/>
                <w:sz w:val="20"/>
                <w:szCs w:val="20"/>
              </w:rPr>
              <w:t>±</w:t>
            </w:r>
            <w:r w:rsidRPr="002F3500">
              <w:rPr>
                <w:rFonts w:ascii="Times New Roman" w:eastAsia="Times New Roman" w:hAnsi="Times New Roman" w:cs="Times New Roman"/>
                <w:color w:val="000000"/>
                <w:sz w:val="20"/>
                <w:szCs w:val="20"/>
                <w:lang w:eastAsia="en-GB"/>
              </w:rPr>
              <w:t>0.0004</w:t>
            </w:r>
          </w:p>
        </w:tc>
        <w:tc>
          <w:tcPr>
            <w:tcW w:w="1843" w:type="dxa"/>
            <w:tcBorders>
              <w:bottom w:val="single" w:sz="12" w:space="0" w:color="auto"/>
            </w:tcBorders>
          </w:tcPr>
          <w:p w14:paraId="3CAD022E"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149.01</w:t>
            </w:r>
            <w:r w:rsidRPr="002F3500">
              <w:rPr>
                <w:rFonts w:ascii="Times New Roman" w:hAnsi="Times New Roman" w:cs="Times New Roman"/>
                <w:sz w:val="20"/>
                <w:szCs w:val="20"/>
              </w:rPr>
              <w:t>±9.67</w:t>
            </w:r>
          </w:p>
        </w:tc>
        <w:tc>
          <w:tcPr>
            <w:tcW w:w="1984" w:type="dxa"/>
            <w:tcBorders>
              <w:bottom w:val="single" w:sz="12" w:space="0" w:color="auto"/>
            </w:tcBorders>
          </w:tcPr>
          <w:p w14:paraId="543978D9" w14:textId="77777777" w:rsidR="00DE5ACF" w:rsidRPr="002F3500" w:rsidRDefault="00DE5ACF" w:rsidP="0031074B">
            <w:pPr>
              <w:spacing w:line="360" w:lineRule="auto"/>
              <w:jc w:val="right"/>
              <w:rPr>
                <w:rFonts w:ascii="Times New Roman" w:eastAsia="Times New Roman" w:hAnsi="Times New Roman" w:cs="Times New Roman"/>
                <w:color w:val="000000"/>
                <w:sz w:val="20"/>
                <w:szCs w:val="20"/>
                <w:lang w:eastAsia="en-GB"/>
              </w:rPr>
            </w:pPr>
            <w:r w:rsidRPr="002F3500">
              <w:rPr>
                <w:rFonts w:ascii="Times New Roman" w:eastAsia="Times New Roman" w:hAnsi="Times New Roman" w:cs="Times New Roman"/>
                <w:color w:val="000000"/>
                <w:sz w:val="20"/>
                <w:szCs w:val="20"/>
                <w:lang w:eastAsia="en-GB"/>
              </w:rPr>
              <w:t>25.7</w:t>
            </w:r>
          </w:p>
        </w:tc>
      </w:tr>
    </w:tbl>
    <w:p w14:paraId="5040F425" w14:textId="77777777" w:rsidR="00DE5ACF" w:rsidRPr="00D01C0A" w:rsidRDefault="00DE5ACF" w:rsidP="00DE5ACF">
      <w:pPr>
        <w:spacing w:line="360" w:lineRule="auto"/>
        <w:rPr>
          <w:rFonts w:ascii="Times New Roman" w:hAnsi="Times New Roman" w:cs="Times New Roman"/>
        </w:rPr>
      </w:pPr>
    </w:p>
    <w:p w14:paraId="66E2FF2A" w14:textId="77777777" w:rsidR="00DE5ACF" w:rsidRPr="00D01C0A" w:rsidRDefault="00DE5ACF" w:rsidP="00DE5ACF">
      <w:pPr>
        <w:spacing w:line="480" w:lineRule="auto"/>
        <w:rPr>
          <w:rFonts w:ascii="Times New Roman" w:hAnsi="Times New Roman" w:cs="Times New Roman"/>
        </w:rPr>
      </w:pPr>
      <w:r>
        <w:rPr>
          <w:rFonts w:ascii="Times New Roman" w:hAnsi="Times New Roman" w:cs="Times New Roman"/>
        </w:rPr>
        <w:t xml:space="preserve">There was a negative correlation between the number of lethal equivalents and stochastic population growth (Fig. S1). </w:t>
      </w:r>
      <w:r w:rsidRPr="00D01C0A">
        <w:rPr>
          <w:rFonts w:ascii="Times New Roman" w:hAnsi="Times New Roman" w:cs="Times New Roman"/>
        </w:rPr>
        <w:t xml:space="preserve">Within a population that contains 15% </w:t>
      </w:r>
      <w:r>
        <w:rPr>
          <w:rFonts w:ascii="Times New Roman" w:hAnsi="Times New Roman" w:cs="Times New Roman"/>
        </w:rPr>
        <w:t>non-migratory</w:t>
      </w:r>
      <w:r w:rsidRPr="00D01C0A">
        <w:rPr>
          <w:rFonts w:ascii="Times New Roman" w:hAnsi="Times New Roman" w:cs="Times New Roman"/>
        </w:rPr>
        <w:t xml:space="preserve"> birds, negative population growth was observed when the number of lethal equivalents reached </w:t>
      </w:r>
      <w:r>
        <w:rPr>
          <w:rFonts w:ascii="Times New Roman" w:hAnsi="Times New Roman" w:cs="Times New Roman"/>
        </w:rPr>
        <w:t>5</w:t>
      </w:r>
      <w:r w:rsidRPr="00D01C0A">
        <w:rPr>
          <w:rFonts w:ascii="Times New Roman" w:hAnsi="Times New Roman" w:cs="Times New Roman"/>
        </w:rPr>
        <w:t xml:space="preserve"> (r = -0.00</w:t>
      </w:r>
      <w:r>
        <w:rPr>
          <w:rFonts w:ascii="Times New Roman" w:hAnsi="Times New Roman" w:cs="Times New Roman"/>
        </w:rPr>
        <w:t>16</w:t>
      </w:r>
      <w:r w:rsidRPr="00D01C0A">
        <w:rPr>
          <w:rFonts w:ascii="Times New Roman" w:hAnsi="Times New Roman" w:cs="Times New Roman"/>
        </w:rPr>
        <w:t xml:space="preserve">; Fig </w:t>
      </w:r>
      <w:r>
        <w:rPr>
          <w:rFonts w:ascii="Times New Roman" w:hAnsi="Times New Roman" w:cs="Times New Roman"/>
        </w:rPr>
        <w:t>S1</w:t>
      </w:r>
      <w:r w:rsidRPr="00D01C0A">
        <w:rPr>
          <w:rFonts w:ascii="Times New Roman" w:hAnsi="Times New Roman" w:cs="Times New Roman"/>
        </w:rPr>
        <w:t xml:space="preserve">) when the model is run over 100 years. The population’s probability of extinction also increased with the number of lethal equivalents, with over a quarter </w:t>
      </w:r>
      <w:r>
        <w:rPr>
          <w:rFonts w:ascii="Times New Roman" w:hAnsi="Times New Roman" w:cs="Times New Roman"/>
        </w:rPr>
        <w:t xml:space="preserve">(25.7%; Table S1) </w:t>
      </w:r>
      <w:r w:rsidRPr="00D01C0A">
        <w:rPr>
          <w:rFonts w:ascii="Times New Roman" w:hAnsi="Times New Roman" w:cs="Times New Roman"/>
        </w:rPr>
        <w:t>of iterations going extinct at the highest value of 12.5</w:t>
      </w:r>
    </w:p>
    <w:p w14:paraId="2D63D24A" w14:textId="77777777" w:rsidR="00DE5ACF" w:rsidRDefault="00DE5ACF" w:rsidP="00DE5ACF">
      <w:pPr>
        <w:spacing w:line="360" w:lineRule="auto"/>
        <w:rPr>
          <w:rFonts w:ascii="Times New Roman" w:hAnsi="Times New Roman" w:cs="Times New Roman"/>
        </w:rPr>
      </w:pPr>
      <w:r>
        <w:rPr>
          <w:noProof/>
          <w:lang w:eastAsia="en-GB"/>
        </w:rPr>
        <w:drawing>
          <wp:anchor distT="0" distB="0" distL="114300" distR="114300" simplePos="0" relativeHeight="251659264" behindDoc="0" locked="0" layoutInCell="1" allowOverlap="1" wp14:anchorId="77978969" wp14:editId="0B7F7882">
            <wp:simplePos x="0" y="0"/>
            <wp:positionH relativeFrom="margin">
              <wp:align>center</wp:align>
            </wp:positionH>
            <wp:positionV relativeFrom="paragraph">
              <wp:posOffset>342900</wp:posOffset>
            </wp:positionV>
            <wp:extent cx="6592280" cy="393374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592280" cy="3933749"/>
                    </a:xfrm>
                    <a:prstGeom prst="rect">
                      <a:avLst/>
                    </a:prstGeom>
                  </pic:spPr>
                </pic:pic>
              </a:graphicData>
            </a:graphic>
          </wp:anchor>
        </w:drawing>
      </w:r>
    </w:p>
    <w:p w14:paraId="6987272A" w14:textId="77777777" w:rsidR="00DE5ACF" w:rsidRDefault="00DE5ACF" w:rsidP="00DE5ACF">
      <w:pPr>
        <w:ind w:left="720"/>
        <w:jc w:val="both"/>
        <w:rPr>
          <w:rFonts w:ascii="Times New Roman" w:hAnsi="Times New Roman" w:cs="Times New Roman"/>
        </w:rPr>
      </w:pPr>
      <w:r w:rsidRPr="00D01C0A">
        <w:rPr>
          <w:rFonts w:ascii="Times New Roman" w:hAnsi="Times New Roman" w:cs="Times New Roman"/>
          <w:b/>
          <w:bCs/>
        </w:rPr>
        <w:t xml:space="preserve">Figure </w:t>
      </w:r>
      <w:r>
        <w:rPr>
          <w:rFonts w:ascii="Times New Roman" w:hAnsi="Times New Roman" w:cs="Times New Roman"/>
          <w:b/>
          <w:bCs/>
        </w:rPr>
        <w:t>S1</w:t>
      </w:r>
      <w:r w:rsidRPr="00D01C0A">
        <w:rPr>
          <w:rFonts w:ascii="Times New Roman" w:hAnsi="Times New Roman" w:cs="Times New Roman"/>
          <w:b/>
          <w:bCs/>
        </w:rPr>
        <w:t xml:space="preserve">: </w:t>
      </w:r>
      <w:r w:rsidRPr="00D01C0A">
        <w:rPr>
          <w:rFonts w:ascii="Times New Roman" w:hAnsi="Times New Roman" w:cs="Times New Roman"/>
        </w:rPr>
        <w:t>The relationship between the number of lethal equivalents (LE) and the mean stochastic growth rate of the British white stork (</w:t>
      </w:r>
      <w:proofErr w:type="spellStart"/>
      <w:r w:rsidRPr="00D01C0A">
        <w:rPr>
          <w:rFonts w:ascii="Times New Roman" w:hAnsi="Times New Roman" w:cs="Times New Roman"/>
          <w:i/>
          <w:iCs/>
        </w:rPr>
        <w:t>Ciconia</w:t>
      </w:r>
      <w:proofErr w:type="spellEnd"/>
      <w:r w:rsidRPr="00D01C0A">
        <w:rPr>
          <w:rFonts w:ascii="Times New Roman" w:hAnsi="Times New Roman" w:cs="Times New Roman"/>
          <w:i/>
          <w:iCs/>
        </w:rPr>
        <w:t xml:space="preserve"> </w:t>
      </w:r>
      <w:proofErr w:type="spellStart"/>
      <w:r w:rsidRPr="00D01C0A">
        <w:rPr>
          <w:rFonts w:ascii="Times New Roman" w:hAnsi="Times New Roman" w:cs="Times New Roman"/>
          <w:i/>
          <w:iCs/>
        </w:rPr>
        <w:t>ci</w:t>
      </w:r>
      <w:r>
        <w:rPr>
          <w:rFonts w:ascii="Times New Roman" w:hAnsi="Times New Roman" w:cs="Times New Roman"/>
          <w:i/>
          <w:iCs/>
        </w:rPr>
        <w:t>co</w:t>
      </w:r>
      <w:r w:rsidRPr="00D01C0A">
        <w:rPr>
          <w:rFonts w:ascii="Times New Roman" w:hAnsi="Times New Roman" w:cs="Times New Roman"/>
          <w:i/>
          <w:iCs/>
        </w:rPr>
        <w:t>nia</w:t>
      </w:r>
      <w:proofErr w:type="spellEnd"/>
      <w:r w:rsidRPr="00D01C0A">
        <w:rPr>
          <w:rFonts w:ascii="Times New Roman" w:hAnsi="Times New Roman" w:cs="Times New Roman"/>
          <w:i/>
          <w:iCs/>
        </w:rPr>
        <w:t xml:space="preserve">) </w:t>
      </w:r>
      <w:r w:rsidRPr="00D01C0A">
        <w:rPr>
          <w:rFonts w:ascii="Times New Roman" w:hAnsi="Times New Roman" w:cs="Times New Roman"/>
        </w:rPr>
        <w:t xml:space="preserve">population where 15% of the population were residents. Models were produced using </w:t>
      </w:r>
      <w:r w:rsidRPr="00D01C0A">
        <w:rPr>
          <w:rFonts w:ascii="Times New Roman" w:hAnsi="Times New Roman" w:cs="Times New Roman"/>
          <w:i/>
          <w:iCs/>
        </w:rPr>
        <w:t xml:space="preserve">Vortex10 </w:t>
      </w:r>
      <w:r w:rsidRPr="00D01C0A">
        <w:rPr>
          <w:rFonts w:ascii="Times New Roman" w:hAnsi="Times New Roman" w:cs="Times New Roman"/>
        </w:rPr>
        <w:t>and were run for 100 years and 1000 iterations</w:t>
      </w:r>
      <w:r>
        <w:rPr>
          <w:rFonts w:ascii="Times New Roman" w:hAnsi="Times New Roman" w:cs="Times New Roman"/>
        </w:rPr>
        <w:t>.</w:t>
      </w:r>
      <w:r w:rsidRPr="00D01C0A">
        <w:rPr>
          <w:rFonts w:ascii="Times New Roman" w:hAnsi="Times New Roman" w:cs="Times New Roman"/>
        </w:rPr>
        <w:t xml:space="preserve"> Initial population size was </w:t>
      </w:r>
      <w:r>
        <w:rPr>
          <w:rFonts w:ascii="Times New Roman" w:hAnsi="Times New Roman" w:cs="Times New Roman"/>
        </w:rPr>
        <w:t xml:space="preserve">set to </w:t>
      </w:r>
      <w:r w:rsidRPr="00D01C0A">
        <w:rPr>
          <w:rFonts w:ascii="Times New Roman" w:hAnsi="Times New Roman" w:cs="Times New Roman"/>
        </w:rPr>
        <w:t xml:space="preserve">155 </w:t>
      </w:r>
      <w:r>
        <w:rPr>
          <w:rFonts w:ascii="Times New Roman" w:hAnsi="Times New Roman" w:cs="Times New Roman"/>
        </w:rPr>
        <w:t>with</w:t>
      </w:r>
      <w:r w:rsidRPr="00D01C0A">
        <w:rPr>
          <w:rFonts w:ascii="Times New Roman" w:hAnsi="Times New Roman" w:cs="Times New Roman"/>
        </w:rPr>
        <w:t xml:space="preserve"> a carrying capacity </w:t>
      </w:r>
      <w:r>
        <w:rPr>
          <w:rFonts w:ascii="Times New Roman" w:hAnsi="Times New Roman" w:cs="Times New Roman"/>
        </w:rPr>
        <w:t>of</w:t>
      </w:r>
      <w:r w:rsidRPr="00D01C0A">
        <w:rPr>
          <w:rFonts w:ascii="Times New Roman" w:hAnsi="Times New Roman" w:cs="Times New Roman"/>
        </w:rPr>
        <w:t xml:space="preserve"> 12,600. </w:t>
      </w:r>
      <w:r w:rsidRPr="00012E89">
        <w:rPr>
          <w:rFonts w:ascii="Times New Roman" w:hAnsi="Times New Roman" w:cs="Times New Roman"/>
        </w:rPr>
        <w:t>The grey shading represents 95% CI from the distribution of values from all iterations.</w:t>
      </w:r>
    </w:p>
    <w:p w14:paraId="00F65EA3" w14:textId="77777777" w:rsidR="00DE5ACF" w:rsidRDefault="00DE5ACF" w:rsidP="00DE5ACF">
      <w:pPr>
        <w:ind w:left="720"/>
        <w:jc w:val="both"/>
        <w:rPr>
          <w:rFonts w:ascii="Times New Roman" w:hAnsi="Times New Roman" w:cs="Times New Roman"/>
        </w:rPr>
      </w:pPr>
    </w:p>
    <w:p w14:paraId="069947AB" w14:textId="77777777" w:rsidR="00DE5ACF" w:rsidRDefault="00DE5ACF" w:rsidP="00DE5ACF">
      <w:pPr>
        <w:ind w:left="720"/>
        <w:jc w:val="both"/>
        <w:rPr>
          <w:rFonts w:ascii="Times New Roman" w:hAnsi="Times New Roman" w:cs="Times New Roman"/>
        </w:rPr>
      </w:pPr>
    </w:p>
    <w:p w14:paraId="415F244B" w14:textId="77777777" w:rsidR="00DE5ACF" w:rsidRDefault="00DE5ACF" w:rsidP="00DE5ACF">
      <w:pPr>
        <w:ind w:left="720"/>
        <w:jc w:val="both"/>
        <w:rPr>
          <w:rFonts w:ascii="Times New Roman" w:hAnsi="Times New Roman" w:cs="Times New Roman"/>
        </w:rPr>
      </w:pPr>
    </w:p>
    <w:p w14:paraId="7A0026EB" w14:textId="77777777" w:rsidR="00DE5ACF" w:rsidRDefault="00DE5ACF" w:rsidP="00DE5ACF">
      <w:pPr>
        <w:ind w:left="720"/>
        <w:jc w:val="both"/>
        <w:rPr>
          <w:rFonts w:ascii="Times New Roman" w:hAnsi="Times New Roman" w:cs="Times New Roman"/>
        </w:rPr>
      </w:pPr>
    </w:p>
    <w:p w14:paraId="72E205DF" w14:textId="77777777" w:rsidR="00DE5ACF" w:rsidRDefault="00DE5ACF" w:rsidP="00DE5ACF">
      <w:pPr>
        <w:ind w:left="720"/>
        <w:jc w:val="both"/>
        <w:rPr>
          <w:rFonts w:ascii="Times New Roman" w:hAnsi="Times New Roman" w:cs="Times New Roman"/>
        </w:rPr>
      </w:pPr>
    </w:p>
    <w:p w14:paraId="640829A1" w14:textId="77777777" w:rsidR="00DE5ACF" w:rsidRDefault="00DE5ACF" w:rsidP="00DE5ACF">
      <w:pPr>
        <w:ind w:left="720"/>
        <w:jc w:val="both"/>
        <w:rPr>
          <w:rFonts w:ascii="Times New Roman" w:hAnsi="Times New Roman" w:cs="Times New Roman"/>
        </w:rPr>
      </w:pPr>
    </w:p>
    <w:p w14:paraId="2831FBCD" w14:textId="77777777" w:rsidR="00DE5ACF" w:rsidRDefault="00DE5ACF" w:rsidP="00DE5ACF">
      <w:pPr>
        <w:ind w:left="720"/>
        <w:jc w:val="both"/>
        <w:rPr>
          <w:rFonts w:ascii="Times New Roman" w:hAnsi="Times New Roman" w:cs="Times New Roman"/>
        </w:rPr>
      </w:pPr>
    </w:p>
    <w:p w14:paraId="2095BA0C" w14:textId="77777777" w:rsidR="00DE5ACF" w:rsidRDefault="00DE5ACF" w:rsidP="00DE5ACF">
      <w:pPr>
        <w:ind w:left="720"/>
        <w:jc w:val="both"/>
        <w:rPr>
          <w:rFonts w:ascii="Times New Roman" w:hAnsi="Times New Roman" w:cs="Times New Roman"/>
        </w:rPr>
      </w:pPr>
    </w:p>
    <w:p w14:paraId="2B0F1848" w14:textId="77777777" w:rsidR="00DE5ACF" w:rsidRDefault="00DE5ACF" w:rsidP="00DE5ACF">
      <w:pPr>
        <w:jc w:val="both"/>
        <w:rPr>
          <w:rFonts w:ascii="Times New Roman" w:hAnsi="Times New Roman" w:cs="Times New Roman"/>
        </w:rPr>
      </w:pPr>
    </w:p>
    <w:p w14:paraId="7D23454A" w14:textId="77777777" w:rsidR="00DE5ACF" w:rsidRPr="007B4E78" w:rsidRDefault="00DE5ACF" w:rsidP="00DE5ACF">
      <w:pPr>
        <w:jc w:val="both"/>
        <w:rPr>
          <w:rFonts w:ascii="Times New Roman" w:hAnsi="Times New Roman" w:cs="Times New Roman"/>
        </w:rPr>
      </w:pPr>
      <w:r>
        <w:rPr>
          <w:rFonts w:ascii="Times New Roman" w:hAnsi="Times New Roman" w:cs="Times New Roman"/>
        </w:rPr>
        <w:t xml:space="preserve">S2 – The exact mortality rates entered into </w:t>
      </w:r>
      <w:r>
        <w:rPr>
          <w:rFonts w:ascii="Times New Roman" w:hAnsi="Times New Roman" w:cs="Times New Roman"/>
          <w:i/>
          <w:iCs/>
        </w:rPr>
        <w:t>Vortex10</w:t>
      </w:r>
      <w:r>
        <w:rPr>
          <w:rFonts w:ascii="Times New Roman" w:hAnsi="Times New Roman" w:cs="Times New Roman"/>
        </w:rPr>
        <w:t xml:space="preserve"> based on the percentage of non-migratory individuals with the population.</w:t>
      </w:r>
    </w:p>
    <w:tbl>
      <w:tblPr>
        <w:tblW w:w="7962" w:type="dxa"/>
        <w:tblBorders>
          <w:insideH w:val="single" w:sz="8" w:space="0" w:color="auto"/>
          <w:insideV w:val="single" w:sz="8" w:space="0" w:color="auto"/>
        </w:tblBorders>
        <w:tblLayout w:type="fixed"/>
        <w:tblLook w:val="04A0" w:firstRow="1" w:lastRow="0" w:firstColumn="1" w:lastColumn="0" w:noHBand="0" w:noVBand="1"/>
      </w:tblPr>
      <w:tblGrid>
        <w:gridCol w:w="1985"/>
        <w:gridCol w:w="1417"/>
        <w:gridCol w:w="1498"/>
        <w:gridCol w:w="1531"/>
        <w:gridCol w:w="1531"/>
      </w:tblGrid>
      <w:tr w:rsidR="00DE5ACF" w:rsidRPr="00B96AAC" w14:paraId="4A6CB64B" w14:textId="77777777" w:rsidTr="0031074B">
        <w:trPr>
          <w:trHeight w:val="290"/>
        </w:trPr>
        <w:tc>
          <w:tcPr>
            <w:tcW w:w="7962" w:type="dxa"/>
            <w:gridSpan w:val="5"/>
            <w:tcBorders>
              <w:top w:val="single" w:sz="12" w:space="0" w:color="FFFFFF" w:themeColor="background1"/>
            </w:tcBorders>
            <w:shd w:val="clear" w:color="auto" w:fill="auto"/>
            <w:noWrap/>
            <w:vAlign w:val="bottom"/>
          </w:tcPr>
          <w:p w14:paraId="4D261E7E" w14:textId="77777777" w:rsidR="00DE5ACF" w:rsidRPr="00B96AAC" w:rsidRDefault="00DE5ACF" w:rsidP="0031074B">
            <w:pPr>
              <w:spacing w:after="0" w:line="24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Table S2: The mortality rates of each age class entered into Vortex10 based on the percentage of non-migratory individuals within the population being modelled</w:t>
            </w:r>
          </w:p>
        </w:tc>
      </w:tr>
      <w:tr w:rsidR="00DE5ACF" w:rsidRPr="00B96AAC" w14:paraId="7A66577E" w14:textId="77777777" w:rsidTr="0031074B">
        <w:trPr>
          <w:trHeight w:val="290"/>
        </w:trPr>
        <w:tc>
          <w:tcPr>
            <w:tcW w:w="1985" w:type="dxa"/>
            <w:tcBorders>
              <w:top w:val="single" w:sz="12" w:space="0" w:color="auto"/>
            </w:tcBorders>
            <w:shd w:val="clear" w:color="auto" w:fill="auto"/>
            <w:noWrap/>
            <w:vAlign w:val="bottom"/>
            <w:hideMark/>
          </w:tcPr>
          <w:p w14:paraId="479A3203"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bookmarkStart w:id="1" w:name="_Hlk83540075"/>
            <w:r w:rsidRPr="00B96AAC">
              <w:rPr>
                <w:rFonts w:ascii="Times New Roman" w:eastAsia="Times New Roman" w:hAnsi="Times New Roman" w:cs="Times New Roman"/>
                <w:color w:val="000000"/>
                <w:sz w:val="20"/>
                <w:szCs w:val="20"/>
                <w:lang w:eastAsia="en-GB"/>
              </w:rPr>
              <w:t>Non-migratory (%)</w:t>
            </w:r>
          </w:p>
        </w:tc>
        <w:tc>
          <w:tcPr>
            <w:tcW w:w="1417" w:type="dxa"/>
            <w:tcBorders>
              <w:top w:val="single" w:sz="12" w:space="0" w:color="auto"/>
            </w:tcBorders>
            <w:shd w:val="clear" w:color="auto" w:fill="auto"/>
            <w:noWrap/>
            <w:vAlign w:val="bottom"/>
            <w:hideMark/>
          </w:tcPr>
          <w:p w14:paraId="017D83F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0-1</w:t>
            </w:r>
          </w:p>
        </w:tc>
        <w:tc>
          <w:tcPr>
            <w:tcW w:w="1498" w:type="dxa"/>
            <w:tcBorders>
              <w:top w:val="single" w:sz="12" w:space="0" w:color="auto"/>
            </w:tcBorders>
            <w:shd w:val="clear" w:color="auto" w:fill="auto"/>
            <w:noWrap/>
            <w:vAlign w:val="bottom"/>
            <w:hideMark/>
          </w:tcPr>
          <w:p w14:paraId="473C83A1"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1-2</w:t>
            </w:r>
          </w:p>
        </w:tc>
        <w:tc>
          <w:tcPr>
            <w:tcW w:w="1531" w:type="dxa"/>
            <w:tcBorders>
              <w:top w:val="single" w:sz="12" w:space="0" w:color="auto"/>
            </w:tcBorders>
            <w:shd w:val="clear" w:color="auto" w:fill="auto"/>
            <w:noWrap/>
            <w:vAlign w:val="bottom"/>
            <w:hideMark/>
          </w:tcPr>
          <w:p w14:paraId="77929CB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2-3</w:t>
            </w:r>
          </w:p>
        </w:tc>
        <w:tc>
          <w:tcPr>
            <w:tcW w:w="1531" w:type="dxa"/>
            <w:tcBorders>
              <w:top w:val="single" w:sz="12" w:space="0" w:color="auto"/>
            </w:tcBorders>
            <w:shd w:val="clear" w:color="auto" w:fill="auto"/>
            <w:noWrap/>
            <w:vAlign w:val="bottom"/>
            <w:hideMark/>
          </w:tcPr>
          <w:p w14:paraId="4E930CF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3</w:t>
            </w:r>
          </w:p>
        </w:tc>
      </w:tr>
      <w:tr w:rsidR="00DE5ACF" w:rsidRPr="00B96AAC" w14:paraId="59E843A6" w14:textId="77777777" w:rsidTr="0031074B">
        <w:trPr>
          <w:trHeight w:val="290"/>
        </w:trPr>
        <w:tc>
          <w:tcPr>
            <w:tcW w:w="1985" w:type="dxa"/>
            <w:shd w:val="clear" w:color="auto" w:fill="auto"/>
            <w:noWrap/>
            <w:vAlign w:val="bottom"/>
            <w:hideMark/>
          </w:tcPr>
          <w:p w14:paraId="43377A3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0</w:t>
            </w:r>
          </w:p>
        </w:tc>
        <w:tc>
          <w:tcPr>
            <w:tcW w:w="1417" w:type="dxa"/>
            <w:shd w:val="clear" w:color="auto" w:fill="auto"/>
            <w:noWrap/>
            <w:vAlign w:val="bottom"/>
            <w:hideMark/>
          </w:tcPr>
          <w:p w14:paraId="4257F96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4408B0F3"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22.16</w:t>
            </w:r>
          </w:p>
        </w:tc>
        <w:tc>
          <w:tcPr>
            <w:tcW w:w="1531" w:type="dxa"/>
            <w:shd w:val="clear" w:color="auto" w:fill="auto"/>
            <w:noWrap/>
            <w:vAlign w:val="bottom"/>
            <w:hideMark/>
          </w:tcPr>
          <w:p w14:paraId="1C7938C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22.16</w:t>
            </w:r>
          </w:p>
        </w:tc>
        <w:tc>
          <w:tcPr>
            <w:tcW w:w="1531" w:type="dxa"/>
            <w:shd w:val="clear" w:color="auto" w:fill="auto"/>
            <w:noWrap/>
            <w:vAlign w:val="bottom"/>
            <w:hideMark/>
          </w:tcPr>
          <w:p w14:paraId="71836C8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22.16</w:t>
            </w:r>
          </w:p>
        </w:tc>
      </w:tr>
      <w:tr w:rsidR="00DE5ACF" w:rsidRPr="00B96AAC" w14:paraId="0991C5AB" w14:textId="77777777" w:rsidTr="0031074B">
        <w:trPr>
          <w:trHeight w:val="290"/>
        </w:trPr>
        <w:tc>
          <w:tcPr>
            <w:tcW w:w="1985" w:type="dxa"/>
            <w:shd w:val="clear" w:color="auto" w:fill="auto"/>
            <w:noWrap/>
            <w:vAlign w:val="bottom"/>
            <w:hideMark/>
          </w:tcPr>
          <w:p w14:paraId="3E781CD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w:t>
            </w:r>
          </w:p>
        </w:tc>
        <w:tc>
          <w:tcPr>
            <w:tcW w:w="1417" w:type="dxa"/>
            <w:shd w:val="clear" w:color="auto" w:fill="auto"/>
            <w:noWrap/>
            <w:hideMark/>
          </w:tcPr>
          <w:p w14:paraId="20F6F5F1"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3D45DAD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22.12</w:t>
            </w:r>
          </w:p>
        </w:tc>
        <w:tc>
          <w:tcPr>
            <w:tcW w:w="1531" w:type="dxa"/>
            <w:shd w:val="clear" w:color="auto" w:fill="auto"/>
            <w:noWrap/>
            <w:vAlign w:val="bottom"/>
            <w:hideMark/>
          </w:tcPr>
          <w:p w14:paraId="3BEA58F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22.05</w:t>
            </w:r>
          </w:p>
        </w:tc>
        <w:tc>
          <w:tcPr>
            <w:tcW w:w="1531" w:type="dxa"/>
            <w:shd w:val="clear" w:color="auto" w:fill="auto"/>
            <w:noWrap/>
            <w:vAlign w:val="bottom"/>
            <w:hideMark/>
          </w:tcPr>
          <w:p w14:paraId="28636E7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21.99</w:t>
            </w:r>
          </w:p>
        </w:tc>
      </w:tr>
      <w:tr w:rsidR="00DE5ACF" w:rsidRPr="00B96AAC" w14:paraId="2FC74A32" w14:textId="77777777" w:rsidTr="0031074B">
        <w:trPr>
          <w:trHeight w:val="290"/>
        </w:trPr>
        <w:tc>
          <w:tcPr>
            <w:tcW w:w="1985" w:type="dxa"/>
            <w:shd w:val="clear" w:color="auto" w:fill="auto"/>
            <w:noWrap/>
            <w:vAlign w:val="bottom"/>
          </w:tcPr>
          <w:p w14:paraId="3858DCF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w:t>
            </w:r>
          </w:p>
        </w:tc>
        <w:tc>
          <w:tcPr>
            <w:tcW w:w="1417" w:type="dxa"/>
            <w:shd w:val="clear" w:color="auto" w:fill="auto"/>
            <w:noWrap/>
            <w:hideMark/>
          </w:tcPr>
          <w:p w14:paraId="4421607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4F7DCD2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22.07</w:t>
            </w:r>
          </w:p>
        </w:tc>
        <w:tc>
          <w:tcPr>
            <w:tcW w:w="1531" w:type="dxa"/>
            <w:shd w:val="clear" w:color="auto" w:fill="auto"/>
            <w:noWrap/>
            <w:vAlign w:val="bottom"/>
            <w:hideMark/>
          </w:tcPr>
          <w:p w14:paraId="283445E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21.95</w:t>
            </w:r>
          </w:p>
        </w:tc>
        <w:tc>
          <w:tcPr>
            <w:tcW w:w="1531" w:type="dxa"/>
            <w:shd w:val="clear" w:color="auto" w:fill="auto"/>
            <w:noWrap/>
            <w:vAlign w:val="bottom"/>
            <w:hideMark/>
          </w:tcPr>
          <w:p w14:paraId="786AAEF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21.82</w:t>
            </w:r>
          </w:p>
        </w:tc>
      </w:tr>
      <w:tr w:rsidR="00DE5ACF" w:rsidRPr="00B96AAC" w14:paraId="171BC21B" w14:textId="77777777" w:rsidTr="0031074B">
        <w:trPr>
          <w:trHeight w:val="290"/>
        </w:trPr>
        <w:tc>
          <w:tcPr>
            <w:tcW w:w="1985" w:type="dxa"/>
            <w:shd w:val="clear" w:color="auto" w:fill="auto"/>
            <w:noWrap/>
            <w:vAlign w:val="bottom"/>
          </w:tcPr>
          <w:p w14:paraId="0B761B7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3</w:t>
            </w:r>
          </w:p>
        </w:tc>
        <w:tc>
          <w:tcPr>
            <w:tcW w:w="1417" w:type="dxa"/>
            <w:shd w:val="clear" w:color="auto" w:fill="auto"/>
            <w:noWrap/>
            <w:hideMark/>
          </w:tcPr>
          <w:p w14:paraId="4D073EC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2A01114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22.03</w:t>
            </w:r>
          </w:p>
        </w:tc>
        <w:tc>
          <w:tcPr>
            <w:tcW w:w="1531" w:type="dxa"/>
            <w:shd w:val="clear" w:color="auto" w:fill="auto"/>
            <w:noWrap/>
            <w:vAlign w:val="bottom"/>
            <w:hideMark/>
          </w:tcPr>
          <w:p w14:paraId="060052E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21.84</w:t>
            </w:r>
          </w:p>
        </w:tc>
        <w:tc>
          <w:tcPr>
            <w:tcW w:w="1531" w:type="dxa"/>
            <w:shd w:val="clear" w:color="auto" w:fill="auto"/>
            <w:noWrap/>
            <w:vAlign w:val="bottom"/>
            <w:hideMark/>
          </w:tcPr>
          <w:p w14:paraId="5578D1F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21.66</w:t>
            </w:r>
          </w:p>
        </w:tc>
      </w:tr>
      <w:tr w:rsidR="00DE5ACF" w:rsidRPr="00B96AAC" w14:paraId="43D19F0D" w14:textId="77777777" w:rsidTr="0031074B">
        <w:trPr>
          <w:trHeight w:val="290"/>
        </w:trPr>
        <w:tc>
          <w:tcPr>
            <w:tcW w:w="1985" w:type="dxa"/>
            <w:shd w:val="clear" w:color="auto" w:fill="auto"/>
            <w:noWrap/>
            <w:vAlign w:val="bottom"/>
          </w:tcPr>
          <w:p w14:paraId="1EF2435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4</w:t>
            </w:r>
          </w:p>
        </w:tc>
        <w:tc>
          <w:tcPr>
            <w:tcW w:w="1417" w:type="dxa"/>
            <w:shd w:val="clear" w:color="auto" w:fill="auto"/>
            <w:noWrap/>
            <w:hideMark/>
          </w:tcPr>
          <w:p w14:paraId="4F0DA5DC"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59A0D98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21.98</w:t>
            </w:r>
          </w:p>
        </w:tc>
        <w:tc>
          <w:tcPr>
            <w:tcW w:w="1531" w:type="dxa"/>
            <w:shd w:val="clear" w:color="auto" w:fill="auto"/>
            <w:noWrap/>
            <w:vAlign w:val="bottom"/>
            <w:hideMark/>
          </w:tcPr>
          <w:p w14:paraId="0AC65D33"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21.74</w:t>
            </w:r>
          </w:p>
        </w:tc>
        <w:tc>
          <w:tcPr>
            <w:tcW w:w="1531" w:type="dxa"/>
            <w:shd w:val="clear" w:color="auto" w:fill="auto"/>
            <w:noWrap/>
            <w:vAlign w:val="bottom"/>
            <w:hideMark/>
          </w:tcPr>
          <w:p w14:paraId="76F22DB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21.49</w:t>
            </w:r>
          </w:p>
        </w:tc>
      </w:tr>
      <w:tr w:rsidR="00DE5ACF" w:rsidRPr="00B96AAC" w14:paraId="55E5066A" w14:textId="77777777" w:rsidTr="0031074B">
        <w:trPr>
          <w:trHeight w:val="290"/>
        </w:trPr>
        <w:tc>
          <w:tcPr>
            <w:tcW w:w="1985" w:type="dxa"/>
            <w:shd w:val="clear" w:color="auto" w:fill="auto"/>
            <w:noWrap/>
            <w:vAlign w:val="bottom"/>
          </w:tcPr>
          <w:p w14:paraId="5BCF851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5</w:t>
            </w:r>
          </w:p>
        </w:tc>
        <w:tc>
          <w:tcPr>
            <w:tcW w:w="1417" w:type="dxa"/>
            <w:shd w:val="clear" w:color="auto" w:fill="auto"/>
            <w:noWrap/>
            <w:hideMark/>
          </w:tcPr>
          <w:p w14:paraId="4330EB1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46B7AC3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21.94</w:t>
            </w:r>
          </w:p>
        </w:tc>
        <w:tc>
          <w:tcPr>
            <w:tcW w:w="1531" w:type="dxa"/>
            <w:shd w:val="clear" w:color="auto" w:fill="auto"/>
            <w:noWrap/>
            <w:vAlign w:val="bottom"/>
            <w:hideMark/>
          </w:tcPr>
          <w:p w14:paraId="0F57AD0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21.63</w:t>
            </w:r>
          </w:p>
        </w:tc>
        <w:tc>
          <w:tcPr>
            <w:tcW w:w="1531" w:type="dxa"/>
            <w:shd w:val="clear" w:color="auto" w:fill="auto"/>
            <w:noWrap/>
            <w:vAlign w:val="bottom"/>
            <w:hideMark/>
          </w:tcPr>
          <w:p w14:paraId="3195AB9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21.32</w:t>
            </w:r>
          </w:p>
        </w:tc>
      </w:tr>
      <w:tr w:rsidR="00DE5ACF" w:rsidRPr="00B96AAC" w14:paraId="1C1DCAC0" w14:textId="77777777" w:rsidTr="0031074B">
        <w:trPr>
          <w:trHeight w:val="290"/>
        </w:trPr>
        <w:tc>
          <w:tcPr>
            <w:tcW w:w="1985" w:type="dxa"/>
            <w:shd w:val="clear" w:color="auto" w:fill="auto"/>
            <w:noWrap/>
            <w:vAlign w:val="bottom"/>
          </w:tcPr>
          <w:p w14:paraId="4E33F7A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w:t>
            </w:r>
          </w:p>
        </w:tc>
        <w:tc>
          <w:tcPr>
            <w:tcW w:w="1417" w:type="dxa"/>
            <w:shd w:val="clear" w:color="auto" w:fill="auto"/>
            <w:noWrap/>
            <w:hideMark/>
          </w:tcPr>
          <w:p w14:paraId="3AB1D2FC"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52F7E24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21.89</w:t>
            </w:r>
          </w:p>
        </w:tc>
        <w:tc>
          <w:tcPr>
            <w:tcW w:w="1531" w:type="dxa"/>
            <w:shd w:val="clear" w:color="auto" w:fill="auto"/>
            <w:noWrap/>
            <w:vAlign w:val="bottom"/>
            <w:hideMark/>
          </w:tcPr>
          <w:p w14:paraId="0AB11B6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21.52</w:t>
            </w:r>
          </w:p>
        </w:tc>
        <w:tc>
          <w:tcPr>
            <w:tcW w:w="1531" w:type="dxa"/>
            <w:shd w:val="clear" w:color="auto" w:fill="auto"/>
            <w:noWrap/>
            <w:vAlign w:val="bottom"/>
            <w:hideMark/>
          </w:tcPr>
          <w:p w14:paraId="4776300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21.15</w:t>
            </w:r>
          </w:p>
        </w:tc>
      </w:tr>
      <w:tr w:rsidR="00DE5ACF" w:rsidRPr="00B96AAC" w14:paraId="62ABC7B0" w14:textId="77777777" w:rsidTr="0031074B">
        <w:trPr>
          <w:trHeight w:val="290"/>
        </w:trPr>
        <w:tc>
          <w:tcPr>
            <w:tcW w:w="1985" w:type="dxa"/>
            <w:shd w:val="clear" w:color="auto" w:fill="auto"/>
            <w:noWrap/>
            <w:vAlign w:val="bottom"/>
          </w:tcPr>
          <w:p w14:paraId="3DF7D66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7</w:t>
            </w:r>
          </w:p>
        </w:tc>
        <w:tc>
          <w:tcPr>
            <w:tcW w:w="1417" w:type="dxa"/>
            <w:shd w:val="clear" w:color="auto" w:fill="auto"/>
            <w:noWrap/>
            <w:hideMark/>
          </w:tcPr>
          <w:p w14:paraId="67EA1A0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1AF5066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21.85</w:t>
            </w:r>
          </w:p>
        </w:tc>
        <w:tc>
          <w:tcPr>
            <w:tcW w:w="1531" w:type="dxa"/>
            <w:shd w:val="clear" w:color="auto" w:fill="auto"/>
            <w:noWrap/>
            <w:vAlign w:val="bottom"/>
            <w:hideMark/>
          </w:tcPr>
          <w:p w14:paraId="4503C6C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21.42</w:t>
            </w:r>
          </w:p>
        </w:tc>
        <w:tc>
          <w:tcPr>
            <w:tcW w:w="1531" w:type="dxa"/>
            <w:shd w:val="clear" w:color="auto" w:fill="auto"/>
            <w:noWrap/>
            <w:vAlign w:val="bottom"/>
            <w:hideMark/>
          </w:tcPr>
          <w:p w14:paraId="3CECC76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20.99</w:t>
            </w:r>
          </w:p>
        </w:tc>
      </w:tr>
      <w:tr w:rsidR="00DE5ACF" w:rsidRPr="00B96AAC" w14:paraId="2ECEDC6E" w14:textId="77777777" w:rsidTr="0031074B">
        <w:trPr>
          <w:trHeight w:val="290"/>
        </w:trPr>
        <w:tc>
          <w:tcPr>
            <w:tcW w:w="1985" w:type="dxa"/>
            <w:shd w:val="clear" w:color="auto" w:fill="auto"/>
            <w:noWrap/>
            <w:vAlign w:val="bottom"/>
          </w:tcPr>
          <w:p w14:paraId="73188706"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8</w:t>
            </w:r>
          </w:p>
        </w:tc>
        <w:tc>
          <w:tcPr>
            <w:tcW w:w="1417" w:type="dxa"/>
            <w:shd w:val="clear" w:color="auto" w:fill="auto"/>
            <w:noWrap/>
            <w:hideMark/>
          </w:tcPr>
          <w:p w14:paraId="0F00D41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2DD520D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21.80</w:t>
            </w:r>
          </w:p>
        </w:tc>
        <w:tc>
          <w:tcPr>
            <w:tcW w:w="1531" w:type="dxa"/>
            <w:shd w:val="clear" w:color="auto" w:fill="auto"/>
            <w:noWrap/>
            <w:vAlign w:val="bottom"/>
            <w:hideMark/>
          </w:tcPr>
          <w:p w14:paraId="6459B191"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21.31</w:t>
            </w:r>
          </w:p>
        </w:tc>
        <w:tc>
          <w:tcPr>
            <w:tcW w:w="1531" w:type="dxa"/>
            <w:shd w:val="clear" w:color="auto" w:fill="auto"/>
            <w:noWrap/>
            <w:vAlign w:val="bottom"/>
            <w:hideMark/>
          </w:tcPr>
          <w:p w14:paraId="5FFE033B"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20.82</w:t>
            </w:r>
          </w:p>
        </w:tc>
      </w:tr>
      <w:tr w:rsidR="00DE5ACF" w:rsidRPr="00B96AAC" w14:paraId="69E960A1" w14:textId="77777777" w:rsidTr="0031074B">
        <w:trPr>
          <w:trHeight w:val="290"/>
        </w:trPr>
        <w:tc>
          <w:tcPr>
            <w:tcW w:w="1985" w:type="dxa"/>
            <w:shd w:val="clear" w:color="auto" w:fill="auto"/>
            <w:noWrap/>
            <w:vAlign w:val="bottom"/>
          </w:tcPr>
          <w:p w14:paraId="50EB345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9</w:t>
            </w:r>
          </w:p>
        </w:tc>
        <w:tc>
          <w:tcPr>
            <w:tcW w:w="1417" w:type="dxa"/>
            <w:shd w:val="clear" w:color="auto" w:fill="auto"/>
            <w:noWrap/>
            <w:hideMark/>
          </w:tcPr>
          <w:p w14:paraId="6A42BE6C"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1D901B8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21.76</w:t>
            </w:r>
          </w:p>
        </w:tc>
        <w:tc>
          <w:tcPr>
            <w:tcW w:w="1531" w:type="dxa"/>
            <w:shd w:val="clear" w:color="auto" w:fill="auto"/>
            <w:noWrap/>
            <w:vAlign w:val="bottom"/>
            <w:hideMark/>
          </w:tcPr>
          <w:p w14:paraId="3C7C481B"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21.21</w:t>
            </w:r>
          </w:p>
        </w:tc>
        <w:tc>
          <w:tcPr>
            <w:tcW w:w="1531" w:type="dxa"/>
            <w:shd w:val="clear" w:color="auto" w:fill="auto"/>
            <w:noWrap/>
            <w:vAlign w:val="bottom"/>
            <w:hideMark/>
          </w:tcPr>
          <w:p w14:paraId="06E713A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20.65</w:t>
            </w:r>
          </w:p>
        </w:tc>
      </w:tr>
      <w:tr w:rsidR="00DE5ACF" w:rsidRPr="00B96AAC" w14:paraId="16008FF3" w14:textId="77777777" w:rsidTr="0031074B">
        <w:trPr>
          <w:trHeight w:val="290"/>
        </w:trPr>
        <w:tc>
          <w:tcPr>
            <w:tcW w:w="1985" w:type="dxa"/>
            <w:shd w:val="clear" w:color="auto" w:fill="auto"/>
            <w:noWrap/>
            <w:vAlign w:val="bottom"/>
          </w:tcPr>
          <w:p w14:paraId="392CE97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10</w:t>
            </w:r>
          </w:p>
        </w:tc>
        <w:tc>
          <w:tcPr>
            <w:tcW w:w="1417" w:type="dxa"/>
            <w:shd w:val="clear" w:color="auto" w:fill="auto"/>
            <w:noWrap/>
            <w:hideMark/>
          </w:tcPr>
          <w:p w14:paraId="0B054011"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63778AB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21.71</w:t>
            </w:r>
          </w:p>
        </w:tc>
        <w:tc>
          <w:tcPr>
            <w:tcW w:w="1531" w:type="dxa"/>
            <w:shd w:val="clear" w:color="auto" w:fill="auto"/>
            <w:noWrap/>
            <w:vAlign w:val="bottom"/>
            <w:hideMark/>
          </w:tcPr>
          <w:p w14:paraId="7C12683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21.10</w:t>
            </w:r>
          </w:p>
        </w:tc>
        <w:tc>
          <w:tcPr>
            <w:tcW w:w="1531" w:type="dxa"/>
            <w:shd w:val="clear" w:color="auto" w:fill="auto"/>
            <w:noWrap/>
            <w:vAlign w:val="bottom"/>
            <w:hideMark/>
          </w:tcPr>
          <w:p w14:paraId="693449D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20.48</w:t>
            </w:r>
          </w:p>
        </w:tc>
      </w:tr>
      <w:tr w:rsidR="00DE5ACF" w:rsidRPr="00B96AAC" w14:paraId="51D6C7BC" w14:textId="77777777" w:rsidTr="0031074B">
        <w:trPr>
          <w:trHeight w:val="290"/>
        </w:trPr>
        <w:tc>
          <w:tcPr>
            <w:tcW w:w="1985" w:type="dxa"/>
            <w:shd w:val="clear" w:color="auto" w:fill="auto"/>
            <w:noWrap/>
            <w:vAlign w:val="bottom"/>
          </w:tcPr>
          <w:p w14:paraId="2E9F198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11</w:t>
            </w:r>
          </w:p>
        </w:tc>
        <w:tc>
          <w:tcPr>
            <w:tcW w:w="1417" w:type="dxa"/>
            <w:shd w:val="clear" w:color="auto" w:fill="auto"/>
            <w:noWrap/>
            <w:hideMark/>
          </w:tcPr>
          <w:p w14:paraId="28A2DEA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0B44969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21.67</w:t>
            </w:r>
          </w:p>
        </w:tc>
        <w:tc>
          <w:tcPr>
            <w:tcW w:w="1531" w:type="dxa"/>
            <w:shd w:val="clear" w:color="auto" w:fill="auto"/>
            <w:noWrap/>
            <w:vAlign w:val="bottom"/>
            <w:hideMark/>
          </w:tcPr>
          <w:p w14:paraId="6152FF1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20.99</w:t>
            </w:r>
          </w:p>
        </w:tc>
        <w:tc>
          <w:tcPr>
            <w:tcW w:w="1531" w:type="dxa"/>
            <w:shd w:val="clear" w:color="auto" w:fill="auto"/>
            <w:noWrap/>
            <w:vAlign w:val="bottom"/>
            <w:hideMark/>
          </w:tcPr>
          <w:p w14:paraId="4811117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20.32</w:t>
            </w:r>
          </w:p>
        </w:tc>
      </w:tr>
      <w:tr w:rsidR="00DE5ACF" w:rsidRPr="00B96AAC" w14:paraId="171FEC5E" w14:textId="77777777" w:rsidTr="0031074B">
        <w:trPr>
          <w:trHeight w:val="290"/>
        </w:trPr>
        <w:tc>
          <w:tcPr>
            <w:tcW w:w="1985" w:type="dxa"/>
            <w:shd w:val="clear" w:color="auto" w:fill="auto"/>
            <w:noWrap/>
            <w:vAlign w:val="bottom"/>
          </w:tcPr>
          <w:p w14:paraId="37B94D2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12</w:t>
            </w:r>
          </w:p>
        </w:tc>
        <w:tc>
          <w:tcPr>
            <w:tcW w:w="1417" w:type="dxa"/>
            <w:shd w:val="clear" w:color="auto" w:fill="auto"/>
            <w:noWrap/>
            <w:hideMark/>
          </w:tcPr>
          <w:p w14:paraId="5AD2243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4AC52C26"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21.62</w:t>
            </w:r>
          </w:p>
        </w:tc>
        <w:tc>
          <w:tcPr>
            <w:tcW w:w="1531" w:type="dxa"/>
            <w:shd w:val="clear" w:color="auto" w:fill="auto"/>
            <w:noWrap/>
            <w:vAlign w:val="bottom"/>
            <w:hideMark/>
          </w:tcPr>
          <w:p w14:paraId="093B8E8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20.89</w:t>
            </w:r>
          </w:p>
        </w:tc>
        <w:tc>
          <w:tcPr>
            <w:tcW w:w="1531" w:type="dxa"/>
            <w:shd w:val="clear" w:color="auto" w:fill="auto"/>
            <w:noWrap/>
            <w:vAlign w:val="bottom"/>
            <w:hideMark/>
          </w:tcPr>
          <w:p w14:paraId="4CD80AB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20.15</w:t>
            </w:r>
          </w:p>
        </w:tc>
      </w:tr>
      <w:tr w:rsidR="00DE5ACF" w:rsidRPr="00B96AAC" w14:paraId="5BADE098" w14:textId="77777777" w:rsidTr="0031074B">
        <w:trPr>
          <w:trHeight w:val="290"/>
        </w:trPr>
        <w:tc>
          <w:tcPr>
            <w:tcW w:w="1985" w:type="dxa"/>
            <w:shd w:val="clear" w:color="auto" w:fill="auto"/>
            <w:noWrap/>
            <w:vAlign w:val="bottom"/>
          </w:tcPr>
          <w:p w14:paraId="3EBB9C7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13</w:t>
            </w:r>
          </w:p>
        </w:tc>
        <w:tc>
          <w:tcPr>
            <w:tcW w:w="1417" w:type="dxa"/>
            <w:shd w:val="clear" w:color="auto" w:fill="auto"/>
            <w:noWrap/>
            <w:hideMark/>
          </w:tcPr>
          <w:p w14:paraId="3E6ED55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3CFBC02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21.58</w:t>
            </w:r>
          </w:p>
        </w:tc>
        <w:tc>
          <w:tcPr>
            <w:tcW w:w="1531" w:type="dxa"/>
            <w:shd w:val="clear" w:color="auto" w:fill="auto"/>
            <w:noWrap/>
            <w:vAlign w:val="bottom"/>
            <w:hideMark/>
          </w:tcPr>
          <w:p w14:paraId="2107659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20.78</w:t>
            </w:r>
          </w:p>
        </w:tc>
        <w:tc>
          <w:tcPr>
            <w:tcW w:w="1531" w:type="dxa"/>
            <w:shd w:val="clear" w:color="auto" w:fill="auto"/>
            <w:noWrap/>
            <w:vAlign w:val="bottom"/>
            <w:hideMark/>
          </w:tcPr>
          <w:p w14:paraId="33D05DD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19.98</w:t>
            </w:r>
          </w:p>
        </w:tc>
      </w:tr>
      <w:tr w:rsidR="00DE5ACF" w:rsidRPr="00B96AAC" w14:paraId="10630531" w14:textId="77777777" w:rsidTr="0031074B">
        <w:trPr>
          <w:trHeight w:val="290"/>
        </w:trPr>
        <w:tc>
          <w:tcPr>
            <w:tcW w:w="1985" w:type="dxa"/>
            <w:shd w:val="clear" w:color="auto" w:fill="auto"/>
            <w:noWrap/>
            <w:vAlign w:val="bottom"/>
          </w:tcPr>
          <w:p w14:paraId="388E03FB"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14</w:t>
            </w:r>
          </w:p>
        </w:tc>
        <w:tc>
          <w:tcPr>
            <w:tcW w:w="1417" w:type="dxa"/>
            <w:shd w:val="clear" w:color="auto" w:fill="auto"/>
            <w:noWrap/>
            <w:hideMark/>
          </w:tcPr>
          <w:p w14:paraId="3B3B891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7606966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21.54</w:t>
            </w:r>
          </w:p>
        </w:tc>
        <w:tc>
          <w:tcPr>
            <w:tcW w:w="1531" w:type="dxa"/>
            <w:shd w:val="clear" w:color="auto" w:fill="auto"/>
            <w:noWrap/>
            <w:vAlign w:val="bottom"/>
            <w:hideMark/>
          </w:tcPr>
          <w:p w14:paraId="75C430CC"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20.67</w:t>
            </w:r>
          </w:p>
        </w:tc>
        <w:tc>
          <w:tcPr>
            <w:tcW w:w="1531" w:type="dxa"/>
            <w:shd w:val="clear" w:color="auto" w:fill="auto"/>
            <w:noWrap/>
            <w:vAlign w:val="bottom"/>
            <w:hideMark/>
          </w:tcPr>
          <w:p w14:paraId="0291046A"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19.81</w:t>
            </w:r>
          </w:p>
        </w:tc>
      </w:tr>
      <w:tr w:rsidR="00DE5ACF" w:rsidRPr="00B96AAC" w14:paraId="6B39FE40" w14:textId="77777777" w:rsidTr="0031074B">
        <w:trPr>
          <w:trHeight w:val="290"/>
        </w:trPr>
        <w:tc>
          <w:tcPr>
            <w:tcW w:w="1985" w:type="dxa"/>
            <w:shd w:val="clear" w:color="auto" w:fill="auto"/>
            <w:noWrap/>
            <w:vAlign w:val="bottom"/>
          </w:tcPr>
          <w:p w14:paraId="41CAE28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15</w:t>
            </w:r>
          </w:p>
        </w:tc>
        <w:tc>
          <w:tcPr>
            <w:tcW w:w="1417" w:type="dxa"/>
            <w:shd w:val="clear" w:color="auto" w:fill="auto"/>
            <w:noWrap/>
            <w:hideMark/>
          </w:tcPr>
          <w:p w14:paraId="1F600DBC"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42FBB8D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21.49</w:t>
            </w:r>
          </w:p>
        </w:tc>
        <w:tc>
          <w:tcPr>
            <w:tcW w:w="1531" w:type="dxa"/>
            <w:shd w:val="clear" w:color="auto" w:fill="auto"/>
            <w:noWrap/>
            <w:vAlign w:val="bottom"/>
            <w:hideMark/>
          </w:tcPr>
          <w:p w14:paraId="4DEEFE4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20.57</w:t>
            </w:r>
          </w:p>
        </w:tc>
        <w:tc>
          <w:tcPr>
            <w:tcW w:w="1531" w:type="dxa"/>
            <w:shd w:val="clear" w:color="auto" w:fill="auto"/>
            <w:noWrap/>
            <w:vAlign w:val="bottom"/>
            <w:hideMark/>
          </w:tcPr>
          <w:p w14:paraId="649CB789"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19.65</w:t>
            </w:r>
          </w:p>
        </w:tc>
      </w:tr>
      <w:tr w:rsidR="00DE5ACF" w:rsidRPr="00B96AAC" w14:paraId="7ACA3033" w14:textId="77777777" w:rsidTr="0031074B">
        <w:trPr>
          <w:trHeight w:val="290"/>
        </w:trPr>
        <w:tc>
          <w:tcPr>
            <w:tcW w:w="1985" w:type="dxa"/>
            <w:shd w:val="clear" w:color="auto" w:fill="auto"/>
            <w:noWrap/>
            <w:vAlign w:val="bottom"/>
          </w:tcPr>
          <w:p w14:paraId="2ADBC44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w:t>
            </w:r>
          </w:p>
        </w:tc>
        <w:tc>
          <w:tcPr>
            <w:tcW w:w="1417" w:type="dxa"/>
            <w:shd w:val="clear" w:color="auto" w:fill="auto"/>
            <w:noWrap/>
            <w:hideMark/>
          </w:tcPr>
          <w:p w14:paraId="4C05A85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1017F59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21.27</w:t>
            </w:r>
          </w:p>
        </w:tc>
        <w:tc>
          <w:tcPr>
            <w:tcW w:w="1531" w:type="dxa"/>
            <w:shd w:val="clear" w:color="auto" w:fill="auto"/>
            <w:noWrap/>
            <w:vAlign w:val="bottom"/>
            <w:hideMark/>
          </w:tcPr>
          <w:p w14:paraId="023454A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20.04</w:t>
            </w:r>
          </w:p>
        </w:tc>
        <w:tc>
          <w:tcPr>
            <w:tcW w:w="1531" w:type="dxa"/>
            <w:shd w:val="clear" w:color="auto" w:fill="auto"/>
            <w:noWrap/>
            <w:vAlign w:val="bottom"/>
            <w:hideMark/>
          </w:tcPr>
          <w:p w14:paraId="2C9F6A9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18.81</w:t>
            </w:r>
          </w:p>
        </w:tc>
      </w:tr>
      <w:tr w:rsidR="00DE5ACF" w:rsidRPr="00B96AAC" w14:paraId="152CC30B" w14:textId="77777777" w:rsidTr="0031074B">
        <w:trPr>
          <w:trHeight w:val="290"/>
        </w:trPr>
        <w:tc>
          <w:tcPr>
            <w:tcW w:w="1985" w:type="dxa"/>
            <w:shd w:val="clear" w:color="auto" w:fill="auto"/>
            <w:noWrap/>
            <w:vAlign w:val="bottom"/>
          </w:tcPr>
          <w:p w14:paraId="39A80E96"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25</w:t>
            </w:r>
          </w:p>
        </w:tc>
        <w:tc>
          <w:tcPr>
            <w:tcW w:w="1417" w:type="dxa"/>
            <w:shd w:val="clear" w:color="auto" w:fill="auto"/>
            <w:noWrap/>
            <w:hideMark/>
          </w:tcPr>
          <w:p w14:paraId="7F44664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7E14D78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21.05</w:t>
            </w:r>
          </w:p>
        </w:tc>
        <w:tc>
          <w:tcPr>
            <w:tcW w:w="1531" w:type="dxa"/>
            <w:shd w:val="clear" w:color="auto" w:fill="auto"/>
            <w:noWrap/>
            <w:vAlign w:val="bottom"/>
            <w:hideMark/>
          </w:tcPr>
          <w:p w14:paraId="009D748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19.51</w:t>
            </w:r>
          </w:p>
        </w:tc>
        <w:tc>
          <w:tcPr>
            <w:tcW w:w="1531" w:type="dxa"/>
            <w:shd w:val="clear" w:color="auto" w:fill="auto"/>
            <w:noWrap/>
            <w:vAlign w:val="bottom"/>
            <w:hideMark/>
          </w:tcPr>
          <w:p w14:paraId="338BCC63"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17.97</w:t>
            </w:r>
          </w:p>
        </w:tc>
      </w:tr>
      <w:tr w:rsidR="00DE5ACF" w:rsidRPr="00B96AAC" w14:paraId="174BC389" w14:textId="77777777" w:rsidTr="0031074B">
        <w:trPr>
          <w:trHeight w:val="290"/>
        </w:trPr>
        <w:tc>
          <w:tcPr>
            <w:tcW w:w="1985" w:type="dxa"/>
            <w:shd w:val="clear" w:color="auto" w:fill="auto"/>
            <w:noWrap/>
            <w:vAlign w:val="bottom"/>
          </w:tcPr>
          <w:p w14:paraId="71432A23"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30</w:t>
            </w:r>
          </w:p>
        </w:tc>
        <w:tc>
          <w:tcPr>
            <w:tcW w:w="1417" w:type="dxa"/>
            <w:shd w:val="clear" w:color="auto" w:fill="auto"/>
            <w:noWrap/>
            <w:hideMark/>
          </w:tcPr>
          <w:p w14:paraId="38B47E8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7F67FD2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20.82</w:t>
            </w:r>
          </w:p>
        </w:tc>
        <w:tc>
          <w:tcPr>
            <w:tcW w:w="1531" w:type="dxa"/>
            <w:shd w:val="clear" w:color="auto" w:fill="auto"/>
            <w:noWrap/>
            <w:vAlign w:val="bottom"/>
            <w:hideMark/>
          </w:tcPr>
          <w:p w14:paraId="5367ACC4"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18.98</w:t>
            </w:r>
          </w:p>
        </w:tc>
        <w:tc>
          <w:tcPr>
            <w:tcW w:w="1531" w:type="dxa"/>
            <w:shd w:val="clear" w:color="auto" w:fill="auto"/>
            <w:noWrap/>
            <w:vAlign w:val="bottom"/>
            <w:hideMark/>
          </w:tcPr>
          <w:p w14:paraId="4B5BAEB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17.13</w:t>
            </w:r>
          </w:p>
        </w:tc>
      </w:tr>
      <w:tr w:rsidR="00DE5ACF" w:rsidRPr="00B96AAC" w14:paraId="7CAFAEC4" w14:textId="77777777" w:rsidTr="0031074B">
        <w:trPr>
          <w:trHeight w:val="290"/>
        </w:trPr>
        <w:tc>
          <w:tcPr>
            <w:tcW w:w="1985" w:type="dxa"/>
            <w:shd w:val="clear" w:color="auto" w:fill="auto"/>
            <w:noWrap/>
            <w:vAlign w:val="bottom"/>
          </w:tcPr>
          <w:p w14:paraId="509912B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35</w:t>
            </w:r>
          </w:p>
        </w:tc>
        <w:tc>
          <w:tcPr>
            <w:tcW w:w="1417" w:type="dxa"/>
            <w:shd w:val="clear" w:color="auto" w:fill="auto"/>
            <w:noWrap/>
            <w:hideMark/>
          </w:tcPr>
          <w:p w14:paraId="1B6F0BC9"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0E23DEB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20.60</w:t>
            </w:r>
          </w:p>
        </w:tc>
        <w:tc>
          <w:tcPr>
            <w:tcW w:w="1531" w:type="dxa"/>
            <w:shd w:val="clear" w:color="auto" w:fill="auto"/>
            <w:noWrap/>
            <w:vAlign w:val="bottom"/>
            <w:hideMark/>
          </w:tcPr>
          <w:p w14:paraId="1122B00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18.45</w:t>
            </w:r>
          </w:p>
        </w:tc>
        <w:tc>
          <w:tcPr>
            <w:tcW w:w="1531" w:type="dxa"/>
            <w:shd w:val="clear" w:color="auto" w:fill="auto"/>
            <w:noWrap/>
            <w:vAlign w:val="bottom"/>
            <w:hideMark/>
          </w:tcPr>
          <w:p w14:paraId="7AC8995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16.29</w:t>
            </w:r>
          </w:p>
        </w:tc>
      </w:tr>
      <w:tr w:rsidR="00DE5ACF" w:rsidRPr="00B96AAC" w14:paraId="71BDC2EE" w14:textId="77777777" w:rsidTr="0031074B">
        <w:trPr>
          <w:trHeight w:val="290"/>
        </w:trPr>
        <w:tc>
          <w:tcPr>
            <w:tcW w:w="1985" w:type="dxa"/>
            <w:shd w:val="clear" w:color="auto" w:fill="auto"/>
            <w:noWrap/>
            <w:vAlign w:val="bottom"/>
          </w:tcPr>
          <w:p w14:paraId="7AD0815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40</w:t>
            </w:r>
          </w:p>
        </w:tc>
        <w:tc>
          <w:tcPr>
            <w:tcW w:w="1417" w:type="dxa"/>
            <w:shd w:val="clear" w:color="auto" w:fill="auto"/>
            <w:noWrap/>
            <w:hideMark/>
          </w:tcPr>
          <w:p w14:paraId="2BFE2B30"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50CBA8C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20.38</w:t>
            </w:r>
          </w:p>
        </w:tc>
        <w:tc>
          <w:tcPr>
            <w:tcW w:w="1531" w:type="dxa"/>
            <w:shd w:val="clear" w:color="auto" w:fill="auto"/>
            <w:noWrap/>
            <w:vAlign w:val="bottom"/>
            <w:hideMark/>
          </w:tcPr>
          <w:p w14:paraId="3016BA0D"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17.92</w:t>
            </w:r>
          </w:p>
        </w:tc>
        <w:tc>
          <w:tcPr>
            <w:tcW w:w="1531" w:type="dxa"/>
            <w:shd w:val="clear" w:color="auto" w:fill="auto"/>
            <w:noWrap/>
            <w:vAlign w:val="bottom"/>
            <w:hideMark/>
          </w:tcPr>
          <w:p w14:paraId="72EC63C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15.46</w:t>
            </w:r>
          </w:p>
        </w:tc>
      </w:tr>
      <w:tr w:rsidR="00DE5ACF" w:rsidRPr="00B96AAC" w14:paraId="1D6F5F14" w14:textId="77777777" w:rsidTr="0031074B">
        <w:trPr>
          <w:trHeight w:val="290"/>
        </w:trPr>
        <w:tc>
          <w:tcPr>
            <w:tcW w:w="1985" w:type="dxa"/>
            <w:shd w:val="clear" w:color="auto" w:fill="auto"/>
            <w:noWrap/>
            <w:vAlign w:val="bottom"/>
          </w:tcPr>
          <w:p w14:paraId="17EC1049"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45</w:t>
            </w:r>
          </w:p>
        </w:tc>
        <w:tc>
          <w:tcPr>
            <w:tcW w:w="1417" w:type="dxa"/>
            <w:shd w:val="clear" w:color="auto" w:fill="auto"/>
            <w:noWrap/>
            <w:hideMark/>
          </w:tcPr>
          <w:p w14:paraId="563982A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shd w:val="clear" w:color="auto" w:fill="auto"/>
            <w:noWrap/>
            <w:vAlign w:val="bottom"/>
            <w:hideMark/>
          </w:tcPr>
          <w:p w14:paraId="775735F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20.15</w:t>
            </w:r>
          </w:p>
        </w:tc>
        <w:tc>
          <w:tcPr>
            <w:tcW w:w="1531" w:type="dxa"/>
            <w:shd w:val="clear" w:color="auto" w:fill="auto"/>
            <w:noWrap/>
            <w:vAlign w:val="bottom"/>
            <w:hideMark/>
          </w:tcPr>
          <w:p w14:paraId="67BDF5A8"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17.39</w:t>
            </w:r>
          </w:p>
        </w:tc>
        <w:tc>
          <w:tcPr>
            <w:tcW w:w="1531" w:type="dxa"/>
            <w:shd w:val="clear" w:color="auto" w:fill="auto"/>
            <w:noWrap/>
            <w:vAlign w:val="bottom"/>
            <w:hideMark/>
          </w:tcPr>
          <w:p w14:paraId="7D861F65"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14.62</w:t>
            </w:r>
          </w:p>
        </w:tc>
      </w:tr>
      <w:tr w:rsidR="00DE5ACF" w:rsidRPr="00B96AAC" w14:paraId="28600751" w14:textId="77777777" w:rsidTr="0031074B">
        <w:trPr>
          <w:trHeight w:val="290"/>
        </w:trPr>
        <w:tc>
          <w:tcPr>
            <w:tcW w:w="1985" w:type="dxa"/>
            <w:tcBorders>
              <w:bottom w:val="single" w:sz="12" w:space="0" w:color="auto"/>
            </w:tcBorders>
            <w:shd w:val="clear" w:color="auto" w:fill="auto"/>
            <w:noWrap/>
            <w:vAlign w:val="bottom"/>
          </w:tcPr>
          <w:p w14:paraId="549F3FA2"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50</w:t>
            </w:r>
          </w:p>
        </w:tc>
        <w:tc>
          <w:tcPr>
            <w:tcW w:w="1417" w:type="dxa"/>
            <w:tcBorders>
              <w:bottom w:val="single" w:sz="12" w:space="0" w:color="auto"/>
            </w:tcBorders>
            <w:shd w:val="clear" w:color="auto" w:fill="auto"/>
            <w:noWrap/>
            <w:hideMark/>
          </w:tcPr>
          <w:p w14:paraId="7C58FA9F"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65.1</w:t>
            </w:r>
          </w:p>
        </w:tc>
        <w:tc>
          <w:tcPr>
            <w:tcW w:w="1498" w:type="dxa"/>
            <w:tcBorders>
              <w:bottom w:val="single" w:sz="12" w:space="0" w:color="auto"/>
            </w:tcBorders>
            <w:shd w:val="clear" w:color="auto" w:fill="auto"/>
            <w:noWrap/>
            <w:vAlign w:val="bottom"/>
            <w:hideMark/>
          </w:tcPr>
          <w:p w14:paraId="7C939E9E"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19.93</w:t>
            </w:r>
          </w:p>
        </w:tc>
        <w:tc>
          <w:tcPr>
            <w:tcW w:w="1531" w:type="dxa"/>
            <w:tcBorders>
              <w:bottom w:val="single" w:sz="12" w:space="0" w:color="auto"/>
            </w:tcBorders>
            <w:shd w:val="clear" w:color="auto" w:fill="auto"/>
            <w:noWrap/>
            <w:vAlign w:val="bottom"/>
            <w:hideMark/>
          </w:tcPr>
          <w:p w14:paraId="46391327"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16.86</w:t>
            </w:r>
          </w:p>
        </w:tc>
        <w:tc>
          <w:tcPr>
            <w:tcW w:w="1531" w:type="dxa"/>
            <w:tcBorders>
              <w:bottom w:val="single" w:sz="12" w:space="0" w:color="auto"/>
            </w:tcBorders>
            <w:shd w:val="clear" w:color="auto" w:fill="auto"/>
            <w:noWrap/>
            <w:vAlign w:val="bottom"/>
            <w:hideMark/>
          </w:tcPr>
          <w:p w14:paraId="16A08D79" w14:textId="77777777" w:rsidR="00DE5ACF" w:rsidRPr="00B96AAC" w:rsidRDefault="00DE5ACF" w:rsidP="0031074B">
            <w:pPr>
              <w:spacing w:after="0" w:line="360" w:lineRule="auto"/>
              <w:jc w:val="both"/>
              <w:rPr>
                <w:rFonts w:ascii="Times New Roman" w:eastAsia="Times New Roman" w:hAnsi="Times New Roman" w:cs="Times New Roman"/>
                <w:color w:val="000000"/>
                <w:sz w:val="20"/>
                <w:szCs w:val="20"/>
                <w:lang w:eastAsia="en-GB"/>
              </w:rPr>
            </w:pPr>
            <w:r w:rsidRPr="00B96AAC">
              <w:rPr>
                <w:rFonts w:ascii="Times New Roman" w:eastAsia="Times New Roman" w:hAnsi="Times New Roman" w:cs="Times New Roman"/>
                <w:color w:val="000000"/>
                <w:sz w:val="20"/>
                <w:szCs w:val="20"/>
                <w:lang w:eastAsia="en-GB"/>
              </w:rPr>
              <w:t>13.78</w:t>
            </w:r>
          </w:p>
        </w:tc>
      </w:tr>
      <w:bookmarkEnd w:id="1"/>
    </w:tbl>
    <w:p w14:paraId="07057649" w14:textId="77777777" w:rsidR="00DE5ACF" w:rsidRDefault="00DE5ACF" w:rsidP="00DE5ACF">
      <w:pPr>
        <w:spacing w:line="360" w:lineRule="auto"/>
        <w:jc w:val="both"/>
        <w:rPr>
          <w:rFonts w:ascii="Times New Roman" w:hAnsi="Times New Roman" w:cs="Times New Roman"/>
          <w:sz w:val="20"/>
          <w:szCs w:val="20"/>
        </w:rPr>
      </w:pPr>
    </w:p>
    <w:p w14:paraId="2FC2336B" w14:textId="77777777" w:rsidR="00C62205" w:rsidRDefault="00C62205"/>
    <w:sectPr w:rsidR="00C62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CF"/>
    <w:rsid w:val="00273B37"/>
    <w:rsid w:val="004C7D7D"/>
    <w:rsid w:val="00C62205"/>
    <w:rsid w:val="00DE5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5A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5A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Elouise Mayall (ENV - Postgraduate Researcher)</dc:creator>
  <cp:lastModifiedBy>Valerie</cp:lastModifiedBy>
  <cp:revision>2</cp:revision>
  <dcterms:created xsi:type="dcterms:W3CDTF">2023-01-30T15:48:00Z</dcterms:created>
  <dcterms:modified xsi:type="dcterms:W3CDTF">2023-01-30T15:48:00Z</dcterms:modified>
</cp:coreProperties>
</file>